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  <w:jc w:val="center"/>
      </w:pPr>
      <w:r>
        <w:rPr>
          <w:rFonts w:ascii="黑体" w:hAnsi="黑体" w:eastAsia="黑体"/>
          <w:b/>
          <w:sz w:val="36"/>
        </w:rPr>
        <w:t>摘要</w:t>
      </w:r>
    </w:p>
    <w:p>
      <w:pPr>
        <w:spacing w:after="20" w:before="0" w:line="240" w:lineRule="auto"/>
        <w:jc w:val="center"/>
      </w:pPr>
      <w:r>
        <w:rPr>
          <w:rFonts w:ascii="宋体" w:hAnsi="宋体" w:eastAsia="宋体"/>
          <w:b/>
          <w:color w:val="1F2937"/>
          <w:sz w:val="19"/>
        </w:rPr>
        <w:t>赛题 II：科学可视化挑战赛</w:t>
        <w:br/>
        <w:t>基于体绘制与相空间刷选的 Nyx 宇宙密度演化可视分析</w:t>
      </w:r>
    </w:p>
    <w:p>
      <w:pPr>
        <w:spacing w:after="60" w:before="0" w:line="240" w:lineRule="auto"/>
        <w:jc w:val="center"/>
      </w:pPr>
      <w:r>
        <w:rPr>
          <w:rFonts w:ascii="宋体" w:hAnsi="宋体" w:eastAsia="宋体"/>
          <w:b w:val="0"/>
          <w:sz w:val="16"/>
        </w:rPr>
        <w:t>姓名：        学号：        班级：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c>
          <w:tcPr>
            <w:tcW w:type="dxa" w:w="623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/>
          <w:p>
            <w:pPr>
              <w:spacing w:after="20" w:before="0" w:line="240" w:lineRule="auto"/>
            </w:pPr>
            <w:r>
              <w:rPr>
                <w:rFonts w:ascii="黑体" w:hAnsi="黑体" w:eastAsia="黑体"/>
                <w:b/>
                <w:color w:val="1F4E79"/>
                <w:sz w:val="17"/>
              </w:rPr>
              <w:t>针对问题一：Nyx 数据读取与三维体数据恢复</w:t>
            </w:r>
          </w:p>
          <w:p>
            <w:pPr>
              <w:spacing w:after="60" w:before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Nyx 原始数据为 little-endian float32 的 `.dat` 二进制体数据，不能直接作为图片查看。本项目根据文件大小推断三维网格尺寸，按照 z-y-x 存储顺序恢复为 x-y-z 体数据，并使用中心切片检查读取方向和轴顺序，为后续可视化分析建立可靠数据基础。</w:t>
            </w:r>
          </w:p>
          <w:p>
            <w:pPr>
              <w:spacing w:after="20" w:before="0" w:line="240" w:lineRule="auto"/>
            </w:pPr>
            <w:r>
              <w:rPr>
                <w:rFonts w:ascii="黑体" w:hAnsi="黑体" w:eastAsia="黑体"/>
                <w:b/>
                <w:color w:val="1F4E79"/>
                <w:sz w:val="17"/>
              </w:rPr>
              <w:t>针对问题二：宇宙密度时序统计特征分析</w:t>
            </w:r>
          </w:p>
          <w:p>
            <w:pPr>
              <w:spacing w:after="60" w:before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为刻画完整演化过程，本项目遍历全部时间步，计算 mean、std、P99、P99/mean、P99-P01 等统计指标，并构建 log-density histogram 与 time-density heatmap。结果显示，早期分布较集中，后期分布逐渐变宽，高密度右尾增强。</w:t>
            </w:r>
          </w:p>
          <w:p>
            <w:pPr>
              <w:spacing w:after="20" w:before="0" w:line="240" w:lineRule="auto"/>
            </w:pPr>
            <w:r>
              <w:rPr>
                <w:rFonts w:ascii="黑体" w:hAnsi="黑体" w:eastAsia="黑体"/>
                <w:b/>
                <w:color w:val="1F4E79"/>
                <w:sz w:val="17"/>
              </w:rPr>
              <w:t>针对问题三：体数据渲染、传递函数与光照效果设计</w:t>
            </w:r>
          </w:p>
          <w:p>
            <w:pPr>
              <w:spacing w:after="60" w:before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针对三维体数据难以通过单一切片表达的问题，项目采用 log-density、百分位归一化、自定义 alpha compositing、LUT 传递函数和梯度增强生成关键帧体绘制结果。不同传递函数分别突出空洞、中密度丝状结构和高密度节点。</w:t>
            </w:r>
          </w:p>
          <w:p>
            <w:pPr>
              <w:spacing w:after="20" w:before="0" w:line="240" w:lineRule="auto"/>
            </w:pPr>
            <w:r>
              <w:rPr>
                <w:rFonts w:ascii="黑体" w:hAnsi="黑体" w:eastAsia="黑体"/>
                <w:b/>
                <w:color w:val="1F4E79"/>
                <w:sz w:val="17"/>
              </w:rPr>
              <w:t>针对问题四：P99 高密度筛选与宇宙网节点验证</w:t>
            </w:r>
          </w:p>
          <w:p>
            <w:pPr>
              <w:spacing w:after="60" w:before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项目使用原始 density 的 P99 作为 top 1% 高密度阈值，生成高密度 mask，并通过 X/Y/Z 最大强度投影与多阈值等值面观察空间分布。P99 以上体素集中在丝状交汇和节点区域，说明直方图右尾具有明确空间结构意义。</w:t>
            </w:r>
          </w:p>
          <w:p>
            <w:pPr>
              <w:spacing w:after="20" w:before="0" w:line="240" w:lineRule="auto"/>
            </w:pPr>
            <w:r>
              <w:rPr>
                <w:rFonts w:ascii="黑体" w:hAnsi="黑体" w:eastAsia="黑体"/>
                <w:b/>
                <w:color w:val="1F4E79"/>
                <w:sz w:val="17"/>
              </w:rPr>
              <w:t>针对问题五：相空间交互式刷选与 Web 最终展示系统</w:t>
            </w:r>
          </w:p>
          <w:p>
            <w:pPr>
              <w:spacing w:after="60" w:before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在静态图基础上，项目进一步构建 linked brushing 与 Nyx Density Explorer Web 页面。用户可通过 time slider、histogram brush、Top 1% 快捷筛选、MIP/Mask/Slice 模式切换，将统计分布中的密度区间实时映射回空间视图。</w:t>
            </w:r>
          </w:p>
          <w:p>
            <w:pPr>
              <w:spacing w:after="20" w:before="0" w:line="240" w:lineRule="auto"/>
            </w:pPr>
            <w:r>
              <w:rPr>
                <w:rFonts w:ascii="黑体" w:hAnsi="黑体" w:eastAsia="黑体"/>
                <w:b/>
                <w:color w:val="1F4E79"/>
                <w:sz w:val="17"/>
              </w:rPr>
              <w:t>综合结论</w:t>
            </w:r>
          </w:p>
          <w:p>
            <w:pPr>
              <w:spacing w:after="60" w:before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本作品形成了“数据恢复—统计分析—体绘制—高密度验证—交互展示”的完整流程。可视化结果表明，Nyx 密度场在课程实验层面呈现由相对均匀到高低密度分化的趋势，高密度尾部和空间节点结构相互印证。相关结论基于给定数据和可视化结果，不作为正式天体物理结论。</w:t>
            </w:r>
          </w:p>
        </w:tc>
        <w:tc>
          <w:tcPr>
            <w:tcW w:type="dxa" w:w="43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/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176620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me_density_heatm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7662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4"/>
              </w:rPr>
              <w:t>图 A：时间-密度热力图</w:t>
            </w:r>
          </w:p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23097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ume_keyframes_compa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2309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4"/>
              </w:rPr>
              <w:t>图 B：代表时间步体绘制结果</w:t>
            </w:r>
          </w:p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47692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ined_top1_percent_mi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476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4"/>
              </w:rPr>
              <w:t>图 C：Top 1% 高密度筛选结果</w:t>
            </w:r>
          </w:p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31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_dashboard_actual_screensho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31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4"/>
              </w:rPr>
              <w:t>图 D：Web 交互展示系统界面</w:t>
            </w:r>
          </w:p>
        </w:tc>
      </w:tr>
    </w:tbl>
    <w:p>
      <w:pPr>
        <w:spacing w:after="0" w:before="20" w:line="240" w:lineRule="auto"/>
        <w:jc w:val="center"/>
      </w:pPr>
      <w:r>
        <w:rPr>
          <w:rFonts w:ascii="宋体" w:hAnsi="宋体" w:eastAsia="宋体"/>
          <w:b w:val="0"/>
          <w:color w:val="6B7280"/>
          <w:sz w:val="14"/>
        </w:rPr>
        <w:t>说明：本页为图文摘要页，图像用于对应赛题问题的可视化支撑；详细方法与代码见技术报告正文及附录。</w:t>
      </w:r>
    </w:p>
    <w:sectPr w:rsidR="00FC693F" w:rsidRPr="0006063C" w:rsidSect="00034616">
      <w:pgSz w:w="11906" w:h="16838"/>
      <w:pgMar w:top="595" w:right="595" w:bottom="567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