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Times New Roman" w:hAnsi="Times New Roman" w:eastAsia="SimHei"/>
          <w:b/>
          <w:sz w:val="44"/>
        </w:rPr>
        <w:t>Nyx 宇宙密度演化可视分析代码说明</w:t>
      </w:r>
    </w:p>
    <w:p>
      <w:pPr>
        <w:spacing w:before="240"/>
        <w:jc w:val="center"/>
      </w:pPr>
      <w:r>
        <w:rPr>
          <w:rFonts w:ascii="Times New Roman" w:hAnsi="Times New Roman" w:eastAsia="SimHei"/>
          <w:color w:val="5A5A5A"/>
          <w:sz w:val="24"/>
        </w:rPr>
        <w:t>模块说明书</w:t>
      </w:r>
    </w:p>
    <w:p>
      <w:r>
        <w:br w:type="page"/>
      </w:r>
    </w:p>
    <w:p>
      <w:pPr>
        <w:pStyle w:val="Heading1"/>
        <w:keepNext/>
        <w:ind w:firstLine="0"/>
      </w:pPr>
      <w:r>
        <w:rPr>
          <w:rFonts w:ascii="Times New Roman" w:hAnsi="Times New Roman" w:eastAsia="SimHei"/>
          <w:b/>
          <w:sz w:val="30"/>
        </w:rPr>
        <w:t>Nyx 可视化项目代码说明</w:t>
      </w:r>
    </w:p>
    <w:p>
      <w:pPr>
        <w:pStyle w:val="Heading2"/>
        <w:keepNext/>
        <w:ind w:firstLine="0"/>
      </w:pPr>
      <w:r>
        <w:rPr>
          <w:rFonts w:ascii="Times New Roman" w:hAnsi="Times New Roman" w:eastAsia="SimHei"/>
          <w:b/>
          <w:sz w:val="28"/>
        </w:rPr>
        <w:t>1. 代码总体结构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SimSun"/>
          <w:sz w:val="21"/>
        </w:rPr>
        <w:t>本项目采用“主入口 + 分步骤脚本 + 工具函数”的结构组织 MATLAB 代码。主入口文件为 code/main.m，负责自动设置项目根目录、添加路径、检查数据文件、创建输出目录，并按顺序调用各个分析步骤。每个 step 文件对应报告中的一个主要分析模块，utils 目录保存通用函数。</w:t>
      </w:r>
    </w:p>
    <w:p>
      <w:pPr>
        <w:pStyle w:val="Heading2"/>
        <w:keepNext/>
        <w:ind w:firstLine="0"/>
      </w:pPr>
      <w:r>
        <w:rPr>
          <w:rFonts w:ascii="Times New Roman" w:hAnsi="Times New Roman" w:eastAsia="SimHei"/>
          <w:b/>
          <w:sz w:val="28"/>
        </w:rPr>
        <w:t>2. 主入口</w:t>
      </w:r>
    </w:p>
    <w:p>
      <w:pPr>
        <w:pStyle w:val="Heading3"/>
        <w:keepNext/>
        <w:ind w:firstLine="0"/>
      </w:pPr>
      <w:r>
        <w:rPr>
          <w:rFonts w:ascii="Times New Roman" w:hAnsi="Times New Roman" w:eastAsia="SimHei"/>
          <w:b/>
          <w:sz w:val="24"/>
        </w:rPr>
        <w:t>code/main.m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SimSun"/>
          <w:sz w:val="21"/>
        </w:rPr>
        <w:t>功能：</w:t>
      </w:r>
    </w:p>
    <w:p>
      <w:pPr>
        <w:pStyle w:val="ListNumber"/>
        <w:spacing w:before="0" w:after="120" w:line="276" w:lineRule="auto"/>
      </w:pPr>
      <w:r>
        <w:rPr>
          <w:rFonts w:ascii="Times New Roman" w:hAnsi="Times New Roman" w:eastAsia="SimSun"/>
          <w:sz w:val="21"/>
        </w:rPr>
        <w:t>自动识别 projectRoot；</w:t>
      </w:r>
    </w:p>
    <w:p>
      <w:pPr>
        <w:pStyle w:val="ListNumber"/>
        <w:spacing w:before="0" w:after="120" w:line="276" w:lineRule="auto"/>
      </w:pPr>
      <w:r>
        <w:rPr>
          <w:rFonts w:ascii="Times New Roman" w:hAnsi="Times New Roman" w:eastAsia="SimSun"/>
          <w:sz w:val="21"/>
        </w:rPr>
        <w:t>添加 code/ 和 code/utils/ 到 MATLAB 路径；</w:t>
      </w:r>
    </w:p>
    <w:p>
      <w:pPr>
        <w:pStyle w:val="ListNumber"/>
        <w:spacing w:before="0" w:after="120" w:line="276" w:lineRule="auto"/>
      </w:pPr>
      <w:r>
        <w:rPr>
          <w:rFonts w:ascii="Times New Roman" w:hAnsi="Times New Roman" w:eastAsia="SimSun"/>
          <w:sz w:val="21"/>
        </w:rPr>
        <w:t>检查 data/raw/ 是否存在非空 .dat 文件；</w:t>
      </w:r>
    </w:p>
    <w:p>
      <w:pPr>
        <w:pStyle w:val="ListNumber"/>
        <w:spacing w:before="0" w:after="120" w:line="276" w:lineRule="auto"/>
      </w:pPr>
      <w:r>
        <w:rPr>
          <w:rFonts w:ascii="Times New Roman" w:hAnsi="Times New Roman" w:eastAsia="SimSun"/>
          <w:sz w:val="21"/>
        </w:rPr>
        <w:t>依次运行 step1 至 step6；</w:t>
      </w:r>
    </w:p>
    <w:p>
      <w:pPr>
        <w:pStyle w:val="ListNumber"/>
        <w:spacing w:before="0" w:after="120" w:line="276" w:lineRule="auto"/>
      </w:pPr>
      <w:r>
        <w:rPr>
          <w:rFonts w:ascii="Times New Roman" w:hAnsi="Times New Roman" w:eastAsia="SimSun"/>
          <w:sz w:val="21"/>
        </w:rPr>
        <w:t>生成 results/frames/ 下的视频帧；</w:t>
      </w:r>
    </w:p>
    <w:p>
      <w:pPr>
        <w:pStyle w:val="ListNumber"/>
        <w:spacing w:before="0" w:after="120" w:line="276" w:lineRule="auto"/>
      </w:pPr>
      <w:r>
        <w:rPr>
          <w:rFonts w:ascii="Times New Roman" w:hAnsi="Times New Roman" w:eastAsia="SimSun"/>
          <w:sz w:val="21"/>
        </w:rPr>
        <w:t>提示用户手动运行 step7_interactive_dashboard。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SimSun"/>
          <w:sz w:val="21"/>
        </w:rPr>
        <w:t>运行方式：</w:t>
      </w:r>
    </w:p>
    <w:p>
      <w:pPr>
        <w:spacing w:before="60" w:after="160" w:line="240" w:lineRule="auto"/>
        <w:ind w:firstLine="0" w:left="142" w:right="142"/>
        <w:shd w:fill="F2F2F2"/>
        <w:pBdr>
          <w:top w:val="single" w:sz="4" w:color="D0D0D0"/>
          <w:left w:val="single" w:sz="4" w:color="D0D0D0"/>
          <w:bottom w:val="single" w:sz="4" w:color="D0D0D0"/>
          <w:right w:val="single" w:sz="4" w:color="D0D0D0"/>
        </w:pBdr>
      </w:pPr>
      <w:r>
        <w:rPr>
          <w:rFonts w:ascii="Consolas" w:hAnsi="Consolas" w:eastAsia="Consolas"/>
          <w:sz w:val="18"/>
        </w:rPr>
        <w:t>run('code/main.m')</w:t>
      </w:r>
    </w:p>
    <w:p>
      <w:pPr>
        <w:pStyle w:val="Heading2"/>
        <w:keepNext/>
        <w:ind w:firstLine="0"/>
      </w:pPr>
      <w:r>
        <w:rPr>
          <w:rFonts w:ascii="Times New Roman" w:hAnsi="Times New Roman" w:eastAsia="SimHei"/>
          <w:b/>
          <w:sz w:val="28"/>
        </w:rPr>
        <w:t>3. 数据读取相关代码</w:t>
      </w:r>
    </w:p>
    <w:p>
      <w:pPr>
        <w:pStyle w:val="Heading3"/>
        <w:keepNext/>
        <w:ind w:firstLine="0"/>
      </w:pPr>
      <w:r>
        <w:rPr>
          <w:rFonts w:ascii="Times New Roman" w:hAnsi="Times New Roman" w:eastAsia="SimHei"/>
          <w:b/>
          <w:sz w:val="24"/>
        </w:rPr>
        <w:t>code/read_nyx_dat.m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SimSun"/>
          <w:sz w:val="21"/>
        </w:rPr>
        <w:t>功能：读取单个 Nyx .dat 文件并恢复三维体数据。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SimSun"/>
          <w:sz w:val="21"/>
        </w:rPr>
        <w:t>关键点：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使用 fopen(filename,'r','ieee-le') 读取 little-endian 数据；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使用 fread(...,'single=&gt;single') 读取 float32；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调用 infer_grid_size 自动推断 n；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先 reshape 为 [z,y,x]，再 permute 为 [x,y,z]；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输出 single 类型三维数组。</w:t>
      </w:r>
    </w:p>
    <w:p>
      <w:pPr>
        <w:pStyle w:val="Heading3"/>
        <w:keepNext/>
        <w:ind w:firstLine="0"/>
      </w:pPr>
      <w:r>
        <w:rPr>
          <w:rFonts w:ascii="Times New Roman" w:hAnsi="Times New Roman" w:eastAsia="SimHei"/>
          <w:b/>
          <w:sz w:val="24"/>
        </w:rPr>
        <w:t>code/infer_grid_size.m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SimSun"/>
          <w:sz w:val="21"/>
        </w:rPr>
        <w:t>功能：根据体素总数推断 n，使 numel(data)=n^3。如果不能组成立方体网格，则报错提示文件尺寸异常。</w:t>
      </w:r>
    </w:p>
    <w:p>
      <w:pPr>
        <w:pStyle w:val="Heading2"/>
        <w:keepNext/>
        <w:ind w:firstLine="0"/>
      </w:pPr>
      <w:r>
        <w:rPr>
          <w:rFonts w:ascii="Times New Roman" w:hAnsi="Times New Roman" w:eastAsia="SimHei"/>
          <w:b/>
          <w:sz w:val="28"/>
        </w:rPr>
        <w:t>4. 分步骤分析代码</w:t>
      </w:r>
    </w:p>
    <w:p>
      <w:pPr>
        <w:pStyle w:val="Heading3"/>
        <w:keepNext/>
        <w:ind w:firstLine="0"/>
      </w:pPr>
      <w:r>
        <w:rPr>
          <w:rFonts w:ascii="Times New Roman" w:hAnsi="Times New Roman" w:eastAsia="SimHei"/>
          <w:b/>
          <w:sz w:val="24"/>
        </w:rPr>
        <w:t>code/step1_check_data.m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SimSun"/>
          <w:sz w:val="21"/>
        </w:rPr>
        <w:t>功能：数据完整性检查。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SimSun"/>
          <w:sz w:val="21"/>
        </w:rPr>
        <w:t>输出：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results/01_data_check/center_slices_0000.png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results/01_data_check/file_size_check.png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results/01_data_check/data_check_stats.mat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SimSun"/>
          <w:sz w:val="21"/>
        </w:rPr>
        <w:t>主要检查内容：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数据尺寸；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min、max、mean、std；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NaN、Inf、负值数量；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XY、XZ、YZ 三方向中心切片；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所有 .dat 文件大小是否一致。</w:t>
      </w:r>
    </w:p>
    <w:p>
      <w:pPr>
        <w:pStyle w:val="Heading3"/>
        <w:keepNext/>
        <w:ind w:firstLine="0"/>
      </w:pPr>
      <w:r>
        <w:rPr>
          <w:rFonts w:ascii="Times New Roman" w:hAnsi="Times New Roman" w:eastAsia="SimHei"/>
          <w:b/>
          <w:sz w:val="24"/>
        </w:rPr>
        <w:t>code/step2_statistics_all_frames.m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SimSun"/>
          <w:sz w:val="21"/>
        </w:rPr>
        <w:t>功能：全时间步密度统计分析。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SimSun"/>
          <w:sz w:val="21"/>
        </w:rPr>
        <w:t>输出：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data/processed/density_stats.csv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data/processed/statistics.mat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data/processed/high_density_threshold.csv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results/03_statistics/mean_std_curve.png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results/03_statistics/max_density_curve.png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results/03_statistics/percentile_curve.png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results/03_statistics/log_skew_kurtosis_curve.png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SimSun"/>
          <w:sz w:val="21"/>
        </w:rPr>
        <w:t>统计指标：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mean_density、std_density、min_density、max_density；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P01、P05、P50、P95、P99、P99.7、P99.9；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mean_log_density、std_log_density；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skew_log_density、kurtosis_log_density。</w:t>
      </w:r>
    </w:p>
    <w:p>
      <w:pPr>
        <w:pStyle w:val="Heading3"/>
        <w:keepNext/>
        <w:ind w:firstLine="0"/>
      </w:pPr>
      <w:r>
        <w:rPr>
          <w:rFonts w:ascii="Times New Roman" w:hAnsi="Times New Roman" w:eastAsia="SimHei"/>
          <w:b/>
          <w:sz w:val="24"/>
        </w:rPr>
        <w:t>code/step3_histogram_analysis.m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SimSun"/>
          <w:sz w:val="21"/>
        </w:rPr>
        <w:t>功能：对数密度直方图和时间-密度热力图分析。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SimSun"/>
          <w:sz w:val="21"/>
        </w:rPr>
        <w:t>输出：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results/02_histograms/histogram_t0000.png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results/02_histograms/histogram_t0030.png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results/02_histograms/histogram_t0060.png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results/02_histograms/histogram_t0099.png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results/02_histograms/histogram_compare_keyframes.png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results/02_histograms/time_density_heatmap.png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SimSun"/>
          <w:sz w:val="21"/>
        </w:rPr>
        <w:t>方法：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代表时间步使用 120 个 bins；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histogram normalization 设置为 probability；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全时间步使用统一 bins 堆叠为二维热力图。</w:t>
      </w:r>
    </w:p>
    <w:p>
      <w:pPr>
        <w:pStyle w:val="Heading3"/>
        <w:keepNext/>
        <w:ind w:firstLine="0"/>
      </w:pPr>
      <w:r>
        <w:rPr>
          <w:rFonts w:ascii="Times New Roman" w:hAnsi="Times New Roman" w:eastAsia="SimHei"/>
          <w:b/>
          <w:sz w:val="24"/>
        </w:rPr>
        <w:t>code/step4_volume_render_keyframes.m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SimSun"/>
          <w:sz w:val="21"/>
        </w:rPr>
        <w:t>功能：代表时间步体绘制和传递函数对比。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SimSun"/>
          <w:sz w:val="21"/>
        </w:rPr>
        <w:t>输出：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results/04_volume_render/volume_t0000.png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results/04_volume_render/volume_t0030.png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results/04_volume_render/volume_t0060.png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results/04_volume_render/volume_t0099.png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results/04_volume_render/volume_keyframes_compare.png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results/04_volume_render/transfer_function_compare_t0099.png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SimSun"/>
          <w:sz w:val="21"/>
        </w:rPr>
        <w:t>方法：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对 density 进行 log10 变换；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使用 P5 到 P99.7 百分位归一化；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调用 volume_render_alpha_composite 做自定义体绘制；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比较空洞观察型、丝状结构型和高密度节点型三种传递函数。</w:t>
      </w:r>
    </w:p>
    <w:p>
      <w:pPr>
        <w:pStyle w:val="Heading3"/>
        <w:keepNext/>
        <w:ind w:firstLine="0"/>
      </w:pPr>
      <w:r>
        <w:rPr>
          <w:rFonts w:ascii="Times New Roman" w:hAnsi="Times New Roman" w:eastAsia="SimHei"/>
          <w:b/>
          <w:sz w:val="24"/>
        </w:rPr>
        <w:t>code/step5_high_density_selection.m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SimSun"/>
          <w:sz w:val="21"/>
        </w:rPr>
        <w:t>功能：P99 高密度区域筛选、最大强度投影和等值面绘制。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SimSun"/>
          <w:sz w:val="21"/>
        </w:rPr>
        <w:t>输出：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results/05_high_density/top1_percent_t0000.png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results/05_high_density/top1_percent_t0060.png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results/05_high_density/top1_percent_t0099.png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results/05_high_density/top1_percent_isosurface_t0099.png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results/05_high_density/nested_isosurfaces_t0099.png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SimSun"/>
          <w:sz w:val="21"/>
        </w:rPr>
        <w:t>方法：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使用原始 density 的 P99 作为 top 1% 阈值；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生成三维 mask；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对 mask 区域 log-density 做 X/Y/Z 三方向 MIP；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使用 P90、P95、P99 绘制嵌套等值面。</w:t>
      </w:r>
    </w:p>
    <w:p>
      <w:pPr>
        <w:pStyle w:val="Heading3"/>
        <w:keepNext/>
        <w:ind w:firstLine="0"/>
      </w:pPr>
      <w:r>
        <w:rPr>
          <w:rFonts w:ascii="Times New Roman" w:hAnsi="Times New Roman" w:eastAsia="SimHei"/>
          <w:b/>
          <w:sz w:val="24"/>
        </w:rPr>
        <w:t>code/step6_structure_metrics.m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SimSun"/>
          <w:sz w:val="21"/>
        </w:rPr>
        <w:t>功能：结构指标计算和首末时间步差分分析。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SimSun"/>
          <w:sz w:val="21"/>
        </w:rPr>
        <w:t>输出：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data/processed/structure_metrics.csv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data/processed/structure_metrics.mat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results/06_structure_metrics/spread_tail_curve.png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results/06_structure_metrics/void_dense_fraction_curve.png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results/06_structure_metrics/entropy_gini_curve.png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results/06_structure_metrics/high_density_components_curve.png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results/06_structure_metrics/difference_mip_first_last.png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SimSun"/>
          <w:sz w:val="21"/>
        </w:rPr>
        <w:t>指标：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spread_p99_p01；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tail_amplification；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void_fraction_vs_t0000_p05；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dense_fraction_vs_t0000_p95；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log_density_entropy；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gini_density；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high_density_component_count；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high_density_largest_component_size；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high_density_mean_component_size。</w:t>
      </w:r>
    </w:p>
    <w:p>
      <w:pPr>
        <w:pStyle w:val="Heading3"/>
        <w:keepNext/>
        <w:ind w:firstLine="0"/>
      </w:pPr>
      <w:r>
        <w:rPr>
          <w:rFonts w:ascii="Times New Roman" w:hAnsi="Times New Roman" w:eastAsia="SimHei"/>
          <w:b/>
          <w:sz w:val="24"/>
        </w:rPr>
        <w:t>code/step7_interactive_dashboard.m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SimSun"/>
          <w:sz w:val="21"/>
        </w:rPr>
        <w:t>功能：交互式 linked brushing 仪表盘。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SimSun"/>
          <w:sz w:val="21"/>
        </w:rPr>
        <w:t>输出：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results/07_dashboard/dashboard_preview.png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SimSun"/>
          <w:sz w:val="21"/>
        </w:rPr>
        <w:t>界面控件：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时间步滑条；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密度百分位下限滑条；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密度百分位上限滑条；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投影方向选择：X / Y / Z；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SimSun"/>
          <w:sz w:val="21"/>
        </w:rPr>
        <w:t>显示模式选择：MIP / Mask / LogDensity。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SimSun"/>
          <w:sz w:val="21"/>
        </w:rPr>
        <w:t>分析意义：左侧直方图用于选择密度区间，右侧空间投影视图显示被选体素的空间分布，从而建立统计分布与三维空间结构之间的联动关系。</w:t>
      </w:r>
    </w:p>
    <w:p>
      <w:pPr>
        <w:pStyle w:val="Heading2"/>
        <w:keepNext/>
        <w:ind w:firstLine="0"/>
      </w:pPr>
      <w:r>
        <w:rPr>
          <w:rFonts w:ascii="Times New Roman" w:hAnsi="Times New Roman" w:eastAsia="SimHei"/>
          <w:b/>
          <w:sz w:val="28"/>
        </w:rPr>
        <w:t>5. 工具函数</w:t>
      </w:r>
    </w:p>
    <w:p>
      <w:pPr>
        <w:pStyle w:val="Heading3"/>
        <w:keepNext/>
        <w:ind w:firstLine="0"/>
      </w:pPr>
      <w:r>
        <w:rPr>
          <w:rFonts w:ascii="Times New Roman" w:hAnsi="Times New Roman" w:eastAsia="SimHei"/>
          <w:b/>
          <w:sz w:val="24"/>
        </w:rPr>
        <w:t>code/utils/ensure_folder.m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SimSun"/>
          <w:sz w:val="21"/>
        </w:rPr>
        <w:t>若目标目录不存在，则自动创建。</w:t>
      </w:r>
    </w:p>
    <w:p>
      <w:pPr>
        <w:pStyle w:val="Heading3"/>
        <w:keepNext/>
        <w:ind w:firstLine="0"/>
      </w:pPr>
      <w:r>
        <w:rPr>
          <w:rFonts w:ascii="Times New Roman" w:hAnsi="Times New Roman" w:eastAsia="SimHei"/>
          <w:b/>
          <w:sz w:val="24"/>
        </w:rPr>
        <w:t>code/utils/save_figure.m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SimSun"/>
          <w:sz w:val="21"/>
        </w:rPr>
        <w:t>统一保存 MATLAB figure，优先使用 exportgraphics，旧版本 MATLAB 自动降级为 print。</w:t>
      </w:r>
    </w:p>
    <w:p>
      <w:pPr>
        <w:pStyle w:val="Heading3"/>
        <w:keepNext/>
        <w:ind w:firstLine="0"/>
      </w:pPr>
      <w:r>
        <w:rPr>
          <w:rFonts w:ascii="Times New Roman" w:hAnsi="Times New Roman" w:eastAsia="SimHei"/>
          <w:b/>
          <w:sz w:val="24"/>
        </w:rPr>
        <w:t>code/utils/normalize_percentile.m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SimSun"/>
          <w:sz w:val="21"/>
        </w:rPr>
        <w:t>对输入数据进行百分位裁剪，并归一化到 [0,1]。主要用于体绘制和 MIP 显示。</w:t>
      </w:r>
    </w:p>
    <w:p>
      <w:pPr>
        <w:pStyle w:val="Heading3"/>
        <w:keepNext/>
        <w:ind w:firstLine="0"/>
      </w:pPr>
      <w:r>
        <w:rPr>
          <w:rFonts w:ascii="Times New Roman" w:hAnsi="Times New Roman" w:eastAsia="SimHei"/>
          <w:b/>
          <w:sz w:val="24"/>
        </w:rPr>
        <w:t>code/utils/smoothstep.m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SimSun"/>
          <w:sz w:val="21"/>
        </w:rPr>
        <w:t>平滑阶跃函数，用于透明度传递函数设计。</w:t>
      </w:r>
    </w:p>
    <w:p>
      <w:pPr>
        <w:pStyle w:val="Heading3"/>
        <w:keepNext/>
        <w:ind w:firstLine="0"/>
      </w:pPr>
      <w:r>
        <w:rPr>
          <w:rFonts w:ascii="Times New Roman" w:hAnsi="Times New Roman" w:eastAsia="SimHei"/>
          <w:b/>
          <w:sz w:val="24"/>
        </w:rPr>
        <w:t>code/utils/custom_nyx_colormap.m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SimSun"/>
          <w:sz w:val="21"/>
        </w:rPr>
        <w:t>自定义 Nyx 色图，从深蓝/黑色过渡到紫色、橙色、黄色和白色。</w:t>
      </w:r>
    </w:p>
    <w:p>
      <w:pPr>
        <w:pStyle w:val="Heading3"/>
        <w:keepNext/>
        <w:ind w:firstLine="0"/>
      </w:pPr>
      <w:r>
        <w:rPr>
          <w:rFonts w:ascii="Times New Roman" w:hAnsi="Times New Roman" w:eastAsia="SimHei"/>
          <w:b/>
          <w:sz w:val="24"/>
        </w:rPr>
        <w:t>code/utils/volume_render_alpha_composite.m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SimSun"/>
          <w:sz w:val="21"/>
        </w:rPr>
        <w:t>自定义体绘制核心函数。沿 z 方向从后向前逐层 alpha compositing，并结合梯度增强实现类光照效果。</w:t>
      </w:r>
    </w:p>
    <w:p>
      <w:pPr>
        <w:pStyle w:val="Heading3"/>
        <w:keepNext/>
        <w:ind w:firstLine="0"/>
      </w:pPr>
      <w:r>
        <w:rPr>
          <w:rFonts w:ascii="Times New Roman" w:hAnsi="Times New Roman" w:eastAsia="SimHei"/>
          <w:b/>
          <w:sz w:val="24"/>
        </w:rPr>
        <w:t>code/utils/gini_coefficient.m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SimSun"/>
          <w:sz w:val="21"/>
        </w:rPr>
        <w:t>计算原始密度的 Gini 系数，用于衡量密度不均匀程度。</w:t>
      </w:r>
    </w:p>
    <w:p>
      <w:pPr>
        <w:pStyle w:val="Heading2"/>
        <w:keepNext/>
        <w:ind w:firstLine="0"/>
      </w:pPr>
      <w:r>
        <w:rPr>
          <w:rFonts w:ascii="Times New Roman" w:hAnsi="Times New Roman" w:eastAsia="SimHei"/>
          <w:b/>
          <w:sz w:val="28"/>
        </w:rPr>
        <w:t>6. 推荐答辩说明顺序</w:t>
      </w:r>
    </w:p>
    <w:p>
      <w:pPr>
        <w:pStyle w:val="ListNumber"/>
        <w:spacing w:before="0" w:after="120" w:line="276" w:lineRule="auto"/>
      </w:pPr>
      <w:r>
        <w:rPr>
          <w:rFonts w:ascii="Times New Roman" w:hAnsi="Times New Roman" w:eastAsia="SimSun"/>
          <w:sz w:val="21"/>
        </w:rPr>
        <w:t>先说明数据不是图片，而是 little-endian float32 三维体数据；</w:t>
      </w:r>
    </w:p>
    <w:p>
      <w:pPr>
        <w:pStyle w:val="ListNumber"/>
        <w:spacing w:before="0" w:after="120" w:line="276" w:lineRule="auto"/>
      </w:pPr>
      <w:r>
        <w:rPr>
          <w:rFonts w:ascii="Times New Roman" w:hAnsi="Times New Roman" w:eastAsia="SimSun"/>
          <w:sz w:val="21"/>
        </w:rPr>
        <w:t>说明如何通过文件大小推断 128×128×128 网格；</w:t>
      </w:r>
    </w:p>
    <w:p>
      <w:pPr>
        <w:pStyle w:val="ListNumber"/>
        <w:spacing w:before="0" w:after="120" w:line="276" w:lineRule="auto"/>
      </w:pPr>
      <w:r>
        <w:rPr>
          <w:rFonts w:ascii="Times New Roman" w:hAnsi="Times New Roman" w:eastAsia="SimSun"/>
          <w:sz w:val="21"/>
        </w:rPr>
        <w:t>展示中心切片，证明读取方向正确；</w:t>
      </w:r>
    </w:p>
    <w:p>
      <w:pPr>
        <w:pStyle w:val="ListNumber"/>
        <w:spacing w:before="0" w:after="120" w:line="276" w:lineRule="auto"/>
      </w:pPr>
      <w:r>
        <w:rPr>
          <w:rFonts w:ascii="Times New Roman" w:hAnsi="Times New Roman" w:eastAsia="SimSun"/>
          <w:sz w:val="21"/>
        </w:rPr>
        <w:t>展示体绘制关键帧，说明宇宙网结构逐渐形成；</w:t>
      </w:r>
    </w:p>
    <w:p>
      <w:pPr>
        <w:pStyle w:val="ListNumber"/>
        <w:spacing w:before="0" w:after="120" w:line="276" w:lineRule="auto"/>
      </w:pPr>
      <w:r>
        <w:rPr>
          <w:rFonts w:ascii="Times New Roman" w:hAnsi="Times New Roman" w:eastAsia="SimSun"/>
          <w:sz w:val="21"/>
        </w:rPr>
        <w:t>展示时间-密度热力图和统计曲线，说明密度分布逐渐扩散、高密度尾部增强；</w:t>
      </w:r>
    </w:p>
    <w:p>
      <w:pPr>
        <w:pStyle w:val="ListNumber"/>
        <w:spacing w:before="0" w:after="120" w:line="276" w:lineRule="auto"/>
      </w:pPr>
      <w:r>
        <w:rPr>
          <w:rFonts w:ascii="Times New Roman" w:hAnsi="Times New Roman" w:eastAsia="SimSun"/>
          <w:sz w:val="21"/>
        </w:rPr>
        <w:t>展示 P99 高密度筛选和多阈值等值面，说明右尾对应空间节点；</w:t>
      </w:r>
    </w:p>
    <w:p>
      <w:pPr>
        <w:pStyle w:val="ListNumber"/>
        <w:spacing w:before="0" w:after="120" w:line="276" w:lineRule="auto"/>
      </w:pPr>
      <w:r>
        <w:rPr>
          <w:rFonts w:ascii="Times New Roman" w:hAnsi="Times New Roman" w:eastAsia="SimSun"/>
          <w:sz w:val="21"/>
        </w:rPr>
        <w:t>展示 linked brushing 仪表盘，说明统计分布与空间结构可交互联动。</w:t>
      </w:r>
    </w:p>
    <w:p>
      <w:pPr>
        <w:pStyle w:val="Heading2"/>
        <w:keepNext/>
        <w:ind w:firstLine="0"/>
      </w:pPr>
      <w:r>
        <w:rPr>
          <w:rFonts w:ascii="Times New Roman" w:hAnsi="Times New Roman" w:eastAsia="SimHei"/>
          <w:b/>
          <w:sz w:val="28"/>
        </w:rPr>
        <w:t>7. 各模块与报告章节对应关系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10" w:color="666666"/>
          <w:bottom w:val="single" w:sz="10" w:color="666666"/>
          <w:insideH w:val="single" w:sz="4" w:color="666666"/>
          <w:left w:val="nil"/>
          <w:right w:val="nil"/>
          <w:insideV w:val="nil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/>
                <w:sz w:val="19"/>
              </w:rPr>
              <w:t>代码模块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/>
                <w:sz w:val="19"/>
              </w:rPr>
              <w:t>主要输出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/>
                <w:sz w:val="19"/>
              </w:rPr>
              <w:t>对应报告章节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/>
                <w:sz w:val="19"/>
              </w:rPr>
              <w:t>说明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read_nyx_dat.m / infer_grid_size.m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三维密度体 V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2.3、3.1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负责二进制读取、网格推断和轴顺序恢复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step1_check_data.m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中心切片、文件大小检查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2.4、4.1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验证数据读取和完整性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step2_statistics_all_frames.m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density_stats.csv、统计曲线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3.2、4.4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计算全时间步密度统计指标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step3_histogram_analysis.m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直方图、时间-密度热力图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3.3、4.3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分析 log-density 分布演化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step4_volume_render_keyframes.m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体绘制图、传递函数对比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3.4、4.2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展示三维空间结构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volume_render_alpha_composite.m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RGB 体绘制结果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3.4、3.5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自定义 alpha compositing 和梯度增强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step5_high_density_selection.m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P99 MIP、等值面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3.6、3.7、4.5、4.6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连接高密度尾部与空间结构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step6_structure_metrics.m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结构指标、差分 MIP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3.8、4.6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量化空洞、团块化和不均匀程度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step7_interactive_dashboard.m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dashboard_preview.png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3.9、4.7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实现 linked brushing 交互分析</w:t>
            </w:r>
          </w:p>
        </w:tc>
      </w:tr>
    </w:tbl>
    <w:p/>
    <w:p>
      <w:pPr>
        <w:pStyle w:val="Heading2"/>
        <w:keepNext/>
        <w:ind w:firstLine="0"/>
      </w:pPr>
      <w:r>
        <w:rPr>
          <w:rFonts w:ascii="Times New Roman" w:hAnsi="Times New Roman" w:eastAsia="SimHei"/>
          <w:b/>
          <w:sz w:val="28"/>
        </w:rPr>
        <w:t>8. 答辩讲解顺序</w:t>
      </w:r>
    </w:p>
    <w:p>
      <w:pPr>
        <w:pStyle w:val="ListNumber"/>
        <w:spacing w:before="0" w:after="120" w:line="276" w:lineRule="auto"/>
      </w:pPr>
      <w:r>
        <w:rPr>
          <w:rFonts w:ascii="Times New Roman" w:hAnsi="Times New Roman" w:eastAsia="SimSun"/>
          <w:sz w:val="21"/>
        </w:rPr>
        <w:t>先说明数据格式：Nyx .dat 不是图片，而是 little-endian float32 三维体数据。</w:t>
      </w:r>
    </w:p>
    <w:p>
      <w:pPr>
        <w:pStyle w:val="ListNumber"/>
        <w:spacing w:before="0" w:after="120" w:line="276" w:lineRule="auto"/>
      </w:pPr>
      <w:r>
        <w:rPr>
          <w:rFonts w:ascii="Times New Roman" w:hAnsi="Times New Roman" w:eastAsia="SimSun"/>
          <w:sz w:val="21"/>
        </w:rPr>
        <w:t>展示 read_nyx_dat.m 的读取逻辑：自动推断 128×128×128，并完成 z-y-x 到 x-y-z 重排。</w:t>
      </w:r>
    </w:p>
    <w:p>
      <w:pPr>
        <w:pStyle w:val="ListNumber"/>
        <w:spacing w:before="0" w:after="120" w:line="276" w:lineRule="auto"/>
      </w:pPr>
      <w:r>
        <w:rPr>
          <w:rFonts w:ascii="Times New Roman" w:hAnsi="Times New Roman" w:eastAsia="SimSun"/>
          <w:sz w:val="21"/>
        </w:rPr>
        <w:t>展示中心切片，说明读取方向和数值范围正常。</w:t>
      </w:r>
    </w:p>
    <w:p>
      <w:pPr>
        <w:pStyle w:val="ListNumber"/>
        <w:spacing w:before="0" w:after="120" w:line="276" w:lineRule="auto"/>
      </w:pPr>
      <w:r>
        <w:rPr>
          <w:rFonts w:ascii="Times New Roman" w:hAnsi="Times New Roman" w:eastAsia="SimSun"/>
          <w:sz w:val="21"/>
        </w:rPr>
        <w:t>展示总体流程图，说明项目包含体绘制、统计分析、高密度筛选和交互刷选四条主线。</w:t>
      </w:r>
    </w:p>
    <w:p>
      <w:pPr>
        <w:pStyle w:val="ListNumber"/>
        <w:spacing w:before="0" w:after="120" w:line="276" w:lineRule="auto"/>
      </w:pPr>
      <w:r>
        <w:rPr>
          <w:rFonts w:ascii="Times New Roman" w:hAnsi="Times New Roman" w:eastAsia="SimSun"/>
          <w:sz w:val="21"/>
        </w:rPr>
        <w:t>展示关键帧体绘制，说明从相对均匀到丝状结构和节点增强的空间变化。</w:t>
      </w:r>
    </w:p>
    <w:p>
      <w:pPr>
        <w:pStyle w:val="ListNumber"/>
        <w:spacing w:before="0" w:after="120" w:line="276" w:lineRule="auto"/>
      </w:pPr>
      <w:r>
        <w:rPr>
          <w:rFonts w:ascii="Times New Roman" w:hAnsi="Times New Roman" w:eastAsia="SimSun"/>
          <w:sz w:val="21"/>
        </w:rPr>
        <w:t>展示直方图和时间-密度热力图，说明密度分布逐渐扩散和高密度尾部增强。</w:t>
      </w:r>
    </w:p>
    <w:p>
      <w:pPr>
        <w:pStyle w:val="ListNumber"/>
        <w:spacing w:before="0" w:after="120" w:line="276" w:lineRule="auto"/>
      </w:pPr>
      <w:r>
        <w:rPr>
          <w:rFonts w:ascii="Times New Roman" w:hAnsi="Times New Roman" w:eastAsia="SimSun"/>
          <w:sz w:val="21"/>
        </w:rPr>
        <w:t>展示代表时间步统计表，强调 mean 不是唯一指标，std、P99/mean 和 P99-P01 更有解释力。</w:t>
      </w:r>
    </w:p>
    <w:p>
      <w:pPr>
        <w:pStyle w:val="ListNumber"/>
        <w:spacing w:before="0" w:after="120" w:line="276" w:lineRule="auto"/>
      </w:pPr>
      <w:r>
        <w:rPr>
          <w:rFonts w:ascii="Times New Roman" w:hAnsi="Times New Roman" w:eastAsia="SimSun"/>
          <w:sz w:val="21"/>
        </w:rPr>
        <w:t>展示 P99 MIP 和多阈值等值面，说明高密度尾部对应空间节点和层级结构。</w:t>
      </w:r>
    </w:p>
    <w:p>
      <w:pPr>
        <w:pStyle w:val="ListNumber"/>
        <w:spacing w:before="0" w:after="120" w:line="276" w:lineRule="auto"/>
      </w:pPr>
      <w:r>
        <w:rPr>
          <w:rFonts w:ascii="Times New Roman" w:hAnsi="Times New Roman" w:eastAsia="SimSun"/>
          <w:sz w:val="21"/>
        </w:rPr>
        <w:t>展示 linked brushing 仪表盘，说明如何从密度区间反查空间位置。</w:t>
      </w:r>
    </w:p>
    <w:p>
      <w:pPr>
        <w:pStyle w:val="ListNumber"/>
        <w:spacing w:before="0" w:after="120" w:line="276" w:lineRule="auto"/>
      </w:pPr>
      <w:r>
        <w:rPr>
          <w:rFonts w:ascii="Times New Roman" w:hAnsi="Times New Roman" w:eastAsia="SimSun"/>
          <w:sz w:val="21"/>
        </w:rPr>
        <w:t>最后说明局限性：固定视角体绘制、经验阈值、单变量 density、MIP 深度信息损失。</w:t>
      </w:r>
    </w:p>
    <w:p>
      <w:pPr>
        <w:pStyle w:val="Heading2"/>
        <w:keepNext/>
        <w:ind w:firstLine="0"/>
      </w:pPr>
      <w:r>
        <w:rPr>
          <w:rFonts w:ascii="Times New Roman" w:hAnsi="Times New Roman" w:eastAsia="SimHei"/>
          <w:b/>
          <w:sz w:val="28"/>
        </w:rPr>
        <w:t>9. 可选功能和降级方案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10" w:color="666666"/>
          <w:bottom w:val="single" w:sz="10" w:color="666666"/>
          <w:insideH w:val="single" w:sz="4" w:color="666666"/>
          <w:left w:val="nil"/>
          <w:right w:val="nil"/>
          <w:insideV w:val="nil"/>
        </w:tblBorders>
      </w:tblPr>
      <w:tblGrid>
        <w:gridCol w:w="3024"/>
        <w:gridCol w:w="3024"/>
        <w:gridCol w:w="3024"/>
      </w:tblGrid>
      <w:tr>
        <w:tc>
          <w:tcPr>
            <w:tcW w:type="dxa" w:w="29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/>
                <w:sz w:val="19"/>
              </w:rPr>
              <w:t>功能</w:t>
            </w:r>
          </w:p>
        </w:tc>
        <w:tc>
          <w:tcPr>
            <w:tcW w:type="dxa" w:w="29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/>
                <w:sz w:val="19"/>
              </w:rPr>
              <w:t>依赖</w:t>
            </w:r>
          </w:p>
        </w:tc>
        <w:tc>
          <w:tcPr>
            <w:tcW w:type="dxa" w:w="29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/>
                <w:sz w:val="19"/>
              </w:rPr>
              <w:t>如果不可用的降级方案</w:t>
            </w:r>
          </w:p>
        </w:tc>
      </w:tr>
      <w:tr>
        <w:tc>
          <w:tcPr>
            <w:tcW w:type="dxa" w:w="29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bwconncomp 连通域分析</w:t>
            </w:r>
          </w:p>
        </w:tc>
        <w:tc>
          <w:tcPr>
            <w:tcW w:type="dxa" w:w="29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Image Processing Toolbox</w:t>
            </w:r>
          </w:p>
        </w:tc>
        <w:tc>
          <w:tcPr>
            <w:tcW w:type="dxa" w:w="29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跳过连通域指标，保留其他结构指标</w:t>
            </w:r>
          </w:p>
        </w:tc>
      </w:tr>
      <w:tr>
        <w:tc>
          <w:tcPr>
            <w:tcW w:type="dxa" w:w="29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isosurface 三维等值面</w:t>
            </w:r>
          </w:p>
        </w:tc>
        <w:tc>
          <w:tcPr>
            <w:tcW w:type="dxa" w:w="29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MATLAB 基础图形函数</w:t>
            </w:r>
          </w:p>
        </w:tc>
        <w:tc>
          <w:tcPr>
            <w:tcW w:type="dxa" w:w="29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如果版本不支持，则只输出 P99 MIP</w:t>
            </w:r>
          </w:p>
        </w:tc>
      </w:tr>
      <w:tr>
        <w:tc>
          <w:tcPr>
            <w:tcW w:type="dxa" w:w="29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完整体绘制关键帧</w:t>
            </w:r>
          </w:p>
        </w:tc>
        <w:tc>
          <w:tcPr>
            <w:tcW w:type="dxa" w:w="29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CPU 和内存</w:t>
            </w:r>
          </w:p>
        </w:tc>
        <w:tc>
          <w:tcPr>
            <w:tcW w:type="dxa" w:w="29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使用 log-density MIP 帧替代体绘制视频</w:t>
            </w:r>
          </w:p>
        </w:tc>
      </w:tr>
      <w:tr>
        <w:tc>
          <w:tcPr>
            <w:tcW w:type="dxa" w:w="29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FFmpeg 视频合成</w:t>
            </w:r>
          </w:p>
        </w:tc>
        <w:tc>
          <w:tcPr>
            <w:tcW w:type="dxa" w:w="29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系统安装 FFmpeg</w:t>
            </w:r>
          </w:p>
        </w:tc>
        <w:tc>
          <w:tcPr>
            <w:tcW w:type="dxa" w:w="29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只提交 results/frames/ 帧图</w:t>
            </w:r>
          </w:p>
        </w:tc>
      </w:tr>
      <w:tr>
        <w:tc>
          <w:tcPr>
            <w:tcW w:type="dxa" w:w="29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交互式仪表盘</w:t>
            </w:r>
          </w:p>
        </w:tc>
        <w:tc>
          <w:tcPr>
            <w:tcW w:type="dxa" w:w="29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MATLAB figure/uicontrol</w:t>
            </w:r>
          </w:p>
        </w:tc>
        <w:tc>
          <w:tcPr>
            <w:tcW w:type="dxa" w:w="29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保留 dashboard_preview.png 作为静态说明</w:t>
            </w:r>
          </w:p>
        </w:tc>
      </w:tr>
      <w:tr>
        <w:tc>
          <w:tcPr>
            <w:tcW w:type="dxa" w:w="29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报告新增流程图</w:t>
            </w:r>
          </w:p>
        </w:tc>
        <w:tc>
          <w:tcPr>
            <w:tcW w:type="dxa" w:w="29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MATLAB 绘图</w:t>
            </w:r>
          </w:p>
        </w:tc>
        <w:tc>
          <w:tcPr>
            <w:tcW w:type="dxa" w:w="29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可使用 results/report_figures 中已生成 PNG</w:t>
            </w:r>
          </w:p>
        </w:tc>
      </w:tr>
    </w:tbl>
    <w:p/>
    <w:p>
      <w:pPr>
        <w:spacing w:before="0" w:after="120" w:line="276" w:lineRule="auto"/>
        <w:ind w:firstLine="420"/>
      </w:pPr>
      <w:r>
        <w:rPr>
          <w:rFonts w:ascii="Times New Roman" w:hAnsi="Times New Roman" w:eastAsia="SimSun"/>
          <w:sz w:val="21"/>
        </w:rPr>
        <w:t>这些降级方案保证了项目在普通 MATLAB 环境中仍能完成主流程，避免因为个别工具箱缺失导致整个大作业无法运行。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SimSun"/>
        <w:color w:val="646464"/>
        <w:sz w:val="18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Times New Roman" w:hAnsi="Times New Roman" w:eastAsia="SimSun"/>
        <w:color w:val="646464"/>
        <w:sz w:val="18"/>
      </w:rPr>
      <w:t xml:space="preserve"> 页 / 共 </w:t>
    </w:r>
    <w:r>
      <w:fldChar w:fldCharType="begin"/>
      <w:instrText xml:space="preserve">NUMPAGES</w:instrText>
      <w:fldChar w:fldCharType="separate"/>
      <w:t>1</w:t>
      <w:fldChar w:fldCharType="end"/>
    </w:r>
    <w:r>
      <w:rPr>
        <w:rFonts w:ascii="Times New Roman" w:hAnsi="Times New Roman" w:eastAsia="SimSun"/>
        <w:color w:val="646464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ind w:firstLine="420"/>
    </w:pPr>
    <w:rPr>
      <w:rFonts w:ascii="Times New Roman" w:hAnsi="Times New Roma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SimHei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Times New Roman" w:hAnsi="Times New Roman" w:eastAsia="Sim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