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39BF" w14:textId="77777777" w:rsidR="00497B3B" w:rsidRDefault="00497B3B" w:rsidP="00497B3B">
      <w:pPr>
        <w:autoSpaceDE w:val="0"/>
        <w:autoSpaceDN w:val="0"/>
        <w:adjustRightInd w:val="0"/>
        <w:spacing w:before="18" w:after="18"/>
        <w:jc w:val="center"/>
        <w:rPr>
          <w:rFonts w:ascii="Times New Roman" w:hAnsi="Times New Roman"/>
          <w:b/>
          <w:sz w:val="24"/>
          <w:szCs w:val="24"/>
        </w:rPr>
      </w:pPr>
      <w:r w:rsidRPr="00006E37">
        <w:rPr>
          <w:rFonts w:ascii="Times New Roman" w:hAnsi="Times New Roman"/>
          <w:b/>
          <w:sz w:val="24"/>
          <w:szCs w:val="24"/>
        </w:rPr>
        <w:t>PHỤ LỤC 1</w:t>
      </w:r>
    </w:p>
    <w:p w14:paraId="487B4D52" w14:textId="77777777" w:rsidR="00497B3B" w:rsidRDefault="00497B3B" w:rsidP="00497B3B">
      <w:pPr>
        <w:spacing w:after="200" w:line="276" w:lineRule="auto"/>
        <w:jc w:val="center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/>
          <w:i/>
          <w:sz w:val="22"/>
          <w:szCs w:val="22"/>
        </w:rPr>
        <w:t>Đơn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vị </w:t>
      </w:r>
      <w:proofErr w:type="spellStart"/>
      <w:r>
        <w:rPr>
          <w:rFonts w:ascii="Times New Roman" w:hAnsi="Times New Roman"/>
          <w:i/>
          <w:sz w:val="22"/>
          <w:szCs w:val="22"/>
        </w:rPr>
        <w:t>tính</w:t>
      </w:r>
      <w:proofErr w:type="spellEnd"/>
      <w:r>
        <w:rPr>
          <w:rFonts w:ascii="Times New Roman" w:hAnsi="Times New Roman"/>
          <w:i/>
          <w:sz w:val="22"/>
          <w:szCs w:val="22"/>
        </w:rPr>
        <w:t>: VNĐ</w:t>
      </w:r>
    </w:p>
    <w:tbl>
      <w:tblPr>
        <w:tblW w:w="14497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57"/>
        <w:gridCol w:w="3450"/>
        <w:gridCol w:w="1985"/>
        <w:gridCol w:w="1870"/>
        <w:gridCol w:w="2212"/>
        <w:gridCol w:w="29"/>
        <w:gridCol w:w="2126"/>
        <w:gridCol w:w="56"/>
        <w:gridCol w:w="2212"/>
      </w:tblGrid>
      <w:tr w:rsidR="00497B3B" w:rsidRPr="00D8041F" w14:paraId="03C34AAB" w14:textId="77777777" w:rsidTr="00497B3B">
        <w:trPr>
          <w:trHeight w:val="30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522339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I</w:t>
            </w:r>
          </w:p>
        </w:tc>
        <w:tc>
          <w:tcPr>
            <w:tcW w:w="139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1E12C8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QUYỀN LỢI CHÍNH</w:t>
            </w:r>
          </w:p>
        </w:tc>
      </w:tr>
      <w:tr w:rsidR="00497B3B" w:rsidRPr="00D8041F" w14:paraId="53C38EB0" w14:textId="77777777" w:rsidTr="00497B3B">
        <w:trPr>
          <w:trHeight w:val="6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142496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STT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CC7D9B" w14:textId="77777777" w:rsidR="00497B3B" w:rsidRPr="00D8041F" w:rsidRDefault="00497B3B" w:rsidP="002A080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                                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Tổng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sô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tiền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bảo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hiểm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Quyền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lợi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bảo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hiểm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FBB1E6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10,000,000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E49181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20,000,000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AEF09C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30,000,000</w:t>
            </w: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5155FC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50,000,000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5C58B2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100,000,000</w:t>
            </w:r>
          </w:p>
        </w:tc>
      </w:tr>
      <w:tr w:rsidR="00497B3B" w:rsidRPr="00D8041F" w14:paraId="1381E3AB" w14:textId="77777777" w:rsidTr="00497B3B">
        <w:trPr>
          <w:trHeight w:val="3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45D09B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60758A" w14:textId="77777777" w:rsidR="00497B3B" w:rsidRPr="00D8041F" w:rsidRDefault="00497B3B" w:rsidP="002A080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>Chết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 xml:space="preserve"> do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>ốm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>đau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>bệnh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>tật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>thai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>sản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 xml:space="preserve">, tai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pacing w:val="-6"/>
                <w:sz w:val="18"/>
                <w:szCs w:val="18"/>
                <w:lang w:eastAsia="en-GB"/>
              </w:rPr>
              <w:t>nạn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8A27EB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10,000,000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2A34B7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20,000,000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54239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30,000,000</w:t>
            </w: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3A545C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50,000,000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C3041E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100,000,000</w:t>
            </w:r>
          </w:p>
        </w:tc>
      </w:tr>
      <w:tr w:rsidR="00497B3B" w:rsidRPr="00D8041F" w14:paraId="6110CEC8" w14:textId="77777777" w:rsidTr="00497B3B">
        <w:trPr>
          <w:trHeight w:val="375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07D8C1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1368D0" w14:textId="77777777" w:rsidR="00497B3B" w:rsidRPr="00D8041F" w:rsidRDefault="00497B3B" w:rsidP="002A080E">
            <w:pPr>
              <w:jc w:val="both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Thương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tật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vĩnh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viễn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do tai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nạn</w:t>
            </w:r>
            <w:proofErr w:type="spellEnd"/>
          </w:p>
        </w:tc>
        <w:tc>
          <w:tcPr>
            <w:tcW w:w="10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A8C16A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Theo tỷ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̣ %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Sô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tiền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bảo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hiểm</w:t>
            </w:r>
            <w:proofErr w:type="spellEnd"/>
          </w:p>
        </w:tc>
      </w:tr>
      <w:tr w:rsidR="00497B3B" w:rsidRPr="00D8041F" w14:paraId="0CBDAE98" w14:textId="77777777" w:rsidTr="00497B3B">
        <w:trPr>
          <w:trHeight w:val="6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9AF3D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24962C" w14:textId="77777777" w:rsidR="00497B3B" w:rsidRPr="00D8041F" w:rsidRDefault="00497B3B" w:rsidP="002A080E">
            <w:pPr>
              <w:jc w:val="both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Thương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tật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tạm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thời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do tai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nạn</w:t>
            </w:r>
            <w:proofErr w:type="spellEnd"/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A1D5BF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Theo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tỷ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lệ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% STBH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theo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bảng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tỷ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̣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tra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̉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tiền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bảo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hiểm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thương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tật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66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91F055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Chi phí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điều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trị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thực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qua tỷ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̣ %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theo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Bảng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tỷ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̣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thương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tật</w:t>
            </w:r>
            <w:proofErr w:type="spellEnd"/>
          </w:p>
        </w:tc>
      </w:tr>
      <w:tr w:rsidR="00497B3B" w:rsidRPr="00D8041F" w14:paraId="4A2EF33E" w14:textId="77777777" w:rsidTr="00497B3B">
        <w:trPr>
          <w:trHeight w:val="629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DFBC28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423A8D" w14:textId="77777777" w:rsidR="00497B3B" w:rsidRPr="00D8041F" w:rsidRDefault="00497B3B" w:rsidP="002A080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Nằm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viện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tây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y do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ốm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đau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bệnh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tật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thai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sản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tối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đa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60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ngày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/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năm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bảo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hiểm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CCFBE8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E8AE19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100,000/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6BE57A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Chi phí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thực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quá 150,000/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4F3E7B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Chi phí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thực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quá 250,000/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1CC142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Chi phí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thực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quá 500,000/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</w:tr>
      <w:tr w:rsidR="00497B3B" w:rsidRPr="00D8041F" w14:paraId="135CEA92" w14:textId="77777777" w:rsidTr="00497B3B">
        <w:trPr>
          <w:trHeight w:val="55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366B71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C48053" w14:textId="77777777" w:rsidR="00497B3B" w:rsidRPr="00D8041F" w:rsidRDefault="00497B3B" w:rsidP="002A080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Nằm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viện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đông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y do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ốm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đau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bệnh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tật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thai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sản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tối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đa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90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ngày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/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năm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bảo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hiểm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7BEBC9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30,000/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114CC5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60,000/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BAF7BB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Chi phí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thực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quá 90,000/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BEBCCA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Chi phí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thực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quá 150,000/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5D74F6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Chi phí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thực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quá 300,000/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</w:tr>
      <w:tr w:rsidR="00497B3B" w:rsidRPr="00D8041F" w14:paraId="44C7188B" w14:textId="77777777" w:rsidTr="00497B3B">
        <w:trPr>
          <w:trHeight w:val="419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9F9769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809612" w14:textId="77777777" w:rsidR="00497B3B" w:rsidRPr="00D8041F" w:rsidRDefault="00497B3B" w:rsidP="002A080E">
            <w:pPr>
              <w:jc w:val="both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Phẫu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thuật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do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ốm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đau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bệnh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tật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thai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sản</w:t>
            </w:r>
            <w:proofErr w:type="spellEnd"/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0A255B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Theo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tỷ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lệ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% STBH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theo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bảng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tỷ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̣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phẫu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thuật</w:t>
            </w:r>
            <w:proofErr w:type="spellEnd"/>
          </w:p>
        </w:tc>
        <w:tc>
          <w:tcPr>
            <w:tcW w:w="66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47CE6E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Trả chi phí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thực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́,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quá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tỷ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lệ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%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theo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Bảng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tỷ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lê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̣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phẫu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thuật</w:t>
            </w:r>
            <w:proofErr w:type="spellEnd"/>
          </w:p>
        </w:tc>
      </w:tr>
      <w:tr w:rsidR="00497B3B" w:rsidRPr="00D8041F" w14:paraId="5BCEFBEE" w14:textId="77777777" w:rsidTr="00497B3B">
        <w:trPr>
          <w:trHeight w:val="837"/>
        </w:trPr>
        <w:tc>
          <w:tcPr>
            <w:tcW w:w="14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5056A62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-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Tổng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sô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tiền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chi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tra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̉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các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quyền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lợi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tư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̀ 1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đến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6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vượt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quá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Tổng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sô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tiền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bảo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hiểm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br/>
              <w:t xml:space="preserve"> -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Quyền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lợi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chính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áp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dụng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quy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tắc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Bảo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hiểm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sức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khỏe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toàn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diện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sô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́ 125/2008/VNI-BHCN</w:t>
            </w: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br/>
              <w:t xml:space="preserve"> -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Bảng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tỷ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lệ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trả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tiền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bảo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hiểm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thương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tật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và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phẫu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thuật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ban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hành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theo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Quyết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định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số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: 149/2011/QĐ-BHHK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ngày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07/7/2011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của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VNI.</w:t>
            </w:r>
          </w:p>
        </w:tc>
      </w:tr>
      <w:tr w:rsidR="00497B3B" w:rsidRPr="00D8041F" w14:paraId="7196E2D5" w14:textId="77777777" w:rsidTr="00497B3B">
        <w:trPr>
          <w:trHeight w:val="3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A3BA7F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II</w:t>
            </w:r>
          </w:p>
        </w:tc>
        <w:tc>
          <w:tcPr>
            <w:tcW w:w="139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36563A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QUYỀN LỢI BỔ SUNG</w:t>
            </w:r>
          </w:p>
        </w:tc>
      </w:tr>
      <w:tr w:rsidR="00497B3B" w:rsidRPr="00D8041F" w14:paraId="14F34D03" w14:textId="77777777" w:rsidTr="00497B3B">
        <w:trPr>
          <w:trHeight w:val="585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88F792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8E6EFC" w14:textId="77777777" w:rsidR="00497B3B" w:rsidRPr="00D8041F" w:rsidRDefault="00497B3B" w:rsidP="002A080E">
            <w:pPr>
              <w:jc w:val="both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Trơ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̣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cấp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mai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táng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trường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hợp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tư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̉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vong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thuộc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phạm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vi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bảo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hiểm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4964F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1,000,000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472997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1,000,000</w:t>
            </w:r>
          </w:p>
        </w:tc>
        <w:tc>
          <w:tcPr>
            <w:tcW w:w="2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137E57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2,000,000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E2AC71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3,000,000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FE46E9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5,000,000</w:t>
            </w:r>
          </w:p>
        </w:tc>
      </w:tr>
      <w:tr w:rsidR="00497B3B" w:rsidRPr="00D8041F" w14:paraId="487DFFA7" w14:textId="77777777" w:rsidTr="00497B3B">
        <w:trPr>
          <w:trHeight w:val="55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DE2303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F20965" w14:textId="77777777" w:rsidR="00497B3B" w:rsidRPr="00D8041F" w:rsidRDefault="00497B3B" w:rsidP="002A080E">
            <w:pPr>
              <w:jc w:val="both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Vận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chuyển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y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tê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́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khẩn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cấp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xe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115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hoặc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xe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cấp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cứu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của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bệnh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viện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5F69B2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500,000/vụ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668AC2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500,000/vụ</w:t>
            </w:r>
          </w:p>
        </w:tc>
        <w:tc>
          <w:tcPr>
            <w:tcW w:w="2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E61E0D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500,000/vụ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1BB003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500,000/vụ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3C5461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500,000/vụ</w:t>
            </w:r>
          </w:p>
        </w:tc>
      </w:tr>
      <w:tr w:rsidR="00497B3B" w:rsidRPr="00D8041F" w14:paraId="043C129E" w14:textId="77777777" w:rsidTr="00497B3B">
        <w:trPr>
          <w:trHeight w:val="645"/>
        </w:trPr>
        <w:tc>
          <w:tcPr>
            <w:tcW w:w="5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C59198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6F4B96" w14:textId="77777777" w:rsidR="00497B3B" w:rsidRPr="00D8041F" w:rsidRDefault="00497B3B" w:rsidP="002A080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Điều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trị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ngoại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tru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́ do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ốm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đau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bệnh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tật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Tối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đa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5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lần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/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năm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).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Giới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hạn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năm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B38B64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250,000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74342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500,000</w:t>
            </w:r>
          </w:p>
        </w:tc>
        <w:tc>
          <w:tcPr>
            <w:tcW w:w="2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C2333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750,000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3F4EC5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1,250,000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D9CFB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2,500,000</w:t>
            </w:r>
          </w:p>
        </w:tc>
      </w:tr>
      <w:tr w:rsidR="00497B3B" w:rsidRPr="00D8041F" w14:paraId="6BA81CD7" w14:textId="77777777" w:rsidTr="00497B3B">
        <w:trPr>
          <w:trHeight w:val="390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A2EB2D" w14:textId="77777777" w:rsidR="00497B3B" w:rsidRPr="00D8041F" w:rsidRDefault="00497B3B" w:rsidP="002A080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4E487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Giới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hạn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lần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5FFE50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50,000/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lần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C12DD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100,000/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lần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2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C6CEB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150,000/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lần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B5BE6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250,000/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lần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8F2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500,000/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lần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497B3B" w:rsidRPr="00D8041F" w14:paraId="46B05D57" w14:textId="77777777" w:rsidTr="00497B3B">
        <w:trPr>
          <w:trHeight w:val="870"/>
        </w:trPr>
        <w:tc>
          <w:tcPr>
            <w:tcW w:w="5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675566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43F61C" w14:textId="77777777" w:rsidR="00497B3B" w:rsidRPr="00D8041F" w:rsidRDefault="00497B3B" w:rsidP="002A080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Trơ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̣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cấp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mất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giảm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nhập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trong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thời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gian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nằm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viện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liên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tục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trên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03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ngày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do tai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nạn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hay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ốm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đau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bệnh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tật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thai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sản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tối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đa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60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/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năm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). Chi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tra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̉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tư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̀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thư</w:t>
            </w:r>
            <w:proofErr w:type="spellEnd"/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>́ 0</w:t>
            </w:r>
            <w:r w:rsidRPr="00D8041F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en-GB"/>
              </w:rPr>
              <w:t>3</w:t>
            </w:r>
            <w:r w:rsidRPr="00D8041F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551A8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áp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dụng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5A90CB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Không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áp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dụng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2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191C4" w14:textId="79483D5C" w:rsidR="00497B3B" w:rsidRPr="00D8041F" w:rsidRDefault="00497B3B" w:rsidP="00CA5952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3,000,000/</w:t>
            </w:r>
            <w:proofErr w:type="spellStart"/>
            <w:r w:rsidRPr="00D8041F">
              <w:rPr>
                <w:rFonts w:ascii="Times New Roman" w:hAnsi="Times New Roman"/>
                <w:color w:val="FF0000"/>
                <w:sz w:val="18"/>
                <w:szCs w:val="18"/>
                <w:lang w:eastAsia="en-GB"/>
              </w:rPr>
              <w:t>năm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F1D3C2" w14:textId="7CD05464" w:rsidR="00497B3B" w:rsidRPr="00D8041F" w:rsidRDefault="00497B3B" w:rsidP="00CA5952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6,000,000/</w:t>
            </w:r>
            <w:proofErr w:type="spellStart"/>
            <w:r w:rsidRPr="00D8041F">
              <w:rPr>
                <w:rFonts w:ascii="Times New Roman" w:hAnsi="Times New Roman"/>
                <w:color w:val="FF0000"/>
                <w:sz w:val="18"/>
                <w:szCs w:val="18"/>
                <w:lang w:eastAsia="en-GB"/>
              </w:rPr>
              <w:t>năm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55A539" w14:textId="128972EA" w:rsidR="00497B3B" w:rsidRPr="00D8041F" w:rsidRDefault="00497B3B" w:rsidP="00CA5952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12,000,000/</w:t>
            </w:r>
            <w:proofErr w:type="spellStart"/>
            <w:r w:rsidRPr="00D8041F">
              <w:rPr>
                <w:rFonts w:ascii="Times New Roman" w:hAnsi="Times New Roman"/>
                <w:color w:val="FF0000"/>
                <w:sz w:val="18"/>
                <w:szCs w:val="18"/>
                <w:lang w:eastAsia="en-GB"/>
              </w:rPr>
              <w:t>năm</w:t>
            </w:r>
            <w:proofErr w:type="spellEnd"/>
          </w:p>
        </w:tc>
      </w:tr>
      <w:tr w:rsidR="00497B3B" w:rsidRPr="00D8041F" w14:paraId="0AEE4F5B" w14:textId="77777777" w:rsidTr="00497B3B">
        <w:trPr>
          <w:trHeight w:val="420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F9A014" w14:textId="77777777" w:rsidR="00497B3B" w:rsidRPr="00D8041F" w:rsidRDefault="00497B3B" w:rsidP="002A080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F186C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Giới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hạn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trơ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̣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cấp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D8DC7F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FD83E" w14:textId="77777777" w:rsidR="00497B3B" w:rsidRPr="00D8041F" w:rsidRDefault="00497B3B" w:rsidP="002A080E">
            <w:pPr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678FC6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50,000/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nằm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viện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03832F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100,000/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nằm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viện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CC7D43" w14:textId="77777777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200,000/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ngày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nằm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>viện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</w:tr>
    </w:tbl>
    <w:p w14:paraId="1958AC4E" w14:textId="77777777" w:rsidR="00497B3B" w:rsidRDefault="00497B3B" w:rsidP="002A080E">
      <w:pPr>
        <w:jc w:val="center"/>
        <w:rPr>
          <w:rFonts w:ascii="Times New Roman" w:hAnsi="Times New Roman"/>
          <w:color w:val="000000"/>
          <w:sz w:val="18"/>
          <w:szCs w:val="18"/>
          <w:lang w:val="en-GB" w:eastAsia="en-GB"/>
        </w:rPr>
        <w:sectPr w:rsidR="00497B3B" w:rsidSect="00394E15">
          <w:headerReference w:type="first" r:id="rId5"/>
          <w:pgSz w:w="15840" w:h="12240" w:orient="landscape"/>
          <w:pgMar w:top="810" w:right="51" w:bottom="900" w:left="709" w:header="340" w:footer="0" w:gutter="0"/>
          <w:cols w:space="720"/>
          <w:titlePg/>
          <w:docGrid w:linePitch="360"/>
        </w:sectPr>
      </w:pPr>
    </w:p>
    <w:tbl>
      <w:tblPr>
        <w:tblW w:w="14497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497"/>
      </w:tblGrid>
      <w:tr w:rsidR="00497B3B" w:rsidRPr="00D8041F" w14:paraId="53361AD2" w14:textId="77777777" w:rsidTr="00497B3B">
        <w:trPr>
          <w:trHeight w:val="465"/>
        </w:trPr>
        <w:tc>
          <w:tcPr>
            <w:tcW w:w="1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70BA1" w14:textId="4C55F9B0" w:rsidR="00497B3B" w:rsidRPr="00D8041F" w:rsidRDefault="00497B3B" w:rsidP="002A080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Quyển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lợi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bô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̉ sung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áp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dụng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Quy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tắc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Bảo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hiểm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con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người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mức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trách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nhiệm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cao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 xml:space="preserve"> VNI Care </w:t>
            </w:r>
            <w:proofErr w:type="spellStart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sô</w:t>
            </w:r>
            <w:proofErr w:type="spellEnd"/>
            <w:r w:rsidRPr="00D8041F">
              <w:rPr>
                <w:rFonts w:ascii="Times New Roman" w:hAnsi="Times New Roman"/>
                <w:color w:val="000000"/>
                <w:sz w:val="18"/>
                <w:szCs w:val="18"/>
                <w:lang w:val="en-GB" w:eastAsia="en-GB"/>
              </w:rPr>
              <w:t>́ 06/2012/QĐ-BHHK</w:t>
            </w:r>
          </w:p>
        </w:tc>
      </w:tr>
    </w:tbl>
    <w:p w14:paraId="5DAFC387" w14:textId="77777777" w:rsidR="00497B3B" w:rsidRPr="00D8041F" w:rsidRDefault="00497B3B" w:rsidP="00497B3B">
      <w:pPr>
        <w:spacing w:after="200" w:line="276" w:lineRule="auto"/>
        <w:jc w:val="both"/>
        <w:rPr>
          <w:rFonts w:ascii="Times New Roman" w:hAnsi="Times New Roman"/>
          <w:b/>
          <w:color w:val="FFFFFF" w:themeColor="background1"/>
          <w:sz w:val="18"/>
          <w:szCs w:val="18"/>
        </w:rPr>
        <w:sectPr w:rsidR="00497B3B" w:rsidRPr="00D8041F" w:rsidSect="00497B3B">
          <w:type w:val="continuous"/>
          <w:pgSz w:w="15840" w:h="12240" w:orient="landscape"/>
          <w:pgMar w:top="1134" w:right="51" w:bottom="900" w:left="709" w:header="340" w:footer="0" w:gutter="0"/>
          <w:cols w:space="720"/>
          <w:titlePg/>
          <w:docGrid w:linePitch="360"/>
        </w:sectPr>
      </w:pPr>
    </w:p>
    <w:p w14:paraId="0BD57775" w14:textId="77777777" w:rsidR="00497B3B" w:rsidRPr="00EA475B" w:rsidRDefault="00497B3B" w:rsidP="00497B3B">
      <w:pPr>
        <w:pStyle w:val="ListParagraph"/>
        <w:widowControl w:val="0"/>
        <w:numPr>
          <w:ilvl w:val="0"/>
          <w:numId w:val="2"/>
        </w:numPr>
        <w:shd w:val="clear" w:color="auto" w:fill="005C70"/>
        <w:adjustRightInd w:val="0"/>
        <w:spacing w:before="16" w:after="16"/>
        <w:ind w:hanging="720"/>
        <w:jc w:val="both"/>
        <w:textAlignment w:val="baseline"/>
        <w:rPr>
          <w:rFonts w:ascii="Times New Roman" w:hAnsi="Times New Roman"/>
          <w:b/>
          <w:color w:val="FFFFFF" w:themeColor="background1"/>
          <w:sz w:val="16"/>
          <w:szCs w:val="16"/>
        </w:rPr>
      </w:pPr>
      <w:r w:rsidRPr="00EA475B">
        <w:rPr>
          <w:rFonts w:ascii="Times New Roman" w:hAnsi="Times New Roman"/>
          <w:b/>
          <w:color w:val="FFFFFF" w:themeColor="background1"/>
          <w:sz w:val="16"/>
          <w:szCs w:val="16"/>
        </w:rPr>
        <w:lastRenderedPageBreak/>
        <w:t>ĐỐI TƯỢNG BẢO HIỂM</w:t>
      </w:r>
    </w:p>
    <w:p w14:paraId="17546C31" w14:textId="77777777" w:rsidR="00497B3B" w:rsidRPr="00EA475B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sz w:val="16"/>
          <w:szCs w:val="16"/>
          <w:lang w:val="fr-FR"/>
        </w:rPr>
      </w:pP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Bản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thân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Bên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mua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bảo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hiểm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>.</w:t>
      </w:r>
    </w:p>
    <w:p w14:paraId="1CC75F7B" w14:textId="77777777" w:rsidR="00497B3B" w:rsidRPr="00EA475B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sz w:val="16"/>
          <w:szCs w:val="16"/>
          <w:lang w:val="fr-FR"/>
        </w:rPr>
      </w:pPr>
      <w:r w:rsidRPr="00EA475B">
        <w:rPr>
          <w:rFonts w:ascii="Times New Roman" w:hAnsi="Times New Roman"/>
          <w:sz w:val="16"/>
          <w:szCs w:val="16"/>
          <w:lang w:val="fr-FR"/>
        </w:rPr>
        <w:t xml:space="preserve">Gia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đình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Bên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mua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bảo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hiểm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>.</w:t>
      </w:r>
    </w:p>
    <w:p w14:paraId="27A6B6B2" w14:textId="77777777" w:rsidR="00497B3B" w:rsidRPr="00EA475B" w:rsidRDefault="00497B3B" w:rsidP="00497B3B">
      <w:pPr>
        <w:spacing w:line="288" w:lineRule="auto"/>
        <w:jc w:val="both"/>
        <w:rPr>
          <w:rFonts w:ascii="Times New Roman" w:hAnsi="Times New Roman"/>
          <w:sz w:val="16"/>
          <w:szCs w:val="16"/>
          <w:lang w:val="fr-FR"/>
        </w:rPr>
      </w:pP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Đáp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ứng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các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điều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kiện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proofErr w:type="gramStart"/>
      <w:r w:rsidRPr="00EA475B">
        <w:rPr>
          <w:rFonts w:ascii="Times New Roman" w:hAnsi="Times New Roman"/>
          <w:sz w:val="16"/>
          <w:szCs w:val="16"/>
          <w:lang w:val="fr-FR"/>
        </w:rPr>
        <w:t>sau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>:</w:t>
      </w:r>
      <w:proofErr w:type="gramEnd"/>
    </w:p>
    <w:p w14:paraId="41BB894E" w14:textId="77777777" w:rsidR="00497B3B" w:rsidRPr="00EA475B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sz w:val="16"/>
          <w:szCs w:val="16"/>
          <w:lang w:val="fr-FR"/>
        </w:rPr>
      </w:pPr>
      <w:r w:rsidRPr="00EA475B">
        <w:rPr>
          <w:rFonts w:ascii="Times New Roman" w:hAnsi="Times New Roman"/>
          <w:sz w:val="16"/>
          <w:szCs w:val="16"/>
          <w:lang w:val="fr-FR"/>
        </w:rPr>
        <w:t xml:space="preserve">Là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công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dân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Việt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Nam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và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người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nước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ngoài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đang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sinh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sống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,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làm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việc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tại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Việt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Nam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từ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01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tuổi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đến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65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tuổi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(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sau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đây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gọi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là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Người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được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bảo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hiểm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).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Tre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̉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dưới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18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tuổi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phải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tham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gia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cùng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bô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́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hoặc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mẹ.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Gói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bảo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hiểm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cho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tre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̉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phải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tương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đương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hoặc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thấp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hơn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gói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bảo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hiểm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của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bô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>́/mẹ.</w:t>
      </w:r>
    </w:p>
    <w:p w14:paraId="528F497B" w14:textId="77777777" w:rsidR="00497B3B" w:rsidRPr="00EA475B" w:rsidRDefault="00497B3B" w:rsidP="00497B3B">
      <w:pPr>
        <w:tabs>
          <w:tab w:val="left" w:pos="567"/>
        </w:tabs>
        <w:spacing w:line="288" w:lineRule="auto"/>
        <w:ind w:hanging="180"/>
        <w:jc w:val="both"/>
        <w:rPr>
          <w:rFonts w:ascii="Times New Roman" w:hAnsi="Times New Roman"/>
          <w:sz w:val="16"/>
          <w:szCs w:val="16"/>
          <w:lang w:val="fr-FR"/>
        </w:rPr>
      </w:pPr>
      <w:r w:rsidRPr="00EA475B">
        <w:rPr>
          <w:rFonts w:ascii="Times New Roman" w:hAnsi="Times New Roman"/>
          <w:sz w:val="16"/>
          <w:szCs w:val="16"/>
          <w:lang w:val="fr-FR"/>
        </w:rPr>
        <w:t xml:space="preserve">    VNI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không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nhận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bảo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hiểm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cho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các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đối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proofErr w:type="gramStart"/>
      <w:r w:rsidRPr="00EA475B">
        <w:rPr>
          <w:rFonts w:ascii="Times New Roman" w:hAnsi="Times New Roman"/>
          <w:sz w:val="16"/>
          <w:szCs w:val="16"/>
          <w:lang w:val="fr-FR"/>
        </w:rPr>
        <w:t>tượng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>:</w:t>
      </w:r>
      <w:proofErr w:type="gramEnd"/>
    </w:p>
    <w:p w14:paraId="5E02CCD9" w14:textId="77777777" w:rsidR="00497B3B" w:rsidRPr="00EA475B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sz w:val="16"/>
          <w:szCs w:val="16"/>
          <w:lang w:val="fr-FR"/>
        </w:rPr>
      </w:pP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Những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người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bị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bệnh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tâm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thần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,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phong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,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ung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thư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>.</w:t>
      </w:r>
    </w:p>
    <w:p w14:paraId="2C798084" w14:textId="77777777" w:rsidR="00497B3B" w:rsidRPr="00EA475B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sz w:val="16"/>
          <w:szCs w:val="16"/>
          <w:lang w:val="fr-FR"/>
        </w:rPr>
      </w:pP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Những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người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bị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tàn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phế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hoặc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thương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tật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vĩnh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viễn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từ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50%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trở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lên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>.</w:t>
      </w:r>
    </w:p>
    <w:p w14:paraId="4C442012" w14:textId="77777777" w:rsidR="00497B3B" w:rsidRPr="00EA475B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sz w:val="16"/>
          <w:szCs w:val="16"/>
          <w:lang w:val="fr-FR"/>
        </w:rPr>
      </w:pP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Nhưng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người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đang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trong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thời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gian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điều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trị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bệnh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tật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,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thương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EA475B">
        <w:rPr>
          <w:rFonts w:ascii="Times New Roman" w:hAnsi="Times New Roman"/>
          <w:sz w:val="16"/>
          <w:szCs w:val="16"/>
          <w:lang w:val="fr-FR"/>
        </w:rPr>
        <w:t>tật</w:t>
      </w:r>
      <w:proofErr w:type="spellEnd"/>
      <w:r w:rsidRPr="00EA475B">
        <w:rPr>
          <w:rFonts w:ascii="Times New Roman" w:hAnsi="Times New Roman"/>
          <w:sz w:val="16"/>
          <w:szCs w:val="16"/>
          <w:lang w:val="fr-FR"/>
        </w:rPr>
        <w:t>.</w:t>
      </w:r>
    </w:p>
    <w:p w14:paraId="6C8F1D64" w14:textId="77777777" w:rsidR="00497B3B" w:rsidRPr="008221FE" w:rsidRDefault="00497B3B" w:rsidP="00497B3B">
      <w:pPr>
        <w:pStyle w:val="ListParagraph"/>
        <w:widowControl w:val="0"/>
        <w:numPr>
          <w:ilvl w:val="0"/>
          <w:numId w:val="2"/>
        </w:numPr>
        <w:shd w:val="clear" w:color="auto" w:fill="005C70"/>
        <w:adjustRightInd w:val="0"/>
        <w:spacing w:before="16" w:after="16"/>
        <w:ind w:hanging="720"/>
        <w:jc w:val="both"/>
        <w:textAlignment w:val="baseline"/>
        <w:rPr>
          <w:rFonts w:ascii="Times New Roman" w:hAnsi="Times New Roman"/>
          <w:b/>
          <w:color w:val="FFFFFF" w:themeColor="background1"/>
          <w:sz w:val="16"/>
          <w:szCs w:val="16"/>
        </w:rPr>
      </w:pPr>
      <w:r w:rsidRPr="008221FE">
        <w:rPr>
          <w:rFonts w:ascii="Times New Roman" w:hAnsi="Times New Roman"/>
          <w:b/>
          <w:color w:val="FFFFFF" w:themeColor="background1"/>
          <w:sz w:val="16"/>
          <w:szCs w:val="16"/>
        </w:rPr>
        <w:t>LOẠI TRỪ BẢO HIỂM</w:t>
      </w:r>
    </w:p>
    <w:p w14:paraId="496770C6" w14:textId="77777777" w:rsidR="00497B3B" w:rsidRPr="008221FE" w:rsidRDefault="00497B3B" w:rsidP="00497B3B">
      <w:pPr>
        <w:spacing w:line="288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8221FE">
        <w:rPr>
          <w:rFonts w:ascii="Times New Roman" w:hAnsi="Times New Roman"/>
          <w:sz w:val="16"/>
          <w:szCs w:val="16"/>
          <w:lang w:val="fr-FR"/>
        </w:rPr>
        <w:t xml:space="preserve">VNI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không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trả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tiền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bảo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hiểm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trong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những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trường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hợp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sau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hoặc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gây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ra </w:t>
      </w:r>
      <w:proofErr w:type="spellStart"/>
      <w:proofErr w:type="gramStart"/>
      <w:r w:rsidRPr="008221FE">
        <w:rPr>
          <w:rFonts w:ascii="Times New Roman" w:hAnsi="Times New Roman"/>
          <w:sz w:val="16"/>
          <w:szCs w:val="16"/>
          <w:lang w:val="fr-FR"/>
        </w:rPr>
        <w:t>bởi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>:</w:t>
      </w:r>
      <w:proofErr w:type="gramEnd"/>
    </w:p>
    <w:p w14:paraId="205E480E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Hành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động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cố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ý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gây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thiệt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hại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của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Người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được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bảo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hiểm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hoặc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người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thừa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kế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hợp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pháp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(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trừ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trường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hợp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người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thừa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kế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là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trẻ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em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dưới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14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tuổi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).</w:t>
      </w:r>
    </w:p>
    <w:p w14:paraId="5BFEF8AE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Người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được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bảo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hiểm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có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sử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dụng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rượu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bia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ma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tủy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hoặc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các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chất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kích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thích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tương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tự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khác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5F9722DF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Người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được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bảo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hiểm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vi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phạm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nghiêm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trọng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pháp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luật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nội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quy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quy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định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của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chính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quyền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địa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phương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hoặc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các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tổ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chức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xã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hội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4421A1EC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Điều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trị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hoặc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sử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dụng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thuốc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không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theo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hướng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dẫn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của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cơ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sở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y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tế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594DBD90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Điều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dưỡng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an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dưỡng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nằm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viện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để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kiểm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tra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sức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khỏe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hoặc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giám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định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y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khoa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mà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không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liên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quan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đến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việc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điều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trị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thương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tật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166E2D8F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Điều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trị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hoặc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phẫu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thuật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các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bệnh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tật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bẩm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sinh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những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thương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tật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và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chỉ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định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phẫu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thuật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có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từ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trước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ngày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bắt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đầu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bảo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hiểm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1BD67E2D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Điều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trị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chưa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được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khoa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học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công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nhận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hoặc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điều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trị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thử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nghiệm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.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Tạo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hình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thẩm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mỹ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chỉnh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hình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phục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hồi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chức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năng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làm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chân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tay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giả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mắt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giả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răng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giả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0EB332CE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Kế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hoạch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hóa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đình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0BB0D3FE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Bệnh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đặc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biệt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(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chỉ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áp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dụng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trong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đầu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tiên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tham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bảo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hiểm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)</w:t>
      </w:r>
    </w:p>
    <w:p w14:paraId="19C171DF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bCs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Bệnh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có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sẵn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(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chỉ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áp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dụng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trong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đầu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tiên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tham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bảo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hiểm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).</w:t>
      </w:r>
    </w:p>
    <w:p w14:paraId="2D3A2D23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Người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được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bảo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hiểm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mắc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các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bệnh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giang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mai,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lậu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nhiễm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vi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rút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HIV,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sốt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rét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lao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và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bệnh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nghề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nghiệp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2BE2693D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Các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hoạt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động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hàng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không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(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trừ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khi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với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tư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cách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là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hành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khách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có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vé),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các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cuộc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diễn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tập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huấn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luyện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quân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sự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tham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chiến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đấu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của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các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lực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lượng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vũ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trang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27EC149D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Người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được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bảo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hiểm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tham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gia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đánh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nhau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trừ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khi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được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xác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nhận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đó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là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hành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động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tự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vệ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26DFA181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Động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đất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núi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lửa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nhiễm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phóng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xạ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chiến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tranh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nội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chiến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đình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công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,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khủng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bố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6C439CDD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color w:val="000000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Người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không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thuộc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đối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tượng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bảo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hiểm</w:t>
      </w:r>
      <w:proofErr w:type="spellEnd"/>
      <w:r w:rsidRPr="008221FE">
        <w:rPr>
          <w:rFonts w:ascii="Times New Roman" w:hAnsi="Times New Roman"/>
          <w:color w:val="000000"/>
          <w:sz w:val="16"/>
          <w:szCs w:val="16"/>
          <w:lang w:val="fr-FR"/>
        </w:rPr>
        <w:t>.</w:t>
      </w:r>
    </w:p>
    <w:p w14:paraId="78E5C3AA" w14:textId="77777777" w:rsidR="00497B3B" w:rsidRPr="008221FE" w:rsidRDefault="00497B3B" w:rsidP="00497B3B">
      <w:pPr>
        <w:numPr>
          <w:ilvl w:val="0"/>
          <w:numId w:val="3"/>
        </w:numPr>
        <w:spacing w:line="288" w:lineRule="auto"/>
        <w:ind w:left="284" w:hanging="284"/>
        <w:jc w:val="both"/>
        <w:rPr>
          <w:rFonts w:ascii="Times New Roman" w:hAnsi="Times New Roman"/>
          <w:sz w:val="16"/>
          <w:szCs w:val="16"/>
          <w:lang w:val="fr-FR"/>
        </w:rPr>
      </w:pP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Tư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̉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vong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không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rõ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nguyên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  <w:lang w:val="fr-FR"/>
        </w:rPr>
        <w:t>nhân</w:t>
      </w:r>
      <w:proofErr w:type="spellEnd"/>
      <w:r w:rsidRPr="008221FE">
        <w:rPr>
          <w:rFonts w:ascii="Times New Roman" w:hAnsi="Times New Roman"/>
          <w:sz w:val="16"/>
          <w:szCs w:val="16"/>
          <w:lang w:val="fr-FR"/>
        </w:rPr>
        <w:t>.</w:t>
      </w:r>
    </w:p>
    <w:p w14:paraId="21905ADA" w14:textId="77777777" w:rsidR="00497B3B" w:rsidRPr="008221FE" w:rsidRDefault="00497B3B" w:rsidP="00497B3B">
      <w:pPr>
        <w:pStyle w:val="ListParagraph"/>
        <w:widowControl w:val="0"/>
        <w:numPr>
          <w:ilvl w:val="0"/>
          <w:numId w:val="2"/>
        </w:numPr>
        <w:shd w:val="clear" w:color="auto" w:fill="005C70"/>
        <w:adjustRightInd w:val="0"/>
        <w:spacing w:before="16" w:after="16"/>
        <w:ind w:hanging="720"/>
        <w:jc w:val="both"/>
        <w:textAlignment w:val="baseline"/>
        <w:rPr>
          <w:rFonts w:ascii="Times New Roman" w:hAnsi="Times New Roman"/>
          <w:b/>
          <w:color w:val="FFFFFF" w:themeColor="background1"/>
          <w:sz w:val="16"/>
          <w:szCs w:val="16"/>
        </w:rPr>
      </w:pPr>
      <w:r w:rsidRPr="008221FE">
        <w:rPr>
          <w:rFonts w:ascii="Times New Roman" w:hAnsi="Times New Roman"/>
          <w:b/>
          <w:color w:val="FFFFFF" w:themeColor="background1"/>
          <w:sz w:val="16"/>
          <w:szCs w:val="16"/>
        </w:rPr>
        <w:t>GIẢI QUYẾT BỒI THƯỜNG</w:t>
      </w:r>
    </w:p>
    <w:p w14:paraId="39FA2E0B" w14:textId="77777777" w:rsidR="00497B3B" w:rsidRPr="008221FE" w:rsidRDefault="00497B3B" w:rsidP="00497B3B">
      <w:pPr>
        <w:widowControl w:val="0"/>
        <w:tabs>
          <w:tab w:val="left" w:pos="284"/>
        </w:tabs>
        <w:adjustRightInd w:val="0"/>
        <w:spacing w:before="40" w:after="40"/>
        <w:jc w:val="both"/>
        <w:textAlignment w:val="baseline"/>
        <w:rPr>
          <w:rFonts w:ascii="Times New Roman" w:hAnsi="Times New Roman"/>
          <w:b/>
          <w:bCs/>
          <w:sz w:val="16"/>
          <w:szCs w:val="16"/>
        </w:rPr>
      </w:pPr>
      <w:r w:rsidRPr="008221FE">
        <w:rPr>
          <w:rFonts w:ascii="Times New Roman" w:hAnsi="Times New Roman"/>
          <w:b/>
          <w:bCs/>
          <w:sz w:val="16"/>
          <w:szCs w:val="16"/>
        </w:rPr>
        <w:t xml:space="preserve">1.  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Thời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hạn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thông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báo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và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nộp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hồ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bồi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thường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>:</w:t>
      </w:r>
    </w:p>
    <w:p w14:paraId="4DC53576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Thời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thông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báo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tổn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thất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sz w:val="16"/>
          <w:szCs w:val="16"/>
        </w:rPr>
        <w:t>gửi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hồ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yêu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cầu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bồi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thường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VNI: 180 </w:t>
      </w:r>
      <w:proofErr w:type="spellStart"/>
      <w:r w:rsidRPr="008221FE">
        <w:rPr>
          <w:rFonts w:ascii="Times New Roman" w:hAnsi="Times New Roman"/>
          <w:sz w:val="16"/>
          <w:szCs w:val="16"/>
        </w:rPr>
        <w:t>ngày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kể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ngày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kết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thúc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một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đợt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điều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trị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hoặc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tử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vong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21A0C510" w14:textId="77777777" w:rsidR="00497B3B" w:rsidRPr="008221FE" w:rsidRDefault="00497B3B" w:rsidP="00497B3B">
      <w:pPr>
        <w:widowControl w:val="0"/>
        <w:adjustRightInd w:val="0"/>
        <w:spacing w:before="40" w:after="40"/>
        <w:jc w:val="both"/>
        <w:textAlignment w:val="baseline"/>
        <w:rPr>
          <w:rFonts w:ascii="Times New Roman" w:hAnsi="Times New Roman"/>
          <w:b/>
          <w:bCs/>
          <w:sz w:val="16"/>
          <w:szCs w:val="16"/>
        </w:rPr>
      </w:pPr>
      <w:r w:rsidRPr="008221FE">
        <w:rPr>
          <w:rFonts w:ascii="Times New Roman" w:hAnsi="Times New Roman"/>
          <w:b/>
          <w:bCs/>
          <w:sz w:val="16"/>
          <w:szCs w:val="16"/>
        </w:rPr>
        <w:t xml:space="preserve">2.  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Thời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hạn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giải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quyết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bồi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thường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>:</w:t>
      </w:r>
    </w:p>
    <w:p w14:paraId="2FB4BE72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Đối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với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hồ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có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Số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tiền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YCBT </w:t>
      </w:r>
      <w:proofErr w:type="spellStart"/>
      <w:r w:rsidRPr="008221FE">
        <w:rPr>
          <w:rFonts w:ascii="Times New Roman" w:hAnsi="Times New Roman"/>
          <w:sz w:val="16"/>
          <w:szCs w:val="16"/>
        </w:rPr>
        <w:t>dưới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10 </w:t>
      </w:r>
      <w:proofErr w:type="spellStart"/>
      <w:r w:rsidRPr="008221FE">
        <w:rPr>
          <w:rFonts w:ascii="Times New Roman" w:hAnsi="Times New Roman"/>
          <w:sz w:val="16"/>
          <w:szCs w:val="16"/>
        </w:rPr>
        <w:t>triệu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: 8 - 10 </w:t>
      </w:r>
      <w:proofErr w:type="spellStart"/>
      <w:r w:rsidRPr="008221FE">
        <w:rPr>
          <w:rFonts w:ascii="Times New Roman" w:hAnsi="Times New Roman"/>
          <w:sz w:val="16"/>
          <w:szCs w:val="16"/>
        </w:rPr>
        <w:t>ngày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làm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việc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kể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ngày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nhận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đầy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đủ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hồ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hợp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lệ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43FAE7C4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Đối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với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hồ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có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Số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tiền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YCBT </w:t>
      </w:r>
      <w:proofErr w:type="spellStart"/>
      <w:r w:rsidRPr="008221FE">
        <w:rPr>
          <w:rFonts w:ascii="Times New Roman" w:hAnsi="Times New Roman"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trên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10 </w:t>
      </w:r>
      <w:proofErr w:type="spellStart"/>
      <w:r w:rsidRPr="008221FE">
        <w:rPr>
          <w:rFonts w:ascii="Times New Roman" w:hAnsi="Times New Roman"/>
          <w:sz w:val="16"/>
          <w:szCs w:val="16"/>
        </w:rPr>
        <w:t>triệu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: 10 - 15 </w:t>
      </w:r>
      <w:proofErr w:type="spellStart"/>
      <w:r w:rsidRPr="008221FE">
        <w:rPr>
          <w:rFonts w:ascii="Times New Roman" w:hAnsi="Times New Roman"/>
          <w:sz w:val="16"/>
          <w:szCs w:val="16"/>
        </w:rPr>
        <w:t>ngày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làm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việc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kể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ngày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nhận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đầy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đủ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hồ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hợp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lệ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0B9A2791" w14:textId="77777777" w:rsidR="00497B3B" w:rsidRPr="008221FE" w:rsidRDefault="00497B3B" w:rsidP="00497B3B">
      <w:pPr>
        <w:widowControl w:val="0"/>
        <w:adjustRightInd w:val="0"/>
        <w:spacing w:before="40" w:after="40"/>
        <w:jc w:val="both"/>
        <w:textAlignment w:val="baseline"/>
        <w:rPr>
          <w:rFonts w:ascii="Times New Roman" w:hAnsi="Times New Roman"/>
          <w:b/>
          <w:bCs/>
          <w:sz w:val="16"/>
          <w:szCs w:val="16"/>
        </w:rPr>
      </w:pPr>
      <w:r w:rsidRPr="008221FE">
        <w:rPr>
          <w:rFonts w:ascii="Times New Roman" w:hAnsi="Times New Roman"/>
          <w:b/>
          <w:bCs/>
          <w:sz w:val="16"/>
          <w:szCs w:val="16"/>
        </w:rPr>
        <w:t xml:space="preserve">3.   Quy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trình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yêu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cầu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bồi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thường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>:</w:t>
      </w:r>
    </w:p>
    <w:p w14:paraId="33ECA597" w14:textId="77777777" w:rsidR="00497B3B" w:rsidRPr="000B3A28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color w:val="FF0000"/>
          <w:sz w:val="16"/>
          <w:szCs w:val="16"/>
        </w:rPr>
      </w:pPr>
      <w:proofErr w:type="spellStart"/>
      <w:r w:rsidRPr="000B3A28">
        <w:rPr>
          <w:rFonts w:ascii="Times New Roman" w:hAnsi="Times New Roman"/>
          <w:sz w:val="16"/>
          <w:szCs w:val="16"/>
        </w:rPr>
        <w:t>Bước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1: </w:t>
      </w:r>
      <w:proofErr w:type="spellStart"/>
      <w:r w:rsidRPr="000B3A28">
        <w:rPr>
          <w:rFonts w:ascii="Times New Roman" w:hAnsi="Times New Roman"/>
          <w:sz w:val="16"/>
          <w:szCs w:val="16"/>
        </w:rPr>
        <w:t>Gửi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Hồ </w:t>
      </w:r>
      <w:proofErr w:type="spellStart"/>
      <w:r w:rsidRPr="000B3A28">
        <w:rPr>
          <w:rFonts w:ascii="Times New Roman" w:hAnsi="Times New Roman"/>
          <w:sz w:val="16"/>
          <w:szCs w:val="16"/>
        </w:rPr>
        <w:t>sơ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yêu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cầu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trả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tiền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bảo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hiểm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về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địa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chỉ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: </w:t>
      </w:r>
      <w:r w:rsidRPr="000B3A28">
        <w:rPr>
          <w:rFonts w:ascii="Times New Roman" w:hAnsi="Times New Roman"/>
          <w:b/>
          <w:bCs/>
          <w:sz w:val="16"/>
          <w:szCs w:val="16"/>
        </w:rPr>
        <w:t xml:space="preserve">Công ty </w:t>
      </w:r>
      <w:proofErr w:type="spellStart"/>
      <w:r w:rsidRPr="000B3A28">
        <w:rPr>
          <w:rFonts w:ascii="Times New Roman" w:hAnsi="Times New Roman"/>
          <w:b/>
          <w:bCs/>
          <w:sz w:val="16"/>
          <w:szCs w:val="16"/>
        </w:rPr>
        <w:t>Bảo</w:t>
      </w:r>
      <w:proofErr w:type="spellEnd"/>
      <w:r w:rsidRPr="000B3A28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b/>
          <w:bCs/>
          <w:sz w:val="16"/>
          <w:szCs w:val="16"/>
        </w:rPr>
        <w:t>hiểm</w:t>
      </w:r>
      <w:proofErr w:type="spellEnd"/>
      <w:r w:rsidRPr="000B3A28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b/>
          <w:bCs/>
          <w:sz w:val="16"/>
          <w:szCs w:val="16"/>
        </w:rPr>
        <w:t>Hàng</w:t>
      </w:r>
      <w:proofErr w:type="spellEnd"/>
      <w:r w:rsidRPr="000B3A28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b/>
          <w:bCs/>
          <w:sz w:val="16"/>
          <w:szCs w:val="16"/>
        </w:rPr>
        <w:t>không</w:t>
      </w:r>
      <w:proofErr w:type="spellEnd"/>
      <w:r w:rsidRPr="000B3A2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B3A28">
        <w:rPr>
          <w:rFonts w:ascii="Times New Roman" w:hAnsi="Times New Roman"/>
          <w:b/>
          <w:bCs/>
          <w:color w:val="FF0000"/>
          <w:sz w:val="16"/>
          <w:szCs w:val="16"/>
        </w:rPr>
        <w:t xml:space="preserve">Thủ </w:t>
      </w:r>
      <w:proofErr w:type="spellStart"/>
      <w:r w:rsidRPr="000B3A28">
        <w:rPr>
          <w:rFonts w:ascii="Times New Roman" w:hAnsi="Times New Roman"/>
          <w:b/>
          <w:bCs/>
          <w:color w:val="FF0000"/>
          <w:sz w:val="16"/>
          <w:szCs w:val="16"/>
        </w:rPr>
        <w:t>Đô</w:t>
      </w:r>
      <w:proofErr w:type="spellEnd"/>
      <w:r w:rsidRPr="000B3A28">
        <w:rPr>
          <w:rFonts w:ascii="Times New Roman" w:hAnsi="Times New Roman"/>
          <w:b/>
          <w:bCs/>
          <w:color w:val="FF0000"/>
          <w:sz w:val="16"/>
          <w:szCs w:val="16"/>
        </w:rPr>
        <w:t xml:space="preserve"> </w:t>
      </w:r>
      <w:r w:rsidRPr="000B3A28">
        <w:rPr>
          <w:rFonts w:ascii="Times New Roman" w:hAnsi="Times New Roman"/>
          <w:color w:val="FF0000"/>
          <w:sz w:val="16"/>
          <w:szCs w:val="16"/>
        </w:rPr>
        <w:t xml:space="preserve">– </w:t>
      </w:r>
      <w:proofErr w:type="spellStart"/>
      <w:r w:rsidRPr="000B3A28">
        <w:rPr>
          <w:rFonts w:ascii="Times New Roman" w:hAnsi="Times New Roman"/>
          <w:color w:val="FF0000"/>
          <w:sz w:val="16"/>
          <w:szCs w:val="16"/>
        </w:rPr>
        <w:t>Địa</w:t>
      </w:r>
      <w:proofErr w:type="spellEnd"/>
      <w:r w:rsidRPr="000B3A28">
        <w:rPr>
          <w:rFonts w:ascii="Times New Roman" w:hAnsi="Times New Roman"/>
          <w:color w:val="FF0000"/>
          <w:sz w:val="16"/>
          <w:szCs w:val="16"/>
        </w:rPr>
        <w:t xml:space="preserve"> chỉ: </w:t>
      </w:r>
      <w:proofErr w:type="spellStart"/>
      <w:r w:rsidRPr="000B3A28">
        <w:rPr>
          <w:rFonts w:ascii="Times New Roman" w:hAnsi="Times New Roman"/>
          <w:color w:val="FF0000"/>
          <w:sz w:val="16"/>
          <w:szCs w:val="16"/>
        </w:rPr>
        <w:t>Tầng</w:t>
      </w:r>
      <w:proofErr w:type="spellEnd"/>
      <w:r w:rsidRPr="000B3A28">
        <w:rPr>
          <w:rFonts w:ascii="Times New Roman" w:hAnsi="Times New Roman"/>
          <w:color w:val="FF0000"/>
          <w:sz w:val="16"/>
          <w:szCs w:val="16"/>
        </w:rPr>
        <w:t xml:space="preserve"> 3 </w:t>
      </w:r>
      <w:proofErr w:type="spellStart"/>
      <w:r w:rsidRPr="000B3A28">
        <w:rPr>
          <w:rFonts w:ascii="Times New Roman" w:hAnsi="Times New Roman"/>
          <w:color w:val="FF0000"/>
          <w:sz w:val="16"/>
          <w:szCs w:val="16"/>
        </w:rPr>
        <w:t>Tòa</w:t>
      </w:r>
      <w:proofErr w:type="spellEnd"/>
      <w:r w:rsidRPr="000B3A28">
        <w:rPr>
          <w:rFonts w:ascii="Times New Roman" w:hAnsi="Times New Roman"/>
          <w:color w:val="FF0000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color w:val="FF0000"/>
          <w:sz w:val="16"/>
          <w:szCs w:val="16"/>
        </w:rPr>
        <w:t>nhà</w:t>
      </w:r>
      <w:proofErr w:type="spellEnd"/>
      <w:r w:rsidRPr="000B3A28">
        <w:rPr>
          <w:rFonts w:ascii="Times New Roman" w:hAnsi="Times New Roman"/>
          <w:color w:val="FF0000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color w:val="FF0000"/>
          <w:sz w:val="16"/>
          <w:szCs w:val="16"/>
        </w:rPr>
        <w:t>Sông</w:t>
      </w:r>
      <w:proofErr w:type="spellEnd"/>
      <w:r w:rsidRPr="000B3A28">
        <w:rPr>
          <w:rFonts w:ascii="Times New Roman" w:hAnsi="Times New Roman"/>
          <w:color w:val="FF0000"/>
          <w:sz w:val="16"/>
          <w:szCs w:val="16"/>
        </w:rPr>
        <w:t xml:space="preserve"> Hồng,68 Lê V</w:t>
      </w:r>
      <w:r w:rsidRPr="000B3A28">
        <w:rPr>
          <w:rFonts w:ascii="Times New Roman" w:hAnsi="Times New Roman" w:hint="eastAsia"/>
          <w:color w:val="FF0000"/>
          <w:sz w:val="16"/>
          <w:szCs w:val="16"/>
        </w:rPr>
        <w:t>ă</w:t>
      </w:r>
      <w:r w:rsidRPr="000B3A28">
        <w:rPr>
          <w:rFonts w:ascii="Times New Roman" w:hAnsi="Times New Roman"/>
          <w:color w:val="FF0000"/>
          <w:sz w:val="16"/>
          <w:szCs w:val="16"/>
        </w:rPr>
        <w:t xml:space="preserve">n </w:t>
      </w:r>
      <w:proofErr w:type="spellStart"/>
      <w:proofErr w:type="gramStart"/>
      <w:r w:rsidRPr="000B3A28">
        <w:rPr>
          <w:rFonts w:ascii="Times New Roman" w:hAnsi="Times New Roman"/>
          <w:color w:val="FF0000"/>
          <w:sz w:val="16"/>
          <w:szCs w:val="16"/>
        </w:rPr>
        <w:t>L</w:t>
      </w:r>
      <w:r w:rsidRPr="000B3A28">
        <w:rPr>
          <w:rFonts w:ascii="Times New Roman" w:hAnsi="Times New Roman" w:hint="eastAsia"/>
          <w:color w:val="FF0000"/>
          <w:sz w:val="16"/>
          <w:szCs w:val="16"/>
        </w:rPr>
        <w:t>ươ</w:t>
      </w:r>
      <w:r w:rsidRPr="000B3A28">
        <w:rPr>
          <w:rFonts w:ascii="Times New Roman" w:hAnsi="Times New Roman"/>
          <w:color w:val="FF0000"/>
          <w:sz w:val="16"/>
          <w:szCs w:val="16"/>
        </w:rPr>
        <w:t>ng,Nhân</w:t>
      </w:r>
      <w:proofErr w:type="spellEnd"/>
      <w:proofErr w:type="gramEnd"/>
      <w:r w:rsidRPr="000B3A28">
        <w:rPr>
          <w:rFonts w:ascii="Times New Roman" w:hAnsi="Times New Roman"/>
          <w:color w:val="FF0000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color w:val="FF0000"/>
          <w:sz w:val="16"/>
          <w:szCs w:val="16"/>
        </w:rPr>
        <w:t>Chính,Thanh</w:t>
      </w:r>
      <w:proofErr w:type="spellEnd"/>
      <w:r w:rsidRPr="000B3A28">
        <w:rPr>
          <w:rFonts w:ascii="Times New Roman" w:hAnsi="Times New Roman"/>
          <w:color w:val="FF0000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color w:val="FF0000"/>
          <w:sz w:val="16"/>
          <w:szCs w:val="16"/>
        </w:rPr>
        <w:t>Xuân,Hà</w:t>
      </w:r>
      <w:proofErr w:type="spellEnd"/>
      <w:r w:rsidRPr="000B3A28">
        <w:rPr>
          <w:rFonts w:ascii="Times New Roman" w:hAnsi="Times New Roman"/>
          <w:color w:val="FF0000"/>
          <w:sz w:val="16"/>
          <w:szCs w:val="16"/>
        </w:rPr>
        <w:t xml:space="preserve"> Nội. </w:t>
      </w:r>
      <w:proofErr w:type="spellStart"/>
      <w:r w:rsidRPr="000B3A28">
        <w:rPr>
          <w:rFonts w:ascii="Times New Roman" w:hAnsi="Times New Roman"/>
          <w:color w:val="FF0000"/>
          <w:sz w:val="16"/>
          <w:szCs w:val="16"/>
        </w:rPr>
        <w:t>Điện</w:t>
      </w:r>
      <w:proofErr w:type="spellEnd"/>
      <w:r w:rsidRPr="000B3A28">
        <w:rPr>
          <w:rFonts w:ascii="Times New Roman" w:hAnsi="Times New Roman"/>
          <w:color w:val="FF0000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color w:val="FF0000"/>
          <w:sz w:val="16"/>
          <w:szCs w:val="16"/>
        </w:rPr>
        <w:t>thoại</w:t>
      </w:r>
      <w:proofErr w:type="spellEnd"/>
      <w:r w:rsidRPr="000B3A28">
        <w:rPr>
          <w:rFonts w:ascii="Times New Roman" w:hAnsi="Times New Roman"/>
          <w:color w:val="FF0000"/>
          <w:sz w:val="16"/>
          <w:szCs w:val="16"/>
        </w:rPr>
        <w:t>: 0243.233.6091</w:t>
      </w:r>
    </w:p>
    <w:p w14:paraId="18996960" w14:textId="77777777" w:rsidR="00497B3B" w:rsidRPr="000B3A28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right="85" w:hanging="720"/>
        <w:jc w:val="both"/>
        <w:rPr>
          <w:rFonts w:ascii="Times New Roman" w:hAnsi="Times New Roman"/>
          <w:sz w:val="16"/>
          <w:szCs w:val="16"/>
        </w:rPr>
      </w:pPr>
      <w:proofErr w:type="spellStart"/>
      <w:r w:rsidRPr="000B3A28">
        <w:rPr>
          <w:rFonts w:ascii="Times New Roman" w:hAnsi="Times New Roman"/>
          <w:sz w:val="16"/>
          <w:szCs w:val="16"/>
        </w:rPr>
        <w:t>Bước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2: </w:t>
      </w:r>
      <w:proofErr w:type="spellStart"/>
      <w:r w:rsidRPr="000B3A28">
        <w:rPr>
          <w:rFonts w:ascii="Times New Roman" w:hAnsi="Times New Roman"/>
          <w:sz w:val="16"/>
          <w:szCs w:val="16"/>
        </w:rPr>
        <w:t>Nhận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thông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báo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nhận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hồ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sơ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và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thông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báo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bổ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sung </w:t>
      </w:r>
      <w:proofErr w:type="spellStart"/>
      <w:r w:rsidRPr="000B3A28">
        <w:rPr>
          <w:rFonts w:ascii="Times New Roman" w:hAnsi="Times New Roman"/>
          <w:sz w:val="16"/>
          <w:szCs w:val="16"/>
        </w:rPr>
        <w:t>chứng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từ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0B3A28">
        <w:rPr>
          <w:rFonts w:ascii="Times New Roman" w:hAnsi="Times New Roman"/>
          <w:sz w:val="16"/>
          <w:szCs w:val="16"/>
        </w:rPr>
        <w:t>nếu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thiếu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) </w:t>
      </w:r>
      <w:proofErr w:type="spellStart"/>
      <w:r w:rsidRPr="000B3A28">
        <w:rPr>
          <w:rFonts w:ascii="Times New Roman" w:hAnsi="Times New Roman"/>
          <w:sz w:val="16"/>
          <w:szCs w:val="16"/>
        </w:rPr>
        <w:t>trong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vòng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1 - 3 </w:t>
      </w:r>
      <w:proofErr w:type="spellStart"/>
      <w:r w:rsidRPr="000B3A28">
        <w:rPr>
          <w:rFonts w:ascii="Times New Roman" w:hAnsi="Times New Roman"/>
          <w:sz w:val="16"/>
          <w:szCs w:val="16"/>
        </w:rPr>
        <w:t>ngày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làm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0B3A28">
        <w:rPr>
          <w:rFonts w:ascii="Times New Roman" w:hAnsi="Times New Roman"/>
          <w:sz w:val="16"/>
          <w:szCs w:val="16"/>
        </w:rPr>
        <w:t>việc</w:t>
      </w:r>
      <w:proofErr w:type="spellEnd"/>
      <w:r w:rsidRPr="000B3A28">
        <w:rPr>
          <w:rFonts w:ascii="Times New Roman" w:hAnsi="Times New Roman"/>
          <w:sz w:val="16"/>
          <w:szCs w:val="16"/>
        </w:rPr>
        <w:t xml:space="preserve"> qua email;</w:t>
      </w:r>
    </w:p>
    <w:p w14:paraId="506C4158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Bước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3: </w:t>
      </w:r>
      <w:proofErr w:type="spellStart"/>
      <w:r w:rsidRPr="008221FE">
        <w:rPr>
          <w:rFonts w:ascii="Times New Roman" w:hAnsi="Times New Roman"/>
          <w:sz w:val="16"/>
          <w:szCs w:val="16"/>
        </w:rPr>
        <w:t>Gửi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bổ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sung </w:t>
      </w:r>
      <w:proofErr w:type="spellStart"/>
      <w:r w:rsidRPr="008221FE">
        <w:rPr>
          <w:rFonts w:ascii="Times New Roman" w:hAnsi="Times New Roman"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8221FE">
        <w:rPr>
          <w:rFonts w:ascii="Times New Roman" w:hAnsi="Times New Roman"/>
          <w:sz w:val="16"/>
          <w:szCs w:val="16"/>
        </w:rPr>
        <w:t>nếu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thiếu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) </w:t>
      </w:r>
      <w:proofErr w:type="spellStart"/>
      <w:r w:rsidRPr="008221FE">
        <w:rPr>
          <w:rFonts w:ascii="Times New Roman" w:hAnsi="Times New Roman"/>
          <w:sz w:val="16"/>
          <w:szCs w:val="16"/>
        </w:rPr>
        <w:t>cho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VNI;</w:t>
      </w:r>
    </w:p>
    <w:p w14:paraId="6413B305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Bước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4: </w:t>
      </w:r>
      <w:proofErr w:type="spellStart"/>
      <w:r w:rsidRPr="008221FE">
        <w:rPr>
          <w:rFonts w:ascii="Times New Roman" w:hAnsi="Times New Roman"/>
          <w:sz w:val="16"/>
          <w:szCs w:val="16"/>
        </w:rPr>
        <w:t>Nhận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thông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báo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bồi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thường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. Trong </w:t>
      </w:r>
      <w:proofErr w:type="spellStart"/>
      <w:r w:rsidRPr="008221FE">
        <w:rPr>
          <w:rFonts w:ascii="Times New Roman" w:hAnsi="Times New Roman"/>
          <w:sz w:val="16"/>
          <w:szCs w:val="16"/>
        </w:rPr>
        <w:t>trường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hợp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không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có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ý </w:t>
      </w:r>
      <w:proofErr w:type="spellStart"/>
      <w:r w:rsidRPr="008221FE">
        <w:rPr>
          <w:rFonts w:ascii="Times New Roman" w:hAnsi="Times New Roman"/>
          <w:sz w:val="16"/>
          <w:szCs w:val="16"/>
        </w:rPr>
        <w:t>kiến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khiếu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nại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tiền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bồi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thường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sẽ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được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chuyển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trong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vòng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3 – 5 </w:t>
      </w:r>
      <w:proofErr w:type="spellStart"/>
      <w:r w:rsidRPr="008221FE">
        <w:rPr>
          <w:rFonts w:ascii="Times New Roman" w:hAnsi="Times New Roman"/>
          <w:sz w:val="16"/>
          <w:szCs w:val="16"/>
        </w:rPr>
        <w:t>ngày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làm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việc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kể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ngày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nhận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thông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báo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bồi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thường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62C7AFCA" w14:textId="77777777" w:rsidR="00497B3B" w:rsidRPr="008221FE" w:rsidRDefault="00497B3B" w:rsidP="00497B3B">
      <w:pPr>
        <w:widowControl w:val="0"/>
        <w:adjustRightInd w:val="0"/>
        <w:spacing w:before="40" w:after="40"/>
        <w:jc w:val="both"/>
        <w:textAlignment w:val="baseline"/>
        <w:rPr>
          <w:rFonts w:ascii="Times New Roman" w:hAnsi="Times New Roman"/>
          <w:b/>
          <w:bCs/>
          <w:sz w:val="16"/>
          <w:szCs w:val="16"/>
        </w:rPr>
      </w:pPr>
      <w:r w:rsidRPr="008221FE">
        <w:rPr>
          <w:rFonts w:ascii="Times New Roman" w:hAnsi="Times New Roman"/>
          <w:b/>
          <w:bCs/>
          <w:sz w:val="16"/>
          <w:szCs w:val="16"/>
        </w:rPr>
        <w:t xml:space="preserve">4.   Hồ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yêu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cầu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trả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tiền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bảo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/>
          <w:bCs/>
          <w:sz w:val="16"/>
          <w:szCs w:val="16"/>
        </w:rPr>
        <w:t>hiểm</w:t>
      </w:r>
      <w:proofErr w:type="spellEnd"/>
      <w:r w:rsidRPr="008221FE">
        <w:rPr>
          <w:rFonts w:ascii="Times New Roman" w:hAnsi="Times New Roman"/>
          <w:b/>
          <w:bCs/>
          <w:sz w:val="16"/>
          <w:szCs w:val="16"/>
        </w:rPr>
        <w:t>:</w:t>
      </w:r>
    </w:p>
    <w:p w14:paraId="21AFC495" w14:textId="77777777" w:rsidR="00497B3B" w:rsidRPr="008221FE" w:rsidRDefault="00497B3B" w:rsidP="00497B3B">
      <w:pPr>
        <w:widowControl w:val="0"/>
        <w:adjustRightInd w:val="0"/>
        <w:spacing w:before="40" w:after="40"/>
        <w:ind w:firstLine="284"/>
        <w:jc w:val="both"/>
        <w:textAlignment w:val="baseline"/>
        <w:rPr>
          <w:rFonts w:ascii="Times New Roman" w:hAnsi="Times New Roman"/>
          <w:bCs/>
          <w:sz w:val="16"/>
          <w:szCs w:val="16"/>
        </w:rPr>
      </w:pPr>
      <w:proofErr w:type="spellStart"/>
      <w:r w:rsidRPr="008221FE">
        <w:rPr>
          <w:rFonts w:ascii="Times New Roman" w:hAnsi="Times New Roman"/>
          <w:bCs/>
          <w:sz w:val="16"/>
          <w:szCs w:val="16"/>
        </w:rPr>
        <w:t>Đối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với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Hồ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yêu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cầu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trả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tiền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bảo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hiểm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, NĐBH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cung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cấp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các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sau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>:</w:t>
      </w:r>
    </w:p>
    <w:p w14:paraId="6F1546B1" w14:textId="77777777" w:rsidR="00497B3B" w:rsidRPr="008221FE" w:rsidRDefault="00497B3B" w:rsidP="00497B3B">
      <w:pPr>
        <w:widowControl w:val="0"/>
        <w:tabs>
          <w:tab w:val="left" w:pos="284"/>
        </w:tabs>
        <w:spacing w:before="40" w:after="40"/>
        <w:ind w:right="85"/>
        <w:jc w:val="both"/>
        <w:rPr>
          <w:rFonts w:ascii="Times New Roman" w:hAnsi="Times New Roman"/>
          <w:bCs/>
          <w:sz w:val="16"/>
          <w:szCs w:val="16"/>
        </w:rPr>
      </w:pPr>
      <w:r w:rsidRPr="008221FE">
        <w:rPr>
          <w:rFonts w:ascii="Times New Roman" w:hAnsi="Times New Roman"/>
          <w:bCs/>
          <w:sz w:val="16"/>
          <w:szCs w:val="16"/>
        </w:rPr>
        <w:t xml:space="preserve">a. </w:t>
      </w:r>
      <w:r w:rsidRPr="008221FE">
        <w:rPr>
          <w:rFonts w:ascii="Times New Roman" w:hAnsi="Times New Roman"/>
          <w:bCs/>
          <w:sz w:val="16"/>
          <w:szCs w:val="16"/>
        </w:rPr>
        <w:tab/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Giấy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yêu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cầu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trả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tiền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bảo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hiểm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(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gốc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theo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mẫu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của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Bảo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hiểm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VNI).</w:t>
      </w:r>
    </w:p>
    <w:p w14:paraId="1E45E7D8" w14:textId="77777777" w:rsidR="00497B3B" w:rsidRPr="008221FE" w:rsidRDefault="00497B3B" w:rsidP="00497B3B">
      <w:pPr>
        <w:tabs>
          <w:tab w:val="left" w:pos="284"/>
        </w:tabs>
        <w:spacing w:before="40" w:after="40"/>
        <w:jc w:val="both"/>
        <w:rPr>
          <w:rFonts w:ascii="Times New Roman" w:hAnsi="Times New Roman"/>
          <w:bCs/>
          <w:sz w:val="16"/>
          <w:szCs w:val="16"/>
        </w:rPr>
      </w:pPr>
      <w:r w:rsidRPr="008221FE">
        <w:rPr>
          <w:rFonts w:ascii="Times New Roman" w:hAnsi="Times New Roman"/>
          <w:bCs/>
          <w:sz w:val="16"/>
          <w:szCs w:val="16"/>
        </w:rPr>
        <w:t>b.</w:t>
      </w:r>
      <w:r w:rsidRPr="008221FE">
        <w:rPr>
          <w:rFonts w:ascii="Times New Roman" w:hAnsi="Times New Roman"/>
          <w:bCs/>
          <w:sz w:val="16"/>
          <w:szCs w:val="16"/>
        </w:rPr>
        <w:tab/>
        <w:t xml:space="preserve">Hồ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tai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nạn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(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gốc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sao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y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công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>):</w:t>
      </w:r>
    </w:p>
    <w:p w14:paraId="7ADC008A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tường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trình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tai </w:t>
      </w:r>
      <w:proofErr w:type="spellStart"/>
      <w:r w:rsidRPr="008221FE">
        <w:rPr>
          <w:rFonts w:ascii="Times New Roman" w:hAnsi="Times New Roman"/>
          <w:sz w:val="16"/>
          <w:szCs w:val="16"/>
        </w:rPr>
        <w:t>nạn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sz w:val="16"/>
          <w:szCs w:val="16"/>
        </w:rPr>
        <w:t>Biên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vụ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tai </w:t>
      </w:r>
      <w:proofErr w:type="spellStart"/>
      <w:r w:rsidRPr="008221FE">
        <w:rPr>
          <w:rFonts w:ascii="Times New Roman" w:hAnsi="Times New Roman"/>
          <w:sz w:val="16"/>
          <w:szCs w:val="16"/>
        </w:rPr>
        <w:t>nạn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sz w:val="16"/>
          <w:szCs w:val="16"/>
        </w:rPr>
        <w:t>Biên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tai </w:t>
      </w:r>
      <w:proofErr w:type="spellStart"/>
      <w:r w:rsidRPr="008221FE">
        <w:rPr>
          <w:rFonts w:ascii="Times New Roman" w:hAnsi="Times New Roman"/>
          <w:sz w:val="16"/>
          <w:szCs w:val="16"/>
        </w:rPr>
        <w:t>nạn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lao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động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sz w:val="16"/>
          <w:szCs w:val="16"/>
        </w:rPr>
        <w:t>Biên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giải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quyết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tai </w:t>
      </w:r>
      <w:proofErr w:type="spellStart"/>
      <w:r w:rsidRPr="008221FE">
        <w:rPr>
          <w:rFonts w:ascii="Times New Roman" w:hAnsi="Times New Roman"/>
          <w:sz w:val="16"/>
          <w:szCs w:val="16"/>
        </w:rPr>
        <w:t>nạn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giao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thông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sz w:val="16"/>
          <w:szCs w:val="16"/>
        </w:rPr>
        <w:t>Kết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luận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điều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tra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có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xác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nhận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của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cơ </w:t>
      </w:r>
      <w:proofErr w:type="spellStart"/>
      <w:r w:rsidRPr="008221FE">
        <w:rPr>
          <w:rFonts w:ascii="Times New Roman" w:hAnsi="Times New Roman"/>
          <w:sz w:val="16"/>
          <w:szCs w:val="16"/>
        </w:rPr>
        <w:t>quan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sz w:val="16"/>
          <w:szCs w:val="16"/>
        </w:rPr>
        <w:t>chính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quyền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địa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cơ </w:t>
      </w:r>
      <w:proofErr w:type="spellStart"/>
      <w:r w:rsidRPr="008221FE">
        <w:rPr>
          <w:rFonts w:ascii="Times New Roman" w:hAnsi="Times New Roman"/>
          <w:sz w:val="16"/>
          <w:szCs w:val="16"/>
        </w:rPr>
        <w:t>quan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công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an </w:t>
      </w:r>
      <w:proofErr w:type="spellStart"/>
      <w:r w:rsidRPr="008221FE">
        <w:rPr>
          <w:rFonts w:ascii="Times New Roman" w:hAnsi="Times New Roman"/>
          <w:sz w:val="16"/>
          <w:szCs w:val="16"/>
        </w:rPr>
        <w:t>nơi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xảy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ra </w:t>
      </w:r>
      <w:proofErr w:type="spellStart"/>
      <w:r w:rsidRPr="008221FE">
        <w:rPr>
          <w:rFonts w:ascii="Times New Roman" w:hAnsi="Times New Roman"/>
          <w:sz w:val="16"/>
          <w:szCs w:val="16"/>
        </w:rPr>
        <w:t>vụ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tai </w:t>
      </w:r>
      <w:proofErr w:type="spellStart"/>
      <w:r w:rsidRPr="008221FE">
        <w:rPr>
          <w:rFonts w:ascii="Times New Roman" w:hAnsi="Times New Roman"/>
          <w:sz w:val="16"/>
          <w:szCs w:val="16"/>
        </w:rPr>
        <w:t>nạn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650D9B60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Đăng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ký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tiện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Giấy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phép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điều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khiển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tiện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đăng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kiểm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tiện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8221FE">
        <w:rPr>
          <w:rFonts w:ascii="Times New Roman" w:hAnsi="Times New Roman"/>
          <w:sz w:val="16"/>
          <w:szCs w:val="16"/>
        </w:rPr>
        <w:t>trong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trường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hợp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Người </w:t>
      </w:r>
      <w:proofErr w:type="spellStart"/>
      <w:r w:rsidRPr="008221FE">
        <w:rPr>
          <w:rFonts w:ascii="Times New Roman" w:hAnsi="Times New Roman"/>
          <w:sz w:val="16"/>
          <w:szCs w:val="16"/>
        </w:rPr>
        <w:t>được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bảo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hiểm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bị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tai </w:t>
      </w:r>
      <w:proofErr w:type="spellStart"/>
      <w:r w:rsidRPr="008221FE">
        <w:rPr>
          <w:rFonts w:ascii="Times New Roman" w:hAnsi="Times New Roman"/>
          <w:sz w:val="16"/>
          <w:szCs w:val="16"/>
        </w:rPr>
        <w:t>nạn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trong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điều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khiển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tiện</w:t>
      </w:r>
      <w:proofErr w:type="spellEnd"/>
      <w:r w:rsidRPr="008221FE">
        <w:rPr>
          <w:rFonts w:ascii="Times New Roman" w:hAnsi="Times New Roman"/>
          <w:sz w:val="16"/>
          <w:szCs w:val="16"/>
        </w:rPr>
        <w:t>).</w:t>
      </w:r>
    </w:p>
    <w:p w14:paraId="560EABC8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Biên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giám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định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tật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sz w:val="16"/>
          <w:szCs w:val="16"/>
        </w:rPr>
        <w:t>Giấy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8221FE">
        <w:rPr>
          <w:rFonts w:ascii="Times New Roman" w:hAnsi="Times New Roman"/>
          <w:sz w:val="16"/>
          <w:szCs w:val="16"/>
        </w:rPr>
        <w:t>trong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trường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hợp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Người </w:t>
      </w:r>
      <w:proofErr w:type="spellStart"/>
      <w:r w:rsidRPr="008221FE">
        <w:rPr>
          <w:rFonts w:ascii="Times New Roman" w:hAnsi="Times New Roman"/>
          <w:sz w:val="16"/>
          <w:szCs w:val="16"/>
        </w:rPr>
        <w:t>được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bảo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hiểm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bị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tật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vĩnh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viễn</w:t>
      </w:r>
      <w:proofErr w:type="spellEnd"/>
      <w:r w:rsidRPr="008221FE">
        <w:rPr>
          <w:rFonts w:ascii="Times New Roman" w:hAnsi="Times New Roman"/>
          <w:sz w:val="16"/>
          <w:szCs w:val="16"/>
        </w:rPr>
        <w:t>).</w:t>
      </w:r>
    </w:p>
    <w:p w14:paraId="0BE105CE" w14:textId="77777777" w:rsidR="00497B3B" w:rsidRPr="008221FE" w:rsidRDefault="00497B3B" w:rsidP="00497B3B">
      <w:pPr>
        <w:pStyle w:val="ListParagraph"/>
        <w:numPr>
          <w:ilvl w:val="0"/>
          <w:numId w:val="4"/>
        </w:numPr>
        <w:tabs>
          <w:tab w:val="left" w:pos="284"/>
        </w:tabs>
        <w:spacing w:before="40" w:after="40"/>
        <w:ind w:hanging="720"/>
        <w:contextualSpacing w:val="0"/>
        <w:jc w:val="both"/>
        <w:rPr>
          <w:rFonts w:ascii="Times New Roman" w:hAnsi="Times New Roman"/>
          <w:bCs/>
          <w:sz w:val="16"/>
          <w:szCs w:val="16"/>
        </w:rPr>
      </w:pPr>
      <w:proofErr w:type="spellStart"/>
      <w:r w:rsidRPr="008221FE">
        <w:rPr>
          <w:rFonts w:ascii="Times New Roman" w:hAnsi="Times New Roman"/>
          <w:bCs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y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tế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điều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trị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(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gốc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sao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y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công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sao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có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đối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chiếu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của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VNI)</w:t>
      </w:r>
    </w:p>
    <w:p w14:paraId="52A863C3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Phiếu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khám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Sổ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khám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bệnh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Sổ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y </w:t>
      </w:r>
      <w:proofErr w:type="spellStart"/>
      <w:r w:rsidRPr="008221FE">
        <w:rPr>
          <w:rFonts w:ascii="Times New Roman" w:hAnsi="Times New Roman"/>
          <w:sz w:val="16"/>
          <w:szCs w:val="16"/>
        </w:rPr>
        <w:t>bạ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210804F6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Giấy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ra </w:t>
      </w:r>
      <w:proofErr w:type="spellStart"/>
      <w:r w:rsidRPr="008221FE">
        <w:rPr>
          <w:rFonts w:ascii="Times New Roman" w:hAnsi="Times New Roman"/>
          <w:sz w:val="16"/>
          <w:szCs w:val="16"/>
        </w:rPr>
        <w:t>viện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4BB31208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Giấy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nhận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phẫu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thuật</w:t>
      </w:r>
      <w:proofErr w:type="spellEnd"/>
      <w:r w:rsidRPr="008221FE">
        <w:rPr>
          <w:rFonts w:ascii="Times New Roman" w:hAnsi="Times New Roman"/>
          <w:sz w:val="16"/>
          <w:szCs w:val="16"/>
        </w:rPr>
        <w:t>/</w:t>
      </w:r>
      <w:proofErr w:type="spellStart"/>
      <w:r w:rsidRPr="008221FE">
        <w:rPr>
          <w:rFonts w:ascii="Times New Roman" w:hAnsi="Times New Roman"/>
          <w:sz w:val="16"/>
          <w:szCs w:val="16"/>
        </w:rPr>
        <w:t>Phiếu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mổ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2FC78D61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Phiếu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điều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trị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phiếu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chỉ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định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xét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nghiệm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kết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quả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xét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nghiệm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hoặc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phiếu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chụp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liên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quan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chỉ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định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và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kết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quả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cận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lâm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sàng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15879F3A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Lịch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trình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điều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trị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vật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lý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trị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liệu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hoặc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các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pháp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tương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tự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khác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0EF43782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Đơn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thuốc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toa </w:t>
      </w:r>
      <w:proofErr w:type="spellStart"/>
      <w:r w:rsidRPr="008221FE">
        <w:rPr>
          <w:rFonts w:ascii="Times New Roman" w:hAnsi="Times New Roman"/>
          <w:sz w:val="16"/>
          <w:szCs w:val="16"/>
        </w:rPr>
        <w:t>thuốc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4A023BFC" w14:textId="77777777" w:rsidR="00497B3B" w:rsidRPr="008221FE" w:rsidRDefault="00497B3B" w:rsidP="00497B3B">
      <w:pPr>
        <w:pStyle w:val="ListParagraph"/>
        <w:numPr>
          <w:ilvl w:val="0"/>
          <w:numId w:val="4"/>
        </w:numPr>
        <w:tabs>
          <w:tab w:val="left" w:pos="284"/>
        </w:tabs>
        <w:spacing w:before="40" w:after="40"/>
        <w:ind w:hanging="720"/>
        <w:contextualSpacing w:val="0"/>
        <w:jc w:val="both"/>
        <w:rPr>
          <w:rFonts w:ascii="Times New Roman" w:hAnsi="Times New Roman"/>
          <w:bCs/>
          <w:sz w:val="16"/>
          <w:szCs w:val="16"/>
        </w:rPr>
      </w:pPr>
      <w:proofErr w:type="spellStart"/>
      <w:r w:rsidRPr="008221FE">
        <w:rPr>
          <w:rFonts w:ascii="Times New Roman" w:hAnsi="Times New Roman"/>
          <w:bCs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thanh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toán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chi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phí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y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tế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(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gốc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>)</w:t>
      </w:r>
    </w:p>
    <w:p w14:paraId="52C41082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Hóa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tài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chính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hóa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lẻ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biên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lai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tiền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8221FE">
        <w:rPr>
          <w:rFonts w:ascii="Times New Roman" w:hAnsi="Times New Roman"/>
          <w:sz w:val="16"/>
          <w:szCs w:val="16"/>
        </w:rPr>
        <w:t>phiếu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tiền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theo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quy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định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(VNI </w:t>
      </w:r>
      <w:proofErr w:type="spellStart"/>
      <w:r w:rsidRPr="008221FE">
        <w:rPr>
          <w:rFonts w:ascii="Times New Roman" w:hAnsi="Times New Roman"/>
          <w:sz w:val="16"/>
          <w:szCs w:val="16"/>
        </w:rPr>
        <w:t>không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chấp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nhận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các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Biên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lai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sz w:val="16"/>
          <w:szCs w:val="16"/>
        </w:rPr>
        <w:t>phiếu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lẻ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cộng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gộp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cho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mỗi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hồ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yêu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cầu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bồi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thường</w:t>
      </w:r>
      <w:proofErr w:type="spellEnd"/>
      <w:r w:rsidRPr="008221FE">
        <w:rPr>
          <w:rFonts w:ascii="Times New Roman" w:hAnsi="Times New Roman"/>
          <w:sz w:val="16"/>
          <w:szCs w:val="16"/>
        </w:rPr>
        <w:t>).</w:t>
      </w:r>
    </w:p>
    <w:p w14:paraId="46BA1C86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Bảng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kê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chi </w:t>
      </w:r>
      <w:proofErr w:type="spellStart"/>
      <w:r w:rsidRPr="008221FE">
        <w:rPr>
          <w:rFonts w:ascii="Times New Roman" w:hAnsi="Times New Roman"/>
          <w:sz w:val="16"/>
          <w:szCs w:val="16"/>
        </w:rPr>
        <w:t>tiết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kèm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theo.</w:t>
      </w:r>
      <w:proofErr w:type="spellEnd"/>
    </w:p>
    <w:p w14:paraId="6CE51D97" w14:textId="77777777" w:rsidR="00497B3B" w:rsidRPr="008221FE" w:rsidRDefault="00497B3B" w:rsidP="00497B3B">
      <w:pPr>
        <w:pStyle w:val="ListParagraph"/>
        <w:numPr>
          <w:ilvl w:val="0"/>
          <w:numId w:val="4"/>
        </w:numPr>
        <w:tabs>
          <w:tab w:val="left" w:pos="284"/>
        </w:tabs>
        <w:spacing w:before="40" w:after="40"/>
        <w:ind w:hanging="720"/>
        <w:contextualSpacing w:val="0"/>
        <w:jc w:val="both"/>
        <w:rPr>
          <w:rFonts w:ascii="Times New Roman" w:hAnsi="Times New Roman"/>
          <w:bCs/>
          <w:sz w:val="16"/>
          <w:szCs w:val="16"/>
        </w:rPr>
      </w:pPr>
      <w:proofErr w:type="spellStart"/>
      <w:r w:rsidRPr="008221FE">
        <w:rPr>
          <w:rFonts w:ascii="Times New Roman" w:hAnsi="Times New Roman"/>
          <w:bCs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từ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liên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quan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đến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tử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vong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(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gốc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sao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y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công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>)</w:t>
      </w:r>
    </w:p>
    <w:p w14:paraId="2CAD0CB0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r w:rsidRPr="008221FE">
        <w:rPr>
          <w:rFonts w:ascii="Times New Roman" w:hAnsi="Times New Roman"/>
          <w:sz w:val="16"/>
          <w:szCs w:val="16"/>
        </w:rPr>
        <w:t xml:space="preserve">Hồ </w:t>
      </w:r>
      <w:proofErr w:type="spellStart"/>
      <w:r w:rsidRPr="008221FE">
        <w:rPr>
          <w:rFonts w:ascii="Times New Roman" w:hAnsi="Times New Roman"/>
          <w:sz w:val="16"/>
          <w:szCs w:val="16"/>
        </w:rPr>
        <w:t>sơ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y </w:t>
      </w:r>
      <w:proofErr w:type="spellStart"/>
      <w:r w:rsidRPr="008221FE">
        <w:rPr>
          <w:rFonts w:ascii="Times New Roman" w:hAnsi="Times New Roman"/>
          <w:sz w:val="16"/>
          <w:szCs w:val="16"/>
        </w:rPr>
        <w:t>tế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liên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quan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đến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quá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trình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điều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trị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bệnh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, tai </w:t>
      </w:r>
      <w:proofErr w:type="spellStart"/>
      <w:r w:rsidRPr="008221FE">
        <w:rPr>
          <w:rFonts w:ascii="Times New Roman" w:hAnsi="Times New Roman"/>
          <w:sz w:val="16"/>
          <w:szCs w:val="16"/>
        </w:rPr>
        <w:t>nạn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trước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tử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vong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05CC85E5" w14:textId="77777777" w:rsidR="00497B3B" w:rsidRPr="008221FE" w:rsidRDefault="00497B3B" w:rsidP="00497B3B">
      <w:pPr>
        <w:widowControl w:val="0"/>
        <w:numPr>
          <w:ilvl w:val="0"/>
          <w:numId w:val="1"/>
        </w:numPr>
        <w:tabs>
          <w:tab w:val="left" w:pos="284"/>
        </w:tabs>
        <w:spacing w:before="40" w:after="40"/>
        <w:ind w:left="284" w:right="85" w:hanging="284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221FE">
        <w:rPr>
          <w:rFonts w:ascii="Times New Roman" w:hAnsi="Times New Roman"/>
          <w:sz w:val="16"/>
          <w:szCs w:val="16"/>
        </w:rPr>
        <w:t>Giấy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chứng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tử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/ </w:t>
      </w:r>
      <w:proofErr w:type="spellStart"/>
      <w:r w:rsidRPr="008221FE">
        <w:rPr>
          <w:rFonts w:ascii="Times New Roman" w:hAnsi="Times New Roman"/>
          <w:sz w:val="16"/>
          <w:szCs w:val="16"/>
        </w:rPr>
        <w:t>Trích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lục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khai</w:t>
      </w:r>
      <w:proofErr w:type="spellEnd"/>
      <w:r w:rsidRPr="008221FE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sz w:val="16"/>
          <w:szCs w:val="16"/>
        </w:rPr>
        <w:t>tử</w:t>
      </w:r>
      <w:proofErr w:type="spellEnd"/>
      <w:r w:rsidRPr="008221FE">
        <w:rPr>
          <w:rFonts w:ascii="Times New Roman" w:hAnsi="Times New Roman"/>
          <w:sz w:val="16"/>
          <w:szCs w:val="16"/>
        </w:rPr>
        <w:t>.</w:t>
      </w:r>
    </w:p>
    <w:p w14:paraId="12396063" w14:textId="77777777" w:rsidR="00497B3B" w:rsidRPr="008221FE" w:rsidRDefault="00497B3B" w:rsidP="00497B3B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before="40" w:after="40"/>
        <w:ind w:left="284" w:right="-142" w:hanging="284"/>
        <w:contextualSpacing w:val="0"/>
        <w:rPr>
          <w:rFonts w:ascii="Times New Roman" w:hAnsi="Times New Roman"/>
          <w:bCs/>
          <w:sz w:val="16"/>
          <w:szCs w:val="16"/>
        </w:rPr>
      </w:pPr>
      <w:r w:rsidRPr="008221FE">
        <w:rPr>
          <w:rFonts w:ascii="Times New Roman" w:hAnsi="Times New Roman"/>
          <w:bCs/>
          <w:sz w:val="16"/>
          <w:szCs w:val="16"/>
        </w:rPr>
        <w:t xml:space="preserve">Các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giấy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tờ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cần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thiết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khác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có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liên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quan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đến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việc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giải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quyết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quyền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lợi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bảo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hiểm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phù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hợp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với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quy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định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của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pháp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8221FE">
        <w:rPr>
          <w:rFonts w:ascii="Times New Roman" w:hAnsi="Times New Roman"/>
          <w:bCs/>
          <w:sz w:val="16"/>
          <w:szCs w:val="16"/>
        </w:rPr>
        <w:t>luật</w:t>
      </w:r>
      <w:proofErr w:type="spellEnd"/>
      <w:r w:rsidRPr="008221FE">
        <w:rPr>
          <w:rFonts w:ascii="Times New Roman" w:hAnsi="Times New Roman"/>
          <w:bCs/>
          <w:sz w:val="16"/>
          <w:szCs w:val="16"/>
        </w:rPr>
        <w:t>.</w:t>
      </w:r>
    </w:p>
    <w:p w14:paraId="0518B98C" w14:textId="77777777" w:rsidR="00B70298" w:rsidRDefault="00B70298"/>
    <w:sectPr w:rsidR="00B70298" w:rsidSect="00A801D2">
      <w:pgSz w:w="12240" w:h="15840"/>
      <w:pgMar w:top="51" w:right="900" w:bottom="284" w:left="1134" w:header="34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F8B2" w14:textId="77777777" w:rsidR="00AE1DDE" w:rsidRPr="009D3B22" w:rsidRDefault="00394E15" w:rsidP="009D3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7D3"/>
    <w:multiLevelType w:val="hybridMultilevel"/>
    <w:tmpl w:val="C43E3760"/>
    <w:lvl w:ilvl="0" w:tplc="E916801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16A1"/>
    <w:multiLevelType w:val="hybridMultilevel"/>
    <w:tmpl w:val="AD343B78"/>
    <w:lvl w:ilvl="0" w:tplc="0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55255"/>
    <w:multiLevelType w:val="hybridMultilevel"/>
    <w:tmpl w:val="2B081924"/>
    <w:lvl w:ilvl="0" w:tplc="DB56F7AE">
      <w:start w:val="1"/>
      <w:numFmt w:val="upp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5E23"/>
    <w:multiLevelType w:val="hybridMultilevel"/>
    <w:tmpl w:val="480AF7AE"/>
    <w:lvl w:ilvl="0" w:tplc="857C7EF8">
      <w:start w:val="2"/>
      <w:numFmt w:val="bullet"/>
      <w:lvlText w:val="-"/>
      <w:lvlJc w:val="left"/>
      <w:rPr>
        <w:rFonts w:ascii="Calibri" w:eastAsia="Arial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3B"/>
    <w:rsid w:val="00246E57"/>
    <w:rsid w:val="00394E15"/>
    <w:rsid w:val="00497B3B"/>
    <w:rsid w:val="00782D89"/>
    <w:rsid w:val="00B70298"/>
    <w:rsid w:val="00CA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F60F"/>
  <w15:chartTrackingRefBased/>
  <w15:docId w15:val="{D60E8B79-B26F-47FC-BBD8-D1544922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3B"/>
    <w:pPr>
      <w:spacing w:after="0" w:line="240" w:lineRule="auto"/>
    </w:pPr>
    <w:rPr>
      <w:rFonts w:ascii=".VnTime" w:eastAsia="Times New Roman" w:hAnsi=".VnTime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B3B"/>
    <w:rPr>
      <w:rFonts w:ascii=".VnTime" w:eastAsia="Times New Roman" w:hAnsi=".VnTime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497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 Minh (Ban PTKD)</dc:creator>
  <cp:keywords/>
  <dc:description/>
  <cp:lastModifiedBy>Tran Thu Minh (Ban PTKD)</cp:lastModifiedBy>
  <cp:revision>16</cp:revision>
  <dcterms:created xsi:type="dcterms:W3CDTF">2023-05-30T06:56:00Z</dcterms:created>
  <dcterms:modified xsi:type="dcterms:W3CDTF">2023-05-30T06:59:00Z</dcterms:modified>
</cp:coreProperties>
</file>