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D65" w:rsidRPr="00545ACA" w:rsidRDefault="006A6D65" w:rsidP="006A6D65">
      <w:pPr>
        <w:pStyle w:val="Heading2"/>
        <w:jc w:val="both"/>
      </w:pPr>
      <w:bookmarkStart w:id="0" w:name="_Hlk29913266"/>
      <w:proofErr w:type="gramStart"/>
      <w:r>
        <w:t>1</w:t>
      </w:r>
      <w:r w:rsidRPr="00545ACA">
        <w:t>.</w:t>
      </w:r>
      <w:r>
        <w:t>2</w:t>
      </w:r>
      <w:r w:rsidRPr="00545ACA">
        <w:t xml:space="preserve">  </w:t>
      </w:r>
      <w:r>
        <w:t>State</w:t>
      </w:r>
      <w:proofErr w:type="gramEnd"/>
      <w:r>
        <w:t xml:space="preserve"> of Charge</w:t>
      </w:r>
      <w:r w:rsidRPr="00545ACA">
        <w:t xml:space="preserve"> (</w:t>
      </w:r>
      <w:r>
        <w:t>SOC</w:t>
      </w:r>
      <w:r w:rsidRPr="00545ACA">
        <w:t>)</w:t>
      </w:r>
    </w:p>
    <w:bookmarkEnd w:id="0"/>
    <w:p w:rsidR="006A6D65" w:rsidRPr="00013C97" w:rsidRDefault="006A6D65" w:rsidP="006A6D65">
      <w:pPr>
        <w:jc w:val="both"/>
      </w:pPr>
    </w:p>
    <w:p w:rsidR="006A6D65" w:rsidRPr="00545ACA" w:rsidRDefault="006A6D65" w:rsidP="006A6D65">
      <w:pPr>
        <w:jc w:val="both"/>
        <w:rPr>
          <w:b/>
          <w:sz w:val="24"/>
          <w:szCs w:val="24"/>
        </w:rPr>
      </w:pPr>
      <w:r>
        <w:rPr>
          <w:b/>
          <w:sz w:val="24"/>
          <w:szCs w:val="24"/>
        </w:rPr>
        <w:t>1</w:t>
      </w:r>
      <w:r w:rsidRPr="00545ACA">
        <w:rPr>
          <w:b/>
          <w:sz w:val="24"/>
          <w:szCs w:val="24"/>
        </w:rPr>
        <w:t>.</w:t>
      </w:r>
      <w:r>
        <w:rPr>
          <w:b/>
          <w:sz w:val="24"/>
          <w:szCs w:val="24"/>
        </w:rPr>
        <w:t>2</w:t>
      </w:r>
      <w:r w:rsidRPr="00545ACA">
        <w:rPr>
          <w:b/>
          <w:sz w:val="24"/>
          <w:szCs w:val="24"/>
        </w:rPr>
        <w:t xml:space="preserve">.1 Feature </w:t>
      </w:r>
      <w:r>
        <w:rPr>
          <w:b/>
          <w:sz w:val="24"/>
          <w:szCs w:val="24"/>
        </w:rPr>
        <w:t>Objective</w:t>
      </w:r>
      <w:r w:rsidRPr="00545ACA">
        <w:rPr>
          <w:b/>
          <w:sz w:val="24"/>
          <w:szCs w:val="24"/>
        </w:rPr>
        <w:t xml:space="preserve">: </w:t>
      </w:r>
    </w:p>
    <w:p w:rsidR="006A6D65" w:rsidRDefault="006A6D65" w:rsidP="006A6D65">
      <w:pPr>
        <w:jc w:val="both"/>
      </w:pPr>
      <w:r>
        <w:t xml:space="preserve">      The objective of designing the State of Charge (SOC) system is to calculate the amount of charge remaining in the battery. </w:t>
      </w:r>
      <w:r w:rsidR="002F380F">
        <w:t xml:space="preserve">It gives a value from 0% to 100%. </w:t>
      </w:r>
      <w:r>
        <w:t xml:space="preserve">It is important to let the user know the amount of charge left in the battery. It is like the indication from a fuel gauge in a gasoline powered car. This allows the user to make the maximum use of the battery. </w:t>
      </w:r>
      <w:bookmarkStart w:id="1" w:name="_GoBack"/>
      <w:r w:rsidR="002F380F">
        <w:t xml:space="preserve">Also, over-charging or dis-charging a battery can result in reduced lifetime and hence estimation of SOC is necessary. </w:t>
      </w:r>
      <w:bookmarkEnd w:id="1"/>
      <w:r>
        <w:t xml:space="preserve">It is also used by various other features to calculate amount of power that can be drawn or fed to the battery, calculate balancing commands for the cells. </w:t>
      </w:r>
      <w:r w:rsidR="00086191">
        <w:t>Along with the State of Charge it also measures the Capacity degradation of the battery.</w:t>
      </w:r>
    </w:p>
    <w:p w:rsidR="006A6D65" w:rsidRDefault="006A6D65" w:rsidP="006A6D65">
      <w:pPr>
        <w:jc w:val="both"/>
        <w:rPr>
          <w:b/>
          <w:sz w:val="24"/>
          <w:szCs w:val="24"/>
        </w:rPr>
      </w:pPr>
      <w:r>
        <w:rPr>
          <w:b/>
          <w:sz w:val="24"/>
          <w:szCs w:val="24"/>
        </w:rPr>
        <w:t>1</w:t>
      </w:r>
      <w:r w:rsidRPr="00545ACA">
        <w:rPr>
          <w:b/>
          <w:sz w:val="24"/>
          <w:szCs w:val="24"/>
        </w:rPr>
        <w:t>.</w:t>
      </w:r>
      <w:r w:rsidR="00A61C5A">
        <w:rPr>
          <w:b/>
          <w:sz w:val="24"/>
          <w:szCs w:val="24"/>
        </w:rPr>
        <w:t>2</w:t>
      </w:r>
      <w:r w:rsidRPr="00545ACA">
        <w:rPr>
          <w:b/>
          <w:sz w:val="24"/>
          <w:szCs w:val="24"/>
        </w:rPr>
        <w:t>.2 Functional Description:</w:t>
      </w:r>
    </w:p>
    <w:p w:rsidR="00677EF4" w:rsidRDefault="002F380F" w:rsidP="006A6D65">
      <w:pPr>
        <w:jc w:val="both"/>
        <w:rPr>
          <w:b/>
          <w:sz w:val="24"/>
          <w:szCs w:val="24"/>
        </w:rPr>
      </w:pPr>
      <w:r>
        <w:rPr>
          <w:b/>
          <w:sz w:val="24"/>
          <w:szCs w:val="24"/>
        </w:rPr>
        <w:tab/>
      </w:r>
      <w:r w:rsidR="00086191">
        <w:rPr>
          <w:b/>
          <w:sz w:val="24"/>
          <w:szCs w:val="24"/>
        </w:rPr>
        <w:t xml:space="preserve">1.2.2.1 </w:t>
      </w:r>
      <w:r w:rsidR="00677EF4">
        <w:rPr>
          <w:b/>
          <w:sz w:val="24"/>
          <w:szCs w:val="24"/>
        </w:rPr>
        <w:t>State of Charge</w:t>
      </w:r>
    </w:p>
    <w:p w:rsidR="00A61C5A" w:rsidRDefault="002F380F" w:rsidP="00677EF4">
      <w:pPr>
        <w:ind w:firstLine="720"/>
        <w:jc w:val="both"/>
      </w:pPr>
      <w:r w:rsidRPr="00A61C5A">
        <w:t xml:space="preserve">State of Charge is related to </w:t>
      </w:r>
      <w:r w:rsidR="00A61C5A" w:rsidRPr="00A61C5A">
        <w:t>the chemical concentration present in a cell and there is no direct way to measure the concentrations. Hence, Open Circuit Voltage</w:t>
      </w:r>
      <w:r w:rsidR="00677EF4">
        <w:t xml:space="preserve"> </w:t>
      </w:r>
      <w:r w:rsidR="00A61C5A">
        <w:t>(OCV)</w:t>
      </w:r>
      <w:r w:rsidR="00A61C5A" w:rsidRPr="00A61C5A">
        <w:t xml:space="preserve"> vs State of Charge</w:t>
      </w:r>
      <w:r w:rsidR="00677EF4">
        <w:t xml:space="preserve"> (SOC)</w:t>
      </w:r>
      <w:r w:rsidR="00A61C5A" w:rsidRPr="00A61C5A">
        <w:t xml:space="preserve"> calibration </w:t>
      </w:r>
      <w:r w:rsidR="00677EF4">
        <w:t xml:space="preserve">table </w:t>
      </w:r>
      <w:r w:rsidR="00A61C5A" w:rsidRPr="00A61C5A">
        <w:t>and Coulomb counting is used to calculate the state of charge.</w:t>
      </w:r>
    </w:p>
    <w:p w:rsidR="00A61C5A" w:rsidRDefault="00A61C5A" w:rsidP="006A6D65">
      <w:pPr>
        <w:jc w:val="both"/>
      </w:pPr>
      <w:r>
        <w:tab/>
        <w:t xml:space="preserve">State of Charge feature uses the OCV vs SOC calibration </w:t>
      </w:r>
      <w:r w:rsidR="00677EF4">
        <w:t xml:space="preserve">table </w:t>
      </w:r>
      <w:r>
        <w:t xml:space="preserve">during first initialization of the battery when it is connected to the BMS first time. Following that it is used every time a key or charger is connected. </w:t>
      </w:r>
    </w:p>
    <w:p w:rsidR="00E3028A" w:rsidRDefault="00A61C5A" w:rsidP="006A6D65">
      <w:pPr>
        <w:jc w:val="both"/>
      </w:pPr>
      <w:r>
        <w:tab/>
      </w:r>
      <w:r w:rsidRPr="00A61C5A">
        <w:rPr>
          <w:u w:val="single"/>
        </w:rPr>
        <w:t xml:space="preserve">First Time </w:t>
      </w:r>
      <w:proofErr w:type="gramStart"/>
      <w:r w:rsidRPr="00A61C5A">
        <w:rPr>
          <w:u w:val="single"/>
        </w:rPr>
        <w:t>Initialization</w:t>
      </w:r>
      <w:r>
        <w:t xml:space="preserve"> :</w:t>
      </w:r>
      <w:proofErr w:type="gramEnd"/>
      <w:r>
        <w:t xml:space="preserve">  On first time initialization, the battery’s voltage is used to measure the state of charge</w:t>
      </w:r>
      <w:r w:rsidR="00E3028A">
        <w:t xml:space="preserve"> using the </w:t>
      </w:r>
      <w:r w:rsidR="00677EF4">
        <w:t xml:space="preserve">OCV vs SOC </w:t>
      </w:r>
      <w:r w:rsidR="00E3028A">
        <w:t>calibration</w:t>
      </w:r>
      <w:r w:rsidR="00677EF4">
        <w:t xml:space="preserve"> table</w:t>
      </w:r>
      <w:r w:rsidR="00E3028A">
        <w:t xml:space="preserve">, when the contactors are not connected. This value is then stored for </w:t>
      </w:r>
      <w:r w:rsidR="00394B4D">
        <w:t xml:space="preserve">using it </w:t>
      </w:r>
      <w:r w:rsidR="00E3028A">
        <w:t>next time.</w:t>
      </w:r>
    </w:p>
    <w:p w:rsidR="00394B4D" w:rsidRDefault="00E3028A" w:rsidP="006A6D65">
      <w:pPr>
        <w:jc w:val="both"/>
      </w:pPr>
      <w:r>
        <w:tab/>
      </w:r>
      <w:r>
        <w:rPr>
          <w:u w:val="single"/>
        </w:rPr>
        <w:t xml:space="preserve">Coulomb </w:t>
      </w:r>
      <w:proofErr w:type="gramStart"/>
      <w:r>
        <w:rPr>
          <w:u w:val="single"/>
        </w:rPr>
        <w:t>Counting</w:t>
      </w:r>
      <w:r>
        <w:t xml:space="preserve"> :</w:t>
      </w:r>
      <w:proofErr w:type="gramEnd"/>
      <w:r>
        <w:t xml:space="preserve"> During normal functioning of battery, the state of charge is calculated using a method called Coulomb counting. In this method the current drawn or fed into the battery is integrated to find the amount of charge withdrawn or added to the battery. This requires the initial value of SOC</w:t>
      </w:r>
      <w:r w:rsidR="00394B4D">
        <w:t xml:space="preserve">. The initial value is decided is covered next paragraph. </w:t>
      </w:r>
    </w:p>
    <w:p w:rsidR="00E3028A" w:rsidRDefault="00E3028A" w:rsidP="006A6D65">
      <w:pPr>
        <w:jc w:val="both"/>
      </w:pPr>
      <w:r>
        <w:t>A mathematical equation for Coulomb Counting is shown below:</w:t>
      </w:r>
    </w:p>
    <w:p w:rsidR="00E3028A" w:rsidRDefault="00E3028A" w:rsidP="00394B4D">
      <w:pPr>
        <w:ind w:left="2160" w:firstLine="720"/>
      </w:pPr>
      <w:bookmarkStart w:id="2" w:name="_Hlk41642588"/>
      <m:oMath>
        <m:r>
          <w:rPr>
            <w:rFonts w:ascii="Cambria Math" w:hAnsi="Cambria Math"/>
          </w:rPr>
          <m:t>S</m:t>
        </m:r>
        <w:bookmarkStart w:id="3" w:name="_Hlk41642565"/>
        <m:r>
          <w:rPr>
            <w:rFonts w:ascii="Cambria Math" w:hAnsi="Cambria Math"/>
          </w:rPr>
          <m:t>OC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=SOC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Qcap</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k</m:t>
                </m:r>
              </m:sub>
            </m:sSub>
          </m:sup>
          <m:e>
            <m:r>
              <w:rPr>
                <w:rFonts w:ascii="Cambria Math" w:hAnsi="Cambria Math"/>
              </w:rPr>
              <m:t>I</m:t>
            </m:r>
            <m:d>
              <m:dPr>
                <m:ctrlPr>
                  <w:rPr>
                    <w:rFonts w:ascii="Cambria Math" w:hAnsi="Cambria Math"/>
                    <w:i/>
                  </w:rPr>
                </m:ctrlPr>
              </m:dPr>
              <m:e>
                <m:r>
                  <w:rPr>
                    <w:rFonts w:ascii="Cambria Math" w:hAnsi="Cambria Math"/>
                  </w:rPr>
                  <m:t>τ</m:t>
                </m:r>
              </m:e>
            </m:d>
            <m:r>
              <w:rPr>
                <w:rFonts w:ascii="Cambria Math" w:hAnsi="Cambria Math"/>
              </w:rPr>
              <m:t xml:space="preserve"> dτ</m:t>
            </m:r>
          </m:e>
        </m:nary>
      </m:oMath>
      <w:bookmarkEnd w:id="2"/>
      <w:bookmarkEnd w:id="3"/>
      <w:r w:rsidR="00394B4D">
        <w:t>, w</w:t>
      </w:r>
      <w:r>
        <w:t xml:space="preserve">here </w:t>
      </w:r>
      <w:proofErr w:type="spellStart"/>
      <w:r>
        <w:t>Qcap</w:t>
      </w:r>
      <w:proofErr w:type="spellEnd"/>
      <w:r>
        <w:t xml:space="preserve"> is the cell capacity.</w:t>
      </w:r>
    </w:p>
    <w:p w:rsidR="00394B4D" w:rsidRDefault="00394B4D" w:rsidP="00394B4D">
      <w:r>
        <w:t>When the key is turned off or the charger is turned off, the SOC value is stored in the memory for using it next time.</w:t>
      </w:r>
    </w:p>
    <w:p w:rsidR="00394B4D" w:rsidRDefault="00394B4D" w:rsidP="00394B4D">
      <w:pPr>
        <w:ind w:firstLine="720"/>
      </w:pPr>
      <w:r w:rsidRPr="00394B4D">
        <w:rPr>
          <w:u w:val="single"/>
        </w:rPr>
        <w:t xml:space="preserve">Key – On or Charger – </w:t>
      </w:r>
      <w:proofErr w:type="gramStart"/>
      <w:r w:rsidRPr="00394B4D">
        <w:rPr>
          <w:u w:val="single"/>
        </w:rPr>
        <w:t>On</w:t>
      </w:r>
      <w:r>
        <w:t xml:space="preserve"> :</w:t>
      </w:r>
      <w:proofErr w:type="gramEnd"/>
      <w:r>
        <w:t xml:space="preserve">  When is key or charger is turned on, the SOC is calculated from SOC vs OCV calibration before the contactors are engaged and is compared with the SOC value stored in memory by Coulomb Counting. If the value SOC vs OCV table is within a threshold of the value stored in memory, then the value from memory is used as the initial value for SOC, else the value from SOC vs OCV table is used as the initial value. The threshold is a calibratable value. </w:t>
      </w:r>
    </w:p>
    <w:p w:rsidR="00677EF4" w:rsidRPr="00677EF4" w:rsidRDefault="00394B4D" w:rsidP="00677EF4">
      <w:pPr>
        <w:ind w:firstLine="720"/>
        <w:rPr>
          <w:rFonts w:eastAsiaTheme="minorEastAsia"/>
        </w:rPr>
      </w:pPr>
      <w:bookmarkStart w:id="4" w:name="_Hlk41642675"/>
      <m:oMathPara>
        <m:oMath>
          <m:r>
            <w:rPr>
              <w:rFonts w:ascii="Cambria Math" w:hAnsi="Cambria Math"/>
            </w:rPr>
            <m:t>if   abs</m:t>
          </m:r>
          <m:d>
            <m:dPr>
              <m:ctrlPr>
                <w:rPr>
                  <w:rFonts w:ascii="Cambria Math" w:hAnsi="Cambria Math"/>
                  <w:i/>
                </w:rPr>
              </m:ctrlPr>
            </m:dPr>
            <m:e>
              <m:r>
                <w:rPr>
                  <w:rFonts w:ascii="Cambria Math" w:hAnsi="Cambria Math"/>
                </w:rPr>
                <m:t>SOC from OCV vs SOC table-last stored SOC in memory</m:t>
              </m:r>
            </m:e>
          </m:d>
          <m:r>
            <w:rPr>
              <w:rFonts w:ascii="Cambria Math" w:hAnsi="Cambria Math"/>
            </w:rPr>
            <m:t>&lt;threshold</m:t>
          </m:r>
          <m:r>
            <m:rPr>
              <m:sty m:val="p"/>
            </m:rPr>
            <w:rPr>
              <w:rFonts w:ascii="Cambria Math" w:hAnsi="Cambria Math"/>
            </w:rPr>
            <w:br/>
          </m:r>
        </m:oMath>
      </m:oMathPara>
      <w:r w:rsidR="00677EF4">
        <w:rPr>
          <w:rFonts w:eastAsiaTheme="minorEastAsia"/>
        </w:rPr>
        <w:t xml:space="preserve"> </w:t>
      </w:r>
      <w:r w:rsidR="00677EF4">
        <w:rPr>
          <w:rFonts w:eastAsiaTheme="minorEastAsia"/>
        </w:rPr>
        <w:tab/>
      </w:r>
      <w:r w:rsidR="00677EF4">
        <w:rPr>
          <w:rFonts w:eastAsiaTheme="minorEastAsia"/>
        </w:rPr>
        <w:tab/>
      </w:r>
      <w:r w:rsidR="00677EF4">
        <w:rPr>
          <w:rFonts w:eastAsiaTheme="minorEastAsia"/>
        </w:rPr>
        <w:tab/>
      </w:r>
      <w:r w:rsidR="00677EF4">
        <w:rPr>
          <w:rFonts w:eastAsiaTheme="minorEastAsia"/>
        </w:rPr>
        <w:tab/>
      </w:r>
      <m:oMath>
        <m:r>
          <w:rPr>
            <w:rFonts w:ascii="Cambria Math" w:hAnsi="Cambria Math"/>
          </w:rPr>
          <m:t>SOC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eastAsiaTheme="minorEastAsia" w:hAnsi="Cambria Math"/>
          </w:rPr>
          <m:t xml:space="preserve">= </m:t>
        </m:r>
        <m:r>
          <w:rPr>
            <w:rFonts w:ascii="Cambria Math" w:hAnsi="Cambria Math"/>
          </w:rPr>
          <m:t>last stored SOC in memory</m:t>
        </m:r>
      </m:oMath>
    </w:p>
    <w:p w:rsidR="00677EF4" w:rsidRPr="00480220" w:rsidRDefault="00677EF4" w:rsidP="00677EF4">
      <w:pPr>
        <w:ind w:left="1440" w:firstLine="720"/>
        <w:rPr>
          <w:rFonts w:eastAsiaTheme="minorEastAsia"/>
        </w:rPr>
      </w:pPr>
      <m:oMathPara>
        <m:oMathParaPr>
          <m:jc m:val="left"/>
        </m:oMathParaPr>
        <m:oMath>
          <m:r>
            <w:rPr>
              <w:rFonts w:ascii="Cambria Math" w:hAnsi="Cambria Math"/>
            </w:rPr>
            <m:t xml:space="preserve">       else</m:t>
          </m:r>
          <m:r>
            <m:rPr>
              <m:sty m:val="p"/>
            </m:rPr>
            <w:rPr>
              <w:rFonts w:ascii="Cambria Math" w:hAnsi="Cambria Math"/>
            </w:rPr>
            <w:br/>
          </m:r>
        </m:oMath>
        <m:oMath>
          <m:r>
            <w:rPr>
              <w:rFonts w:ascii="Cambria Math" w:hAnsi="Cambria Math"/>
            </w:rPr>
            <m:t xml:space="preserve">                             SOC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eastAsiaTheme="minorEastAsia" w:hAnsi="Cambria Math"/>
            </w:rPr>
            <m:t xml:space="preserve">= </m:t>
          </m:r>
          <m:r>
            <w:rPr>
              <w:rFonts w:ascii="Cambria Math" w:hAnsi="Cambria Math"/>
            </w:rPr>
            <m:t>SOC from OCV vs SOC table</m:t>
          </m:r>
        </m:oMath>
      </m:oMathPara>
    </w:p>
    <w:bookmarkEnd w:id="4"/>
    <w:p w:rsidR="00480220" w:rsidRDefault="00480220" w:rsidP="00480220">
      <w:pPr>
        <w:ind w:firstLine="720"/>
        <w:rPr>
          <w:rFonts w:eastAsiaTheme="minorEastAsia"/>
        </w:rPr>
      </w:pPr>
    </w:p>
    <w:p w:rsidR="00480220" w:rsidRDefault="00480220" w:rsidP="00480220">
      <w:r>
        <w:t>Note:</w:t>
      </w:r>
    </w:p>
    <w:p w:rsidR="00480220" w:rsidRDefault="00480220" w:rsidP="00480220">
      <w:r>
        <w:t xml:space="preserve">Coulomb Counting is done individually for each cell. So, in-case of N cells, there will be N integrations. This is important because each cell will not have the same current in-case of cell balancing and is taken into account. If cell balancing is switched ON for a cell, then the current through that cell will be: </w:t>
      </w:r>
    </w:p>
    <w:p w:rsidR="00480220" w:rsidRDefault="00480220" w:rsidP="00480220">
      <w:bookmarkStart w:id="5" w:name="_Hlk41642721"/>
      <m:oMathPara>
        <m:oMath>
          <m:r>
            <w:rPr>
              <w:rFonts w:ascii="Cambria Math" w:hAnsi="Cambria Math"/>
            </w:rPr>
            <m:t>Current in a cell during Cell Balancing=Pack Current-Cell Voltage*Balancing Resistor Value</m:t>
          </m:r>
        </m:oMath>
      </m:oMathPara>
    </w:p>
    <w:bookmarkEnd w:id="5"/>
    <w:p w:rsidR="00480220" w:rsidRPr="00677EF4" w:rsidRDefault="00480220" w:rsidP="00480220">
      <w:pPr>
        <w:ind w:firstLine="720"/>
        <w:rPr>
          <w:rFonts w:eastAsiaTheme="minorEastAsia"/>
        </w:rPr>
      </w:pPr>
    </w:p>
    <w:p w:rsidR="00677EF4" w:rsidRDefault="00086191" w:rsidP="00394B4D">
      <w:pPr>
        <w:ind w:firstLine="720"/>
        <w:rPr>
          <w:b/>
          <w:sz w:val="24"/>
          <w:szCs w:val="24"/>
        </w:rPr>
      </w:pPr>
      <w:r>
        <w:rPr>
          <w:b/>
          <w:sz w:val="24"/>
          <w:szCs w:val="24"/>
        </w:rPr>
        <w:lastRenderedPageBreak/>
        <w:t>1.2.2.2 Capacity Degradation</w:t>
      </w:r>
    </w:p>
    <w:p w:rsidR="00086191" w:rsidRDefault="00086191" w:rsidP="00394B4D">
      <w:pPr>
        <w:ind w:firstLine="720"/>
      </w:pPr>
      <w:r>
        <w:t>Capacity of a battery reduces after years of use due to aging. The reduc</w:t>
      </w:r>
      <w:r w:rsidR="00394CAE">
        <w:t>tion</w:t>
      </w:r>
      <w:r>
        <w:t xml:space="preserve"> in capacity is very slow.</w:t>
      </w:r>
      <w:r w:rsidR="00394CAE">
        <w:t xml:space="preserve"> It reduces by 2 to 3% over a couple of years use. </w:t>
      </w:r>
      <w:r>
        <w:t xml:space="preserve"> </w:t>
      </w:r>
      <w:r w:rsidR="00394CAE">
        <w:t>Though the reduction is various the capacity is used in coulomb counting. Using the correct degraded value of the capacity will give more accurate results for SOC. The method used to calculate the capacity degradation is shown in the equations below. This calculation is done only after a socket charging cycle.</w:t>
      </w:r>
    </w:p>
    <w:p w:rsidR="00394CAE" w:rsidRDefault="00394CAE" w:rsidP="00394B4D">
      <w:pPr>
        <w:ind w:firstLine="720"/>
      </w:pPr>
      <w:r>
        <w:t>Now, assuming some small degradation in capacity has happened over time. Following are the equations after a charging cycle is comple</w:t>
      </w:r>
      <w:r w:rsidR="00773C90">
        <w:t>t</w:t>
      </w:r>
      <w:r>
        <w:t>e.</w:t>
      </w:r>
    </w:p>
    <w:bookmarkStart w:id="6" w:name="_Hlk41642776"/>
    <w:p w:rsidR="00773C90" w:rsidRDefault="00755B0E" w:rsidP="00394CAE">
      <w:pPr>
        <w:jc w:val="center"/>
        <w:rPr>
          <w:rFonts w:eastAsiaTheme="minorEastAsia"/>
          <w:iCs/>
          <w:color w:val="000000" w:themeColor="text1"/>
          <w:kern w:val="24"/>
          <w:sz w:val="24"/>
          <w:szCs w:val="24"/>
        </w:rPr>
      </w:pPr>
      <m:oMath>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SOC</m:t>
            </m:r>
          </m:e>
          <m:sub>
            <m:r>
              <w:rPr>
                <w:rFonts w:ascii="Cambria Math" w:hAnsi="Cambria Math" w:cstheme="minorHAnsi"/>
                <w:color w:val="000000" w:themeColor="text1"/>
                <w:kern w:val="24"/>
                <w:sz w:val="24"/>
                <w:szCs w:val="24"/>
              </w:rPr>
              <m:t>t</m:t>
            </m:r>
            <m:d>
              <m:dPr>
                <m:ctrlPr>
                  <w:rPr>
                    <w:rFonts w:ascii="Cambria Math" w:eastAsiaTheme="minorEastAsia" w:hAnsi="Cambria Math" w:cstheme="minorHAnsi"/>
                    <w:i/>
                    <w:iCs/>
                    <w:color w:val="000000" w:themeColor="text1"/>
                    <w:kern w:val="24"/>
                    <w:sz w:val="24"/>
                    <w:szCs w:val="24"/>
                  </w:rPr>
                </m:ctrlPr>
              </m:dPr>
              <m:e>
                <m:r>
                  <w:rPr>
                    <w:rFonts w:ascii="Cambria Math" w:hAnsi="Cambria Math" w:cstheme="minorHAnsi"/>
                    <w:color w:val="000000" w:themeColor="text1"/>
                    <w:kern w:val="24"/>
                    <w:sz w:val="24"/>
                    <w:szCs w:val="24"/>
                  </w:rPr>
                  <m:t>0</m:t>
                </m:r>
              </m:e>
            </m:d>
          </m:sub>
        </m:sSub>
      </m:oMath>
      <w:r w:rsidR="00773C90">
        <w:rPr>
          <w:rFonts w:eastAsiaTheme="minorEastAsia"/>
          <w:iCs/>
          <w:color w:val="000000" w:themeColor="text1"/>
          <w:kern w:val="24"/>
          <w:sz w:val="24"/>
          <w:szCs w:val="24"/>
        </w:rPr>
        <w:t>, is the initial value of SOC when socket charger is connected</w:t>
      </w:r>
    </w:p>
    <w:p w:rsidR="00394CAE" w:rsidRPr="00394CAE" w:rsidRDefault="00755B0E" w:rsidP="00394CAE">
      <w:pPr>
        <w:jc w:val="center"/>
        <w:rPr>
          <w:rFonts w:cstheme="minorHAnsi"/>
          <w:color w:val="000000" w:themeColor="text1"/>
          <w:kern w:val="24"/>
          <w:sz w:val="24"/>
          <w:szCs w:val="24"/>
        </w:rPr>
      </w:pPr>
      <m:oMath>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SOC</m:t>
            </m:r>
          </m:e>
          <m:sub>
            <m:r>
              <w:rPr>
                <w:rFonts w:ascii="Cambria Math" w:hAnsi="Cambria Math" w:cstheme="minorHAnsi"/>
                <w:color w:val="000000" w:themeColor="text1"/>
                <w:kern w:val="24"/>
                <w:sz w:val="24"/>
                <w:szCs w:val="24"/>
              </w:rPr>
              <m:t>t(k)</m:t>
            </m:r>
          </m:sub>
        </m:sSub>
      </m:oMath>
      <w:r w:rsidR="00394CAE">
        <w:rPr>
          <w:rFonts w:eastAsiaTheme="minorEastAsia" w:cstheme="minorHAnsi"/>
          <w:iCs/>
          <w:color w:val="000000" w:themeColor="text1"/>
          <w:kern w:val="24"/>
          <w:sz w:val="24"/>
          <w:szCs w:val="24"/>
        </w:rPr>
        <w:t xml:space="preserve">, is the value </w:t>
      </w:r>
      <w:r w:rsidR="00773C90" w:rsidRPr="00394CAE">
        <w:rPr>
          <w:rFonts w:cstheme="minorHAnsi"/>
          <w:color w:val="000000" w:themeColor="text1"/>
          <w:kern w:val="24"/>
          <w:sz w:val="24"/>
          <w:szCs w:val="24"/>
        </w:rPr>
        <w:t xml:space="preserve">from Coulomb Counting </w:t>
      </w:r>
      <w:r w:rsidR="00394CAE" w:rsidRPr="00394CAE">
        <w:rPr>
          <w:rFonts w:cstheme="minorHAnsi"/>
          <w:color w:val="000000" w:themeColor="text1"/>
          <w:kern w:val="24"/>
          <w:sz w:val="24"/>
          <w:szCs w:val="24"/>
        </w:rPr>
        <w:t xml:space="preserve">when </w:t>
      </w:r>
      <w:r w:rsidR="00773C90">
        <w:rPr>
          <w:rFonts w:cstheme="minorHAnsi"/>
          <w:color w:val="000000" w:themeColor="text1"/>
          <w:kern w:val="24"/>
          <w:sz w:val="24"/>
          <w:szCs w:val="24"/>
        </w:rPr>
        <w:t>c</w:t>
      </w:r>
      <w:r w:rsidR="00394CAE" w:rsidRPr="00394CAE">
        <w:rPr>
          <w:rFonts w:cstheme="minorHAnsi"/>
          <w:color w:val="000000" w:themeColor="text1"/>
          <w:kern w:val="24"/>
          <w:sz w:val="24"/>
          <w:szCs w:val="24"/>
        </w:rPr>
        <w:t xml:space="preserve">harging is switched </w:t>
      </w:r>
      <w:r w:rsidR="00773C90">
        <w:rPr>
          <w:rFonts w:cstheme="minorHAnsi"/>
          <w:color w:val="000000" w:themeColor="text1"/>
          <w:kern w:val="24"/>
          <w:sz w:val="24"/>
          <w:szCs w:val="24"/>
        </w:rPr>
        <w:t>OFF</w:t>
      </w:r>
      <w:r w:rsidR="00394CAE" w:rsidRPr="00394CAE">
        <w:rPr>
          <w:rFonts w:cstheme="minorHAnsi"/>
          <w:color w:val="000000" w:themeColor="text1"/>
          <w:kern w:val="24"/>
          <w:sz w:val="24"/>
          <w:szCs w:val="24"/>
        </w:rPr>
        <w:t xml:space="preserve"> </w:t>
      </w:r>
    </w:p>
    <w:p w:rsidR="00394CAE" w:rsidRDefault="00755B0E" w:rsidP="00394CAE">
      <w:pPr>
        <w:jc w:val="center"/>
        <w:rPr>
          <w:rFonts w:cstheme="minorHAnsi"/>
          <w:color w:val="000000" w:themeColor="text1"/>
          <w:kern w:val="24"/>
          <w:sz w:val="24"/>
          <w:szCs w:val="24"/>
        </w:rPr>
      </w:pPr>
      <m:oMath>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SOC</m:t>
            </m:r>
          </m:e>
          <m:sub>
            <m:r>
              <w:rPr>
                <w:rFonts w:ascii="Cambria Math" w:hAnsi="Cambria Math" w:cstheme="minorHAnsi"/>
                <w:color w:val="000000" w:themeColor="text1"/>
                <w:kern w:val="24"/>
                <w:sz w:val="24"/>
                <w:szCs w:val="24"/>
              </w:rPr>
              <m:t>t(k+)</m:t>
            </m:r>
          </m:sub>
        </m:sSub>
      </m:oMath>
      <w:r w:rsidR="00394CAE">
        <w:rPr>
          <w:rFonts w:eastAsiaTheme="minorEastAsia" w:cstheme="minorHAnsi"/>
          <w:iCs/>
          <w:color w:val="000000" w:themeColor="text1"/>
          <w:kern w:val="24"/>
          <w:sz w:val="24"/>
          <w:szCs w:val="24"/>
        </w:rPr>
        <w:t xml:space="preserve">, </w:t>
      </w:r>
      <w:r w:rsidR="00773C90">
        <w:rPr>
          <w:rFonts w:eastAsiaTheme="minorEastAsia" w:cstheme="minorHAnsi"/>
          <w:iCs/>
          <w:color w:val="000000" w:themeColor="text1"/>
          <w:kern w:val="24"/>
          <w:sz w:val="24"/>
          <w:szCs w:val="24"/>
        </w:rPr>
        <w:t xml:space="preserve">is the value </w:t>
      </w:r>
      <w:r w:rsidR="00773C90" w:rsidRPr="00394CAE">
        <w:rPr>
          <w:rFonts w:cstheme="minorHAnsi"/>
          <w:color w:val="000000" w:themeColor="text1"/>
          <w:kern w:val="24"/>
          <w:sz w:val="24"/>
          <w:szCs w:val="24"/>
        </w:rPr>
        <w:t xml:space="preserve">from OCV vs SOC table </w:t>
      </w:r>
      <w:r w:rsidR="00394CAE" w:rsidRPr="00394CAE">
        <w:rPr>
          <w:rFonts w:cstheme="minorHAnsi"/>
          <w:color w:val="000000" w:themeColor="text1"/>
          <w:kern w:val="24"/>
          <w:sz w:val="24"/>
          <w:szCs w:val="24"/>
        </w:rPr>
        <w:t xml:space="preserve">when </w:t>
      </w:r>
      <w:r w:rsidR="00773C90">
        <w:rPr>
          <w:rFonts w:cstheme="minorHAnsi"/>
          <w:color w:val="000000" w:themeColor="text1"/>
          <w:kern w:val="24"/>
          <w:sz w:val="24"/>
          <w:szCs w:val="24"/>
        </w:rPr>
        <w:t xml:space="preserve">the </w:t>
      </w:r>
      <w:r w:rsidR="00394CAE" w:rsidRPr="00394CAE">
        <w:rPr>
          <w:rFonts w:cstheme="minorHAnsi"/>
          <w:color w:val="000000" w:themeColor="text1"/>
          <w:kern w:val="24"/>
          <w:sz w:val="24"/>
          <w:szCs w:val="24"/>
        </w:rPr>
        <w:t xml:space="preserve">car is turned ON after charging </w:t>
      </w:r>
    </w:p>
    <w:p w:rsidR="00773C90" w:rsidRDefault="00773C90" w:rsidP="00773C90">
      <w:pPr>
        <w:ind w:left="720" w:firstLine="720"/>
        <w:rPr>
          <w:rFonts w:cstheme="minorHAnsi"/>
          <w:color w:val="000000" w:themeColor="text1"/>
          <w:kern w:val="24"/>
          <w:sz w:val="24"/>
          <w:szCs w:val="24"/>
        </w:rPr>
      </w:pPr>
      <w:r>
        <w:rPr>
          <w:rFonts w:cstheme="minorHAnsi"/>
          <w:color w:val="000000" w:themeColor="text1"/>
          <w:kern w:val="24"/>
          <w:sz w:val="24"/>
          <w:szCs w:val="24"/>
        </w:rPr>
        <w:t xml:space="preserve">Then, </w:t>
      </w:r>
    </w:p>
    <w:p w:rsidR="00394CAE" w:rsidRPr="00394CAE" w:rsidRDefault="00755B0E" w:rsidP="00394CAE">
      <w:pPr>
        <w:rPr>
          <w:rFonts w:cstheme="minorHAnsi"/>
          <w:sz w:val="24"/>
          <w:szCs w:val="24"/>
        </w:rPr>
      </w:pPr>
      <m:oMathPara>
        <m:oMathParaPr>
          <m:jc m:val="centerGroup"/>
        </m:oMathParaPr>
        <m:oMath>
          <m:f>
            <m:fPr>
              <m:ctrlPr>
                <w:rPr>
                  <w:rFonts w:ascii="Cambria Math" w:eastAsiaTheme="minorEastAsia" w:hAnsi="Cambria Math" w:cstheme="minorHAnsi"/>
                  <w:i/>
                  <w:iCs/>
                  <w:color w:val="000000" w:themeColor="text1"/>
                  <w:kern w:val="24"/>
                  <w:sz w:val="24"/>
                  <w:szCs w:val="24"/>
                </w:rPr>
              </m:ctrlPr>
            </m:fPr>
            <m:num>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SOC</m:t>
                  </m:r>
                </m:e>
                <m:sub>
                  <m:r>
                    <w:rPr>
                      <w:rFonts w:ascii="Cambria Math" w:hAnsi="Cambria Math" w:cstheme="minorHAnsi"/>
                      <w:color w:val="000000" w:themeColor="text1"/>
                      <w:kern w:val="24"/>
                      <w:sz w:val="24"/>
                      <w:szCs w:val="24"/>
                    </w:rPr>
                    <m:t>t(k)</m:t>
                  </m:r>
                </m:sub>
              </m:sSub>
              <m:r>
                <w:rPr>
                  <w:rFonts w:ascii="Cambria Math" w:hAnsi="Cambria Math" w:cstheme="minorHAnsi"/>
                  <w:color w:val="000000" w:themeColor="text1"/>
                  <w:kern w:val="24"/>
                  <w:sz w:val="24"/>
                  <w:szCs w:val="24"/>
                </w:rPr>
                <m:t> – </m:t>
              </m:r>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SOC</m:t>
                  </m:r>
                </m:e>
                <m:sub>
                  <m:r>
                    <w:rPr>
                      <w:rFonts w:ascii="Cambria Math" w:hAnsi="Cambria Math" w:cstheme="minorHAnsi"/>
                      <w:color w:val="000000" w:themeColor="text1"/>
                      <w:kern w:val="24"/>
                      <w:sz w:val="24"/>
                      <w:szCs w:val="24"/>
                    </w:rPr>
                    <m:t>t</m:t>
                  </m:r>
                  <m:d>
                    <m:dPr>
                      <m:ctrlPr>
                        <w:rPr>
                          <w:rFonts w:ascii="Cambria Math" w:eastAsiaTheme="minorEastAsia" w:hAnsi="Cambria Math" w:cstheme="minorHAnsi"/>
                          <w:i/>
                          <w:iCs/>
                          <w:color w:val="000000" w:themeColor="text1"/>
                          <w:kern w:val="24"/>
                          <w:sz w:val="24"/>
                          <w:szCs w:val="24"/>
                        </w:rPr>
                      </m:ctrlPr>
                    </m:dPr>
                    <m:e>
                      <m:r>
                        <w:rPr>
                          <w:rFonts w:ascii="Cambria Math" w:hAnsi="Cambria Math" w:cstheme="minorHAnsi"/>
                          <w:color w:val="000000" w:themeColor="text1"/>
                          <w:kern w:val="24"/>
                          <w:sz w:val="24"/>
                          <w:szCs w:val="24"/>
                        </w:rPr>
                        <m:t>0</m:t>
                      </m:r>
                    </m:e>
                  </m:d>
                </m:sub>
              </m:sSub>
            </m:num>
            <m:den>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SOC</m:t>
                  </m:r>
                </m:e>
                <m:sub>
                  <m:r>
                    <w:rPr>
                      <w:rFonts w:ascii="Cambria Math" w:hAnsi="Cambria Math" w:cstheme="minorHAnsi"/>
                      <w:color w:val="000000" w:themeColor="text1"/>
                      <w:kern w:val="24"/>
                      <w:sz w:val="24"/>
                      <w:szCs w:val="24"/>
                    </w:rPr>
                    <m:t>t(k+)</m:t>
                  </m:r>
                </m:sub>
              </m:sSub>
              <m:r>
                <w:rPr>
                  <w:rFonts w:ascii="Cambria Math" w:hAnsi="Cambria Math" w:cstheme="minorHAnsi"/>
                  <w:color w:val="000000" w:themeColor="text1"/>
                  <w:kern w:val="24"/>
                  <w:sz w:val="24"/>
                  <w:szCs w:val="24"/>
                </w:rPr>
                <m:t> – </m:t>
              </m:r>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SOC</m:t>
                  </m:r>
                </m:e>
                <m:sub>
                  <m:r>
                    <w:rPr>
                      <w:rFonts w:ascii="Cambria Math" w:hAnsi="Cambria Math" w:cstheme="minorHAnsi"/>
                      <w:color w:val="000000" w:themeColor="text1"/>
                      <w:kern w:val="24"/>
                      <w:sz w:val="24"/>
                      <w:szCs w:val="24"/>
                    </w:rPr>
                    <m:t>t</m:t>
                  </m:r>
                  <m:d>
                    <m:dPr>
                      <m:ctrlPr>
                        <w:rPr>
                          <w:rFonts w:ascii="Cambria Math" w:eastAsiaTheme="minorEastAsia" w:hAnsi="Cambria Math" w:cstheme="minorHAnsi"/>
                          <w:i/>
                          <w:iCs/>
                          <w:color w:val="000000" w:themeColor="text1"/>
                          <w:kern w:val="24"/>
                          <w:sz w:val="24"/>
                          <w:szCs w:val="24"/>
                        </w:rPr>
                      </m:ctrlPr>
                    </m:dPr>
                    <m:e>
                      <m:r>
                        <w:rPr>
                          <w:rFonts w:ascii="Cambria Math" w:hAnsi="Cambria Math" w:cstheme="minorHAnsi"/>
                          <w:color w:val="000000" w:themeColor="text1"/>
                          <w:kern w:val="24"/>
                          <w:sz w:val="24"/>
                          <w:szCs w:val="24"/>
                        </w:rPr>
                        <m:t>0</m:t>
                      </m:r>
                    </m:e>
                  </m:d>
                </m:sub>
              </m:sSub>
            </m:den>
          </m:f>
          <m:r>
            <w:rPr>
              <w:rFonts w:ascii="Cambria Math" w:hAnsi="Cambria Math" w:cstheme="minorHAnsi"/>
              <w:color w:val="000000" w:themeColor="text1"/>
              <w:kern w:val="24"/>
              <w:sz w:val="24"/>
              <w:szCs w:val="24"/>
            </w:rPr>
            <m:t>=</m:t>
          </m:r>
          <m:f>
            <m:fPr>
              <m:ctrlPr>
                <w:rPr>
                  <w:rFonts w:ascii="Cambria Math" w:eastAsiaTheme="minorEastAsia" w:hAnsi="Cambria Math" w:cstheme="minorHAnsi"/>
                  <w:i/>
                  <w:iCs/>
                  <w:color w:val="000000" w:themeColor="text1"/>
                  <w:kern w:val="24"/>
                  <w:sz w:val="24"/>
                  <w:szCs w:val="24"/>
                </w:rPr>
              </m:ctrlPr>
            </m:fPr>
            <m:num>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Q</m:t>
                  </m:r>
                </m:e>
                <m:sub>
                  <m:r>
                    <w:rPr>
                      <w:rFonts w:ascii="Cambria Math" w:hAnsi="Cambria Math" w:cstheme="minorHAnsi"/>
                      <w:color w:val="000000" w:themeColor="text1"/>
                      <w:kern w:val="24"/>
                      <w:sz w:val="24"/>
                      <w:szCs w:val="24"/>
                    </w:rPr>
                    <m:t>actual degraded capacity</m:t>
                  </m:r>
                </m:sub>
              </m:sSub>
            </m:num>
            <m:den>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Q</m:t>
                  </m:r>
                </m:e>
                <m:sub>
                  <m:r>
                    <w:rPr>
                      <w:rFonts w:ascii="Cambria Math" w:hAnsi="Cambria Math" w:cstheme="minorHAnsi"/>
                      <w:color w:val="000000" w:themeColor="text1"/>
                      <w:kern w:val="24"/>
                      <w:sz w:val="24"/>
                      <w:szCs w:val="24"/>
                    </w:rPr>
                    <m:t>used in Coulomb Counting </m:t>
                  </m:r>
                </m:sub>
              </m:sSub>
            </m:den>
          </m:f>
        </m:oMath>
      </m:oMathPara>
    </w:p>
    <w:bookmarkEnd w:id="6"/>
    <w:p w:rsidR="00394CAE" w:rsidRDefault="00773C90" w:rsidP="00773C90">
      <w:pPr>
        <w:rPr>
          <w:rFonts w:eastAsiaTheme="minorEastAsia" w:cstheme="minorHAnsi"/>
          <w:iCs/>
          <w:color w:val="000000" w:themeColor="text1"/>
          <w:kern w:val="24"/>
          <w:szCs w:val="24"/>
        </w:rPr>
      </w:pPr>
      <w:r>
        <w:rPr>
          <w:rFonts w:cstheme="minorHAnsi"/>
        </w:rPr>
        <w:t xml:space="preserve">When the battery is new, </w:t>
      </w:r>
      <m:oMath>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Q</m:t>
            </m:r>
          </m:e>
          <m:sub>
            <m:r>
              <w:rPr>
                <w:rFonts w:ascii="Cambria Math" w:hAnsi="Cambria Math" w:cstheme="minorHAnsi"/>
                <w:color w:val="000000" w:themeColor="text1"/>
                <w:kern w:val="24"/>
                <w:sz w:val="24"/>
                <w:szCs w:val="24"/>
              </w:rPr>
              <m:t>used in Coulomb Counting </m:t>
            </m:r>
          </m:sub>
        </m:sSub>
      </m:oMath>
      <w:r w:rsidRPr="00773C90">
        <w:rPr>
          <w:rFonts w:eastAsiaTheme="minorEastAsia" w:cstheme="minorHAnsi"/>
          <w:iCs/>
          <w:color w:val="000000" w:themeColor="text1"/>
          <w:kern w:val="24"/>
        </w:rPr>
        <w:t>will be actual true capacity</w:t>
      </w:r>
      <w:r>
        <w:rPr>
          <w:rFonts w:eastAsiaTheme="minorEastAsia" w:cstheme="minorHAnsi"/>
          <w:iCs/>
          <w:color w:val="000000" w:themeColor="text1"/>
          <w:kern w:val="24"/>
        </w:rPr>
        <w:t xml:space="preserve">. After a charging cycle the </w:t>
      </w:r>
      <w:r>
        <w:rPr>
          <w:rFonts w:eastAsiaTheme="minorEastAsia" w:cstheme="minorHAnsi"/>
          <w:iCs/>
          <w:color w:val="000000" w:themeColor="text1"/>
          <w:kern w:val="24"/>
          <w:sz w:val="24"/>
          <w:szCs w:val="24"/>
        </w:rPr>
        <w:t xml:space="preserve"> </w:t>
      </w:r>
      <m:oMath>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Q</m:t>
            </m:r>
          </m:e>
          <m:sub>
            <m:r>
              <w:rPr>
                <w:rFonts w:ascii="Cambria Math" w:hAnsi="Cambria Math" w:cstheme="minorHAnsi"/>
                <w:color w:val="000000" w:themeColor="text1"/>
                <w:kern w:val="24"/>
                <w:sz w:val="24"/>
                <w:szCs w:val="24"/>
              </w:rPr>
              <m:t>actual degraded capacity</m:t>
            </m:r>
          </m:sub>
        </m:sSub>
      </m:oMath>
      <w:r>
        <w:rPr>
          <w:rFonts w:eastAsiaTheme="minorEastAsia" w:cstheme="minorHAnsi"/>
          <w:iCs/>
          <w:color w:val="000000" w:themeColor="text1"/>
          <w:kern w:val="24"/>
          <w:sz w:val="24"/>
          <w:szCs w:val="24"/>
        </w:rPr>
        <w:t xml:space="preserve"> </w:t>
      </w:r>
      <w:r w:rsidRPr="00773C90">
        <w:rPr>
          <w:rFonts w:eastAsiaTheme="minorEastAsia" w:cstheme="minorHAnsi"/>
          <w:iCs/>
          <w:color w:val="000000" w:themeColor="text1"/>
          <w:kern w:val="24"/>
          <w:szCs w:val="24"/>
        </w:rPr>
        <w:t>will be calculated and be stored in the memory. This value is then used any coulomb counting application.</w:t>
      </w:r>
      <w:r>
        <w:rPr>
          <w:rFonts w:eastAsiaTheme="minorEastAsia" w:cstheme="minorHAnsi"/>
          <w:iCs/>
          <w:color w:val="000000" w:themeColor="text1"/>
          <w:kern w:val="24"/>
          <w:szCs w:val="24"/>
        </w:rPr>
        <w:t xml:space="preserve"> This process will keep happening after every charging cycle and the </w:t>
      </w:r>
      <m:oMath>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Q</m:t>
            </m:r>
          </m:e>
          <m:sub>
            <m:r>
              <w:rPr>
                <w:rFonts w:ascii="Cambria Math" w:hAnsi="Cambria Math" w:cstheme="minorHAnsi"/>
                <w:color w:val="000000" w:themeColor="text1"/>
                <w:kern w:val="24"/>
                <w:sz w:val="24"/>
                <w:szCs w:val="24"/>
              </w:rPr>
              <m:t>used in Coulomb Counting </m:t>
            </m:r>
          </m:sub>
        </m:sSub>
      </m:oMath>
      <w:r w:rsidRPr="00773C90">
        <w:rPr>
          <w:rFonts w:eastAsiaTheme="minorEastAsia" w:cstheme="minorHAnsi"/>
          <w:iCs/>
          <w:color w:val="000000" w:themeColor="text1"/>
          <w:kern w:val="24"/>
          <w:szCs w:val="24"/>
        </w:rPr>
        <w:t>will be the last stored degraded capacity value.</w:t>
      </w:r>
    </w:p>
    <w:p w:rsidR="002C4A37" w:rsidRDefault="002C4A37" w:rsidP="00773C90">
      <w:pPr>
        <w:rPr>
          <w:rFonts w:eastAsiaTheme="minorEastAsia" w:cstheme="minorHAnsi"/>
          <w:iCs/>
          <w:color w:val="000000" w:themeColor="text1"/>
          <w:kern w:val="24"/>
          <w:szCs w:val="24"/>
        </w:rPr>
      </w:pPr>
      <w:r>
        <w:rPr>
          <w:rFonts w:eastAsiaTheme="minorEastAsia" w:cstheme="minorHAnsi"/>
          <w:iCs/>
          <w:color w:val="000000" w:themeColor="text1"/>
          <w:kern w:val="24"/>
          <w:szCs w:val="24"/>
        </w:rPr>
        <w:t>The degraded capacity of each cell is stored as a degradation factor which is the ratio of:</w:t>
      </w:r>
      <w:r>
        <w:rPr>
          <w:rFonts w:eastAsiaTheme="minorEastAsia" w:cstheme="minorHAnsi"/>
          <w:iCs/>
          <w:color w:val="000000" w:themeColor="text1"/>
          <w:kern w:val="24"/>
          <w:szCs w:val="24"/>
        </w:rPr>
        <w:br/>
      </w:r>
      <w:r>
        <w:rPr>
          <w:rFonts w:eastAsiaTheme="minorEastAsia" w:cstheme="minorHAnsi"/>
          <w:iCs/>
          <w:color w:val="000000" w:themeColor="text1"/>
          <w:kern w:val="24"/>
          <w:szCs w:val="24"/>
        </w:rPr>
        <w:tab/>
      </w:r>
      <w:r>
        <w:rPr>
          <w:rFonts w:eastAsiaTheme="minorEastAsia" w:cstheme="minorHAnsi"/>
          <w:iCs/>
          <w:color w:val="000000" w:themeColor="text1"/>
          <w:kern w:val="24"/>
          <w:szCs w:val="24"/>
        </w:rPr>
        <w:tab/>
      </w:r>
      <w:r>
        <w:rPr>
          <w:rFonts w:eastAsiaTheme="minorEastAsia" w:cstheme="minorHAnsi"/>
          <w:iCs/>
          <w:color w:val="000000" w:themeColor="text1"/>
          <w:kern w:val="24"/>
          <w:szCs w:val="24"/>
        </w:rPr>
        <w:tab/>
      </w:r>
      <w:r>
        <w:rPr>
          <w:rFonts w:eastAsiaTheme="minorEastAsia" w:cstheme="minorHAnsi"/>
          <w:iCs/>
          <w:color w:val="000000" w:themeColor="text1"/>
          <w:kern w:val="24"/>
          <w:szCs w:val="24"/>
        </w:rPr>
        <w:tab/>
      </w:r>
      <w:r>
        <w:rPr>
          <w:rFonts w:eastAsiaTheme="minorEastAsia" w:cstheme="minorHAnsi"/>
          <w:iCs/>
          <w:color w:val="000000" w:themeColor="text1"/>
          <w:kern w:val="24"/>
          <w:szCs w:val="24"/>
        </w:rPr>
        <w:tab/>
      </w:r>
      <w:bookmarkStart w:id="7" w:name="_Hlk41642834"/>
      <m:oMath>
        <m:f>
          <m:fPr>
            <m:ctrlPr>
              <w:rPr>
                <w:rFonts w:ascii="Cambria Math" w:eastAsiaTheme="minorEastAsia" w:hAnsi="Cambria Math" w:cstheme="minorHAnsi"/>
                <w:i/>
                <w:iCs/>
                <w:color w:val="000000" w:themeColor="text1"/>
                <w:kern w:val="24"/>
                <w:sz w:val="24"/>
                <w:szCs w:val="24"/>
              </w:rPr>
            </m:ctrlPr>
          </m:fPr>
          <m:num>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Q</m:t>
                </m:r>
              </m:e>
              <m:sub>
                <m:r>
                  <w:rPr>
                    <w:rFonts w:ascii="Cambria Math" w:hAnsi="Cambria Math" w:cstheme="minorHAnsi"/>
                    <w:color w:val="000000" w:themeColor="text1"/>
                    <w:kern w:val="24"/>
                    <w:sz w:val="24"/>
                    <w:szCs w:val="24"/>
                  </w:rPr>
                  <m:t>actual degraded capacity</m:t>
                </m:r>
              </m:sub>
            </m:sSub>
          </m:num>
          <m:den>
            <m:sSub>
              <m:sSubPr>
                <m:ctrlPr>
                  <w:rPr>
                    <w:rFonts w:ascii="Cambria Math" w:eastAsiaTheme="minorEastAsia" w:hAnsi="Cambria Math" w:cstheme="minorHAnsi"/>
                    <w:i/>
                    <w:iCs/>
                    <w:color w:val="000000" w:themeColor="text1"/>
                    <w:kern w:val="24"/>
                    <w:sz w:val="24"/>
                    <w:szCs w:val="24"/>
                  </w:rPr>
                </m:ctrlPr>
              </m:sSubPr>
              <m:e>
                <m:r>
                  <w:rPr>
                    <w:rFonts w:ascii="Cambria Math" w:hAnsi="Cambria Math" w:cstheme="minorHAnsi"/>
                    <w:color w:val="000000" w:themeColor="text1"/>
                    <w:kern w:val="24"/>
                    <w:sz w:val="24"/>
                    <w:szCs w:val="24"/>
                  </w:rPr>
                  <m:t>Q</m:t>
                </m:r>
              </m:e>
              <m:sub>
                <m:r>
                  <w:rPr>
                    <w:rFonts w:ascii="Cambria Math" w:hAnsi="Cambria Math" w:cstheme="minorHAnsi"/>
                    <w:color w:val="000000" w:themeColor="text1"/>
                    <w:kern w:val="24"/>
                    <w:sz w:val="24"/>
                    <w:szCs w:val="24"/>
                  </w:rPr>
                  <m:t>true capcity</m:t>
                </m:r>
              </m:sub>
            </m:sSub>
          </m:den>
        </m:f>
      </m:oMath>
      <w:bookmarkEnd w:id="7"/>
      <w:r>
        <w:rPr>
          <w:rFonts w:eastAsiaTheme="minorEastAsia" w:cstheme="minorHAnsi"/>
          <w:iCs/>
          <w:color w:val="000000" w:themeColor="text1"/>
          <w:kern w:val="24"/>
          <w:szCs w:val="24"/>
        </w:rPr>
        <w:tab/>
      </w:r>
    </w:p>
    <w:p w:rsidR="002C4A37" w:rsidRDefault="002C4A37" w:rsidP="00773C90">
      <w:pPr>
        <w:rPr>
          <w:rFonts w:eastAsiaTheme="minorEastAsia" w:cstheme="minorHAnsi"/>
          <w:iCs/>
          <w:color w:val="000000" w:themeColor="text1"/>
          <w:kern w:val="24"/>
          <w:szCs w:val="24"/>
        </w:rPr>
      </w:pPr>
      <w:r>
        <w:rPr>
          <w:rFonts w:eastAsiaTheme="minorEastAsia" w:cstheme="minorHAnsi"/>
          <w:iCs/>
          <w:color w:val="000000" w:themeColor="text1"/>
          <w:kern w:val="24"/>
          <w:szCs w:val="24"/>
        </w:rPr>
        <w:t xml:space="preserve">Though the degradation factors for cells are calculate in SOC feature, it is sent to State of Health (SOH) feature, which then passes it through. The essence being capacity degradation factors should be accessed </w:t>
      </w:r>
      <w:r w:rsidR="00AD5497">
        <w:rPr>
          <w:rFonts w:eastAsiaTheme="minorEastAsia" w:cstheme="minorHAnsi"/>
          <w:iCs/>
          <w:color w:val="000000" w:themeColor="text1"/>
          <w:kern w:val="24"/>
          <w:szCs w:val="24"/>
        </w:rPr>
        <w:t xml:space="preserve">by any feature </w:t>
      </w:r>
      <w:r>
        <w:rPr>
          <w:rFonts w:eastAsiaTheme="minorEastAsia" w:cstheme="minorHAnsi"/>
          <w:iCs/>
          <w:color w:val="000000" w:themeColor="text1"/>
          <w:kern w:val="24"/>
          <w:szCs w:val="24"/>
        </w:rPr>
        <w:t>from SOH feature as it tracks the health of the battery.</w:t>
      </w:r>
    </w:p>
    <w:p w:rsidR="00480220" w:rsidRDefault="00480220" w:rsidP="00773C90">
      <w:pPr>
        <w:rPr>
          <w:rFonts w:eastAsiaTheme="minorEastAsia" w:cstheme="minorHAnsi"/>
          <w:iCs/>
          <w:color w:val="000000" w:themeColor="text1"/>
          <w:kern w:val="24"/>
          <w:szCs w:val="24"/>
        </w:rPr>
      </w:pPr>
    </w:p>
    <w:p w:rsidR="00480220" w:rsidRDefault="00480220" w:rsidP="00480220">
      <w:pPr>
        <w:ind w:firstLine="720"/>
        <w:rPr>
          <w:b/>
          <w:sz w:val="24"/>
          <w:szCs w:val="24"/>
        </w:rPr>
      </w:pPr>
      <w:r>
        <w:rPr>
          <w:b/>
          <w:sz w:val="24"/>
          <w:szCs w:val="24"/>
        </w:rPr>
        <w:t>1.2.2.3 Other Features</w:t>
      </w:r>
    </w:p>
    <w:p w:rsidR="00480220" w:rsidRDefault="00480220" w:rsidP="00480220">
      <w:pPr>
        <w:ind w:left="720" w:firstLine="720"/>
        <w:rPr>
          <w:sz w:val="24"/>
          <w:szCs w:val="24"/>
        </w:rPr>
      </w:pPr>
      <w:r w:rsidRPr="00480220">
        <w:rPr>
          <w:sz w:val="24"/>
          <w:szCs w:val="24"/>
          <w:u w:val="single"/>
        </w:rPr>
        <w:t>1.2.2.3.1 SOC for customer</w:t>
      </w:r>
      <w:r w:rsidRPr="00480220">
        <w:rPr>
          <w:sz w:val="24"/>
          <w:szCs w:val="24"/>
        </w:rPr>
        <w:t>:</w:t>
      </w:r>
      <w:r>
        <w:rPr>
          <w:sz w:val="24"/>
          <w:szCs w:val="24"/>
        </w:rPr>
        <w:t xml:space="preserve"> </w:t>
      </w:r>
      <w:r w:rsidRPr="00480220">
        <w:rPr>
          <w:sz w:val="24"/>
          <w:szCs w:val="24"/>
        </w:rPr>
        <w:t xml:space="preserve"> </w:t>
      </w:r>
    </w:p>
    <w:p w:rsidR="009C3ADF" w:rsidRDefault="009C3ADF" w:rsidP="009C3ADF">
      <w:pPr>
        <w:pStyle w:val="NoSpacing"/>
        <w:ind w:left="720" w:firstLine="720"/>
      </w:pPr>
      <w:r>
        <w:t>Pack SOC is modified to show the customer.</w:t>
      </w:r>
    </w:p>
    <w:p w:rsidR="009C3ADF" w:rsidRPr="00916B43" w:rsidRDefault="009C3ADF" w:rsidP="009C3ADF">
      <w:pPr>
        <w:ind w:left="2127"/>
        <w:rPr>
          <w:i/>
        </w:rPr>
      </w:pPr>
      <w:r w:rsidRPr="00916B43">
        <w:rPr>
          <w:i/>
        </w:rPr>
        <w:t xml:space="preserve">If </w:t>
      </w:r>
      <w:proofErr w:type="gramStart"/>
      <w:r>
        <w:t>max(</w:t>
      </w:r>
      <w:proofErr w:type="gramEnd"/>
      <w:r>
        <w:t>SOC of all cells) is</w:t>
      </w:r>
      <w:r w:rsidRPr="00916B43">
        <w:rPr>
          <w:i/>
        </w:rPr>
        <w:t xml:space="preserve"> &gt; 80% then </w:t>
      </w:r>
      <w:proofErr w:type="spellStart"/>
      <w:r w:rsidRPr="00687CE8">
        <w:t>soc_pack_customer</w:t>
      </w:r>
      <w:proofErr w:type="spellEnd"/>
      <w:r w:rsidRPr="00916B43">
        <w:rPr>
          <w:i/>
        </w:rPr>
        <w:t xml:space="preserve"> = </w:t>
      </w:r>
      <w:r w:rsidR="00951910">
        <w:t>100%</w:t>
      </w:r>
    </w:p>
    <w:p w:rsidR="009C3ADF" w:rsidRPr="00916B43" w:rsidRDefault="009C3ADF" w:rsidP="009C3ADF">
      <w:pPr>
        <w:ind w:left="2127"/>
        <w:rPr>
          <w:i/>
        </w:rPr>
      </w:pPr>
      <w:r w:rsidRPr="00916B43">
        <w:rPr>
          <w:i/>
        </w:rPr>
        <w:t xml:space="preserve">Else if </w:t>
      </w:r>
      <w:proofErr w:type="gramStart"/>
      <w:r>
        <w:t>min(</w:t>
      </w:r>
      <w:proofErr w:type="gramEnd"/>
      <w:r>
        <w:t>SOC of all cells) is</w:t>
      </w:r>
      <w:r w:rsidRPr="00916B43">
        <w:rPr>
          <w:i/>
        </w:rPr>
        <w:t xml:space="preserve"> &lt; 20% then </w:t>
      </w:r>
      <w:proofErr w:type="spellStart"/>
      <w:r w:rsidRPr="00687CE8">
        <w:t>soc_pack_customer</w:t>
      </w:r>
      <w:proofErr w:type="spellEnd"/>
      <w:r w:rsidRPr="00916B43">
        <w:rPr>
          <w:i/>
        </w:rPr>
        <w:t xml:space="preserve"> = </w:t>
      </w:r>
      <w:r w:rsidR="000F650E">
        <w:t>0</w:t>
      </w:r>
      <w:r w:rsidR="00951910">
        <w:t>%</w:t>
      </w:r>
    </w:p>
    <w:p w:rsidR="009C3ADF" w:rsidRDefault="009C3ADF" w:rsidP="009C3ADF">
      <w:pPr>
        <w:ind w:left="2127"/>
      </w:pPr>
      <w:r w:rsidRPr="00916B43">
        <w:rPr>
          <w:i/>
        </w:rPr>
        <w:t xml:space="preserve">Else </w:t>
      </w:r>
      <w:proofErr w:type="spellStart"/>
      <w:r w:rsidRPr="00687CE8">
        <w:t>soc_pack_customer</w:t>
      </w:r>
      <w:proofErr w:type="spellEnd"/>
      <w:r w:rsidRPr="00916B43">
        <w:rPr>
          <w:i/>
        </w:rPr>
        <w:t xml:space="preserve"> = </w:t>
      </w:r>
      <w:r w:rsidR="00A06711">
        <w:rPr>
          <w:i/>
        </w:rPr>
        <w:t xml:space="preserve">interpolated value of </w:t>
      </w:r>
      <w:r>
        <w:t>average(SOC of all cells)</w:t>
      </w:r>
      <w:r w:rsidR="00A06711">
        <w:t xml:space="preserve"> between 0% and 100%</w:t>
      </w:r>
    </w:p>
    <w:p w:rsidR="00951910" w:rsidRDefault="00951910" w:rsidP="00951910">
      <w:r>
        <w:tab/>
      </w:r>
      <w:r>
        <w:tab/>
        <w:t>The 20% and 100% are calibrations as max and min value of SOC for customer.</w:t>
      </w:r>
    </w:p>
    <w:p w:rsidR="00951910" w:rsidRPr="00951910" w:rsidRDefault="00951910" w:rsidP="00951910"/>
    <w:p w:rsidR="00817D97" w:rsidRPr="00817D97" w:rsidRDefault="00817D97" w:rsidP="00817D97">
      <w:pPr>
        <w:ind w:left="720" w:firstLine="720"/>
        <w:rPr>
          <w:szCs w:val="24"/>
        </w:rPr>
      </w:pPr>
      <w:r w:rsidRPr="00817D97">
        <w:rPr>
          <w:szCs w:val="24"/>
          <w:u w:val="single"/>
        </w:rPr>
        <w:t>1.2.2.3.2 High rate of change of SOC</w:t>
      </w:r>
      <w:r w:rsidRPr="00817D97">
        <w:rPr>
          <w:szCs w:val="24"/>
        </w:rPr>
        <w:t xml:space="preserve">: </w:t>
      </w:r>
    </w:p>
    <w:p w:rsidR="00817D97" w:rsidRPr="00817D97" w:rsidRDefault="00817D97" w:rsidP="00817D97">
      <w:pPr>
        <w:ind w:left="2160"/>
        <w:rPr>
          <w:szCs w:val="24"/>
        </w:rPr>
      </w:pPr>
      <w:r w:rsidRPr="00817D97">
        <w:rPr>
          <w:szCs w:val="24"/>
        </w:rPr>
        <w:t xml:space="preserve">If the change in SOC is greater than a particular percentage per </w:t>
      </w:r>
      <w:proofErr w:type="gramStart"/>
      <w:r w:rsidRPr="00817D97">
        <w:rPr>
          <w:szCs w:val="24"/>
        </w:rPr>
        <w:t>second</w:t>
      </w:r>
      <w:proofErr w:type="gramEnd"/>
      <w:r w:rsidRPr="00817D97">
        <w:rPr>
          <w:szCs w:val="24"/>
        </w:rPr>
        <w:t xml:space="preserve"> then a flag is raised. This value is a calibration.</w:t>
      </w:r>
    </w:p>
    <w:p w:rsidR="009C3ADF" w:rsidRPr="00480220" w:rsidRDefault="009C3ADF" w:rsidP="00480220">
      <w:pPr>
        <w:ind w:left="720" w:firstLine="720"/>
        <w:rPr>
          <w:sz w:val="24"/>
          <w:szCs w:val="24"/>
          <w:u w:val="single"/>
        </w:rPr>
      </w:pPr>
    </w:p>
    <w:p w:rsidR="00480220" w:rsidRDefault="00480220" w:rsidP="00480220">
      <w:pPr>
        <w:ind w:firstLine="720"/>
        <w:rPr>
          <w:sz w:val="24"/>
          <w:szCs w:val="24"/>
        </w:rPr>
      </w:pPr>
    </w:p>
    <w:p w:rsidR="00817D97" w:rsidRDefault="00817D97" w:rsidP="00480220">
      <w:pPr>
        <w:ind w:firstLine="720"/>
        <w:rPr>
          <w:sz w:val="24"/>
          <w:szCs w:val="24"/>
        </w:rPr>
      </w:pPr>
    </w:p>
    <w:p w:rsidR="00773C90" w:rsidRPr="00545ACA" w:rsidRDefault="00773C90" w:rsidP="00773C90">
      <w:pPr>
        <w:jc w:val="both"/>
        <w:rPr>
          <w:b/>
          <w:sz w:val="24"/>
          <w:szCs w:val="24"/>
        </w:rPr>
      </w:pPr>
      <w:proofErr w:type="gramStart"/>
      <w:r>
        <w:rPr>
          <w:b/>
          <w:sz w:val="24"/>
          <w:szCs w:val="24"/>
        </w:rPr>
        <w:lastRenderedPageBreak/>
        <w:t>1</w:t>
      </w:r>
      <w:r w:rsidRPr="00545ACA">
        <w:rPr>
          <w:b/>
          <w:sz w:val="24"/>
          <w:szCs w:val="24"/>
        </w:rPr>
        <w:t>.</w:t>
      </w:r>
      <w:r>
        <w:rPr>
          <w:b/>
          <w:sz w:val="24"/>
          <w:szCs w:val="24"/>
        </w:rPr>
        <w:t>2</w:t>
      </w:r>
      <w:r w:rsidRPr="00545ACA">
        <w:rPr>
          <w:b/>
          <w:sz w:val="24"/>
          <w:szCs w:val="24"/>
        </w:rPr>
        <w:t>.3  I</w:t>
      </w:r>
      <w:proofErr w:type="gramEnd"/>
      <w:r w:rsidRPr="00545ACA">
        <w:rPr>
          <w:b/>
          <w:sz w:val="24"/>
          <w:szCs w:val="24"/>
        </w:rPr>
        <w:t xml:space="preserve">/O description: </w:t>
      </w:r>
    </w:p>
    <w:p w:rsidR="00773C90" w:rsidRPr="000C5B95" w:rsidRDefault="00773C90" w:rsidP="00773C90">
      <w:pPr>
        <w:jc w:val="both"/>
      </w:pPr>
      <w:r w:rsidRPr="000C5B95">
        <w:t xml:space="preserve">The </w:t>
      </w:r>
      <w:r>
        <w:t>SOC feature</w:t>
      </w:r>
      <w:r w:rsidRPr="000C5B95">
        <w:t xml:space="preserve"> requires the dynamic I/O shown in </w:t>
      </w:r>
      <w:r>
        <w:t>the following table</w:t>
      </w:r>
    </w:p>
    <w:tbl>
      <w:tblPr>
        <w:tblW w:w="0" w:type="auto"/>
        <w:tblInd w:w="-106" w:type="dxa"/>
        <w:tblBorders>
          <w:top w:val="single" w:sz="8" w:space="0" w:color="000000"/>
          <w:bottom w:val="single" w:sz="8" w:space="0" w:color="000000"/>
        </w:tblBorders>
        <w:tblLook w:val="00A0" w:firstRow="1" w:lastRow="0" w:firstColumn="1" w:lastColumn="0" w:noHBand="0" w:noVBand="0"/>
      </w:tblPr>
      <w:tblGrid>
        <w:gridCol w:w="2592"/>
        <w:gridCol w:w="1088"/>
        <w:gridCol w:w="2946"/>
        <w:gridCol w:w="2850"/>
      </w:tblGrid>
      <w:tr w:rsidR="00773C90" w:rsidRPr="000C5B95" w:rsidTr="00773C90">
        <w:tc>
          <w:tcPr>
            <w:tcW w:w="2592" w:type="dxa"/>
            <w:tcBorders>
              <w:top w:val="single" w:sz="8" w:space="0" w:color="000000"/>
              <w:left w:val="nil"/>
              <w:bottom w:val="single" w:sz="8" w:space="0" w:color="000000"/>
              <w:right w:val="nil"/>
            </w:tcBorders>
            <w:vAlign w:val="center"/>
          </w:tcPr>
          <w:p w:rsidR="00773C90" w:rsidRDefault="00773C90" w:rsidP="00773C90">
            <w:pPr>
              <w:jc w:val="both"/>
              <w:rPr>
                <w:rFonts w:ascii="Calibri" w:hAnsi="Calibri" w:cs="Calibri"/>
                <w:b/>
                <w:bCs/>
                <w:color w:val="000000"/>
                <w:sz w:val="28"/>
                <w:szCs w:val="28"/>
              </w:rPr>
            </w:pPr>
            <w:r>
              <w:rPr>
                <w:rFonts w:ascii="Calibri" w:hAnsi="Calibri" w:cs="Calibri"/>
                <w:b/>
                <w:bCs/>
                <w:color w:val="000000"/>
                <w:sz w:val="28"/>
                <w:szCs w:val="28"/>
              </w:rPr>
              <w:t>Signal(s)</w:t>
            </w:r>
          </w:p>
        </w:tc>
        <w:tc>
          <w:tcPr>
            <w:tcW w:w="1088" w:type="dxa"/>
            <w:tcBorders>
              <w:top w:val="single" w:sz="8" w:space="0" w:color="000000"/>
              <w:left w:val="nil"/>
              <w:bottom w:val="single" w:sz="8" w:space="0" w:color="000000"/>
              <w:right w:val="nil"/>
            </w:tcBorders>
            <w:vAlign w:val="center"/>
          </w:tcPr>
          <w:p w:rsidR="00773C90" w:rsidRDefault="00773C90" w:rsidP="00773C90">
            <w:pPr>
              <w:jc w:val="both"/>
              <w:rPr>
                <w:rFonts w:ascii="Calibri" w:hAnsi="Calibri" w:cs="Calibri"/>
                <w:b/>
                <w:bCs/>
                <w:color w:val="000000"/>
                <w:sz w:val="28"/>
                <w:szCs w:val="28"/>
              </w:rPr>
            </w:pPr>
            <w:r>
              <w:rPr>
                <w:rFonts w:ascii="Calibri" w:hAnsi="Calibri" w:cs="Calibri"/>
                <w:b/>
                <w:bCs/>
                <w:color w:val="000000"/>
                <w:sz w:val="28"/>
                <w:szCs w:val="28"/>
              </w:rPr>
              <w:t>I/O</w:t>
            </w:r>
          </w:p>
        </w:tc>
        <w:tc>
          <w:tcPr>
            <w:tcW w:w="2946" w:type="dxa"/>
            <w:tcBorders>
              <w:top w:val="single" w:sz="8" w:space="0" w:color="000000"/>
              <w:left w:val="nil"/>
              <w:bottom w:val="single" w:sz="8" w:space="0" w:color="000000"/>
              <w:right w:val="nil"/>
            </w:tcBorders>
            <w:vAlign w:val="center"/>
          </w:tcPr>
          <w:p w:rsidR="00773C90" w:rsidRDefault="00773C90" w:rsidP="00773C90">
            <w:pPr>
              <w:jc w:val="both"/>
              <w:rPr>
                <w:rFonts w:ascii="Calibri" w:hAnsi="Calibri" w:cs="Calibri"/>
                <w:b/>
                <w:bCs/>
                <w:color w:val="000000"/>
                <w:sz w:val="28"/>
                <w:szCs w:val="28"/>
              </w:rPr>
            </w:pPr>
            <w:r>
              <w:rPr>
                <w:rFonts w:ascii="Calibri" w:hAnsi="Calibri" w:cs="Calibri"/>
                <w:b/>
                <w:bCs/>
                <w:color w:val="000000"/>
                <w:sz w:val="28"/>
                <w:szCs w:val="28"/>
              </w:rPr>
              <w:t>Description</w:t>
            </w:r>
          </w:p>
        </w:tc>
        <w:tc>
          <w:tcPr>
            <w:tcW w:w="2850" w:type="dxa"/>
            <w:tcBorders>
              <w:top w:val="single" w:sz="8" w:space="0" w:color="000000"/>
              <w:left w:val="nil"/>
              <w:bottom w:val="single" w:sz="8" w:space="0" w:color="000000"/>
              <w:right w:val="nil"/>
            </w:tcBorders>
            <w:vAlign w:val="center"/>
          </w:tcPr>
          <w:p w:rsidR="00773C90" w:rsidRDefault="00773C90" w:rsidP="00773C90">
            <w:pPr>
              <w:jc w:val="both"/>
              <w:rPr>
                <w:rFonts w:ascii="Calibri" w:hAnsi="Calibri" w:cs="Calibri"/>
                <w:b/>
                <w:bCs/>
                <w:color w:val="000000"/>
                <w:sz w:val="28"/>
                <w:szCs w:val="28"/>
              </w:rPr>
            </w:pPr>
            <w:r>
              <w:rPr>
                <w:rFonts w:ascii="Calibri" w:hAnsi="Calibri" w:cs="Calibri"/>
                <w:b/>
                <w:bCs/>
                <w:color w:val="000000"/>
                <w:sz w:val="28"/>
                <w:szCs w:val="28"/>
              </w:rPr>
              <w:t>Units/comments</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vitm_pack_current</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2C4A37" w:rsidP="00773C90">
            <w:pPr>
              <w:jc w:val="both"/>
              <w:rPr>
                <w:rFonts w:ascii="Calibri" w:hAnsi="Calibri" w:cs="Calibri"/>
                <w:color w:val="000000"/>
              </w:rPr>
            </w:pPr>
            <w:r>
              <w:rPr>
                <w:rFonts w:ascii="Calibri" w:hAnsi="Calibri" w:cs="Calibri"/>
                <w:color w:val="000000"/>
              </w:rPr>
              <w:t>Pack Current from VITM</w:t>
            </w:r>
          </w:p>
        </w:tc>
        <w:tc>
          <w:tcPr>
            <w:tcW w:w="2850"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A</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vitm_cell_voltages</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2C4A37" w:rsidP="00773C90">
            <w:pPr>
              <w:jc w:val="both"/>
              <w:rPr>
                <w:rFonts w:ascii="Calibri" w:hAnsi="Calibri" w:cs="Calibri"/>
                <w:color w:val="000000"/>
              </w:rPr>
            </w:pPr>
            <w:r>
              <w:rPr>
                <w:rFonts w:ascii="Calibri" w:hAnsi="Calibri" w:cs="Calibri"/>
                <w:color w:val="000000"/>
              </w:rPr>
              <w:t>Cell Voltages from VITM</w:t>
            </w:r>
          </w:p>
        </w:tc>
        <w:tc>
          <w:tcPr>
            <w:tcW w:w="2850"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V</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cc_main_contactor</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2C4A37" w:rsidP="00773C90">
            <w:pPr>
              <w:jc w:val="both"/>
              <w:rPr>
                <w:rFonts w:ascii="Calibri" w:hAnsi="Calibri" w:cs="Calibri"/>
                <w:color w:val="000000"/>
              </w:rPr>
            </w:pPr>
            <w:r>
              <w:rPr>
                <w:rFonts w:ascii="Calibri" w:hAnsi="Calibri" w:cs="Calibri"/>
                <w:color w:val="000000"/>
              </w:rPr>
              <w:t>Main Contactor command from CC</w:t>
            </w:r>
          </w:p>
        </w:tc>
        <w:tc>
          <w:tcPr>
            <w:tcW w:w="2850"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state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cc_chg_contactor</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2C4A37" w:rsidP="00773C90">
            <w:pPr>
              <w:jc w:val="both"/>
              <w:rPr>
                <w:rFonts w:ascii="Calibri" w:hAnsi="Calibri" w:cs="Calibri"/>
                <w:color w:val="000000"/>
              </w:rPr>
            </w:pPr>
            <w:r>
              <w:rPr>
                <w:rFonts w:ascii="Calibri" w:hAnsi="Calibri" w:cs="Calibri"/>
                <w:color w:val="000000"/>
              </w:rPr>
              <w:t>Charger Contactor command from CC</w:t>
            </w:r>
          </w:p>
        </w:tc>
        <w:tc>
          <w:tcPr>
            <w:tcW w:w="2850"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state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cc_pre_chg_contactor</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2C4A37" w:rsidP="00773C90">
            <w:pPr>
              <w:jc w:val="both"/>
              <w:rPr>
                <w:rFonts w:ascii="Calibri" w:hAnsi="Calibri" w:cs="Calibri"/>
                <w:color w:val="000000"/>
              </w:rPr>
            </w:pPr>
            <w:r>
              <w:rPr>
                <w:rFonts w:ascii="Calibri" w:hAnsi="Calibri" w:cs="Calibri"/>
                <w:color w:val="000000"/>
              </w:rPr>
              <w:t>Pre-charge Contactor command from CC</w:t>
            </w:r>
          </w:p>
        </w:tc>
        <w:tc>
          <w:tcPr>
            <w:tcW w:w="2850"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State</w:t>
            </w:r>
          </w:p>
        </w:tc>
      </w:tr>
      <w:tr w:rsidR="00773C90" w:rsidRPr="000C5B95" w:rsidTr="00773C90">
        <w:trPr>
          <w:trHeight w:val="630"/>
        </w:trPr>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soh_C_factors</w:t>
            </w:r>
            <w:proofErr w:type="spellEnd"/>
          </w:p>
        </w:tc>
        <w:tc>
          <w:tcPr>
            <w:tcW w:w="1088"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2C4A37" w:rsidP="00773C90">
            <w:pPr>
              <w:jc w:val="both"/>
              <w:rPr>
                <w:rFonts w:ascii="Calibri" w:hAnsi="Calibri" w:cs="Calibri"/>
                <w:color w:val="000000"/>
              </w:rPr>
            </w:pPr>
            <w:r>
              <w:rPr>
                <w:rFonts w:ascii="Calibri" w:hAnsi="Calibri" w:cs="Calibri"/>
                <w:color w:val="000000"/>
              </w:rPr>
              <w:t>Degradation factors from SOH</w:t>
            </w:r>
          </w:p>
        </w:tc>
        <w:tc>
          <w:tcPr>
            <w:tcW w:w="2850"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Percentage/100</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bsc_chg_cc_cmd</w:t>
            </w:r>
            <w:proofErr w:type="spellEnd"/>
          </w:p>
        </w:tc>
        <w:tc>
          <w:tcPr>
            <w:tcW w:w="1088"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AD5497" w:rsidP="00773C90">
            <w:pPr>
              <w:jc w:val="both"/>
              <w:rPr>
                <w:rFonts w:ascii="Calibri" w:hAnsi="Calibri" w:cs="Calibri"/>
                <w:color w:val="000000"/>
              </w:rPr>
            </w:pPr>
            <w:r>
              <w:rPr>
                <w:rFonts w:ascii="Calibri" w:hAnsi="Calibri" w:cs="Calibri"/>
                <w:color w:val="000000"/>
              </w:rPr>
              <w:t>Charger Contactor signal from BSC</w:t>
            </w:r>
          </w:p>
        </w:tc>
        <w:tc>
          <w:tcPr>
            <w:tcW w:w="2850"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state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cb_cmds</w:t>
            </w:r>
            <w:proofErr w:type="spellEnd"/>
          </w:p>
        </w:tc>
        <w:tc>
          <w:tcPr>
            <w:tcW w:w="1088"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Input</w:t>
            </w:r>
          </w:p>
        </w:tc>
        <w:tc>
          <w:tcPr>
            <w:tcW w:w="2946" w:type="dxa"/>
            <w:tcBorders>
              <w:left w:val="nil"/>
              <w:right w:val="nil"/>
            </w:tcBorders>
            <w:shd w:val="clear" w:color="auto" w:fill="auto"/>
            <w:vAlign w:val="center"/>
          </w:tcPr>
          <w:p w:rsidR="00773C90" w:rsidRDefault="00AD5497" w:rsidP="00773C90">
            <w:pPr>
              <w:jc w:val="both"/>
              <w:rPr>
                <w:rFonts w:ascii="Calibri" w:hAnsi="Calibri" w:cs="Calibri"/>
                <w:color w:val="000000"/>
              </w:rPr>
            </w:pPr>
            <w:r>
              <w:rPr>
                <w:rFonts w:ascii="Calibri" w:hAnsi="Calibri" w:cs="Calibri"/>
                <w:color w:val="000000"/>
              </w:rPr>
              <w:t>Cell Balancing commands from CB</w:t>
            </w:r>
          </w:p>
        </w:tc>
        <w:tc>
          <w:tcPr>
            <w:tcW w:w="2850"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State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soc_cells_pct</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773C90" w:rsidRPr="00DC0CBC" w:rsidRDefault="00AD5497" w:rsidP="00773C90">
            <w:pPr>
              <w:jc w:val="both"/>
              <w:rPr>
                <w:rFonts w:ascii="Calibri" w:hAnsi="Calibri" w:cs="Calibri"/>
                <w:color w:val="000000"/>
              </w:rPr>
            </w:pPr>
            <w:r>
              <w:rPr>
                <w:rFonts w:ascii="Calibri" w:hAnsi="Calibri" w:cs="Calibri"/>
                <w:color w:val="000000"/>
              </w:rPr>
              <w:t>SOC of all cells</w:t>
            </w:r>
          </w:p>
        </w:tc>
        <w:tc>
          <w:tcPr>
            <w:tcW w:w="2850" w:type="dxa"/>
            <w:tcBorders>
              <w:left w:val="nil"/>
              <w:right w:val="nil"/>
            </w:tcBorders>
            <w:shd w:val="clear" w:color="auto" w:fill="auto"/>
            <w:vAlign w:val="center"/>
          </w:tcPr>
          <w:p w:rsidR="00773C90" w:rsidRPr="00DC0CBC" w:rsidRDefault="004F7785" w:rsidP="00773C90">
            <w:pPr>
              <w:jc w:val="both"/>
              <w:rPr>
                <w:rFonts w:ascii="Calibri" w:hAnsi="Calibri" w:cs="Calibri"/>
                <w:color w:val="000000"/>
              </w:rPr>
            </w:pPr>
            <w:r>
              <w:rPr>
                <w:rFonts w:ascii="Calibri" w:hAnsi="Calibri" w:cs="Calibri"/>
                <w:color w:val="000000"/>
              </w:rPr>
              <w:t>Percentage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soc_pack_customer</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773C90" w:rsidRPr="00DC0CBC" w:rsidRDefault="00AD5497" w:rsidP="00773C90">
            <w:pPr>
              <w:jc w:val="both"/>
              <w:rPr>
                <w:rFonts w:ascii="Calibri" w:hAnsi="Calibri" w:cs="Calibri"/>
                <w:color w:val="000000"/>
              </w:rPr>
            </w:pPr>
            <w:r>
              <w:rPr>
                <w:rFonts w:ascii="Calibri" w:hAnsi="Calibri" w:cs="Calibri"/>
                <w:color w:val="000000"/>
              </w:rPr>
              <w:t>SOC value for the customer</w:t>
            </w:r>
          </w:p>
        </w:tc>
        <w:tc>
          <w:tcPr>
            <w:tcW w:w="2850" w:type="dxa"/>
            <w:tcBorders>
              <w:left w:val="nil"/>
              <w:right w:val="nil"/>
            </w:tcBorders>
            <w:shd w:val="clear" w:color="auto" w:fill="auto"/>
            <w:vAlign w:val="center"/>
          </w:tcPr>
          <w:p w:rsidR="00773C90" w:rsidRPr="00DC0CBC" w:rsidRDefault="004F7785" w:rsidP="00773C90">
            <w:pPr>
              <w:jc w:val="both"/>
              <w:rPr>
                <w:rFonts w:ascii="Calibri" w:hAnsi="Calibri" w:cs="Calibri"/>
                <w:color w:val="000000"/>
              </w:rPr>
            </w:pPr>
            <w:r>
              <w:rPr>
                <w:rFonts w:ascii="Calibri" w:hAnsi="Calibri" w:cs="Calibri"/>
                <w:color w:val="000000"/>
              </w:rPr>
              <w:t>Percentage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soc_cells_max</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773C90" w:rsidRPr="00DC0CBC" w:rsidRDefault="00AD5497" w:rsidP="00773C90">
            <w:pPr>
              <w:jc w:val="both"/>
              <w:rPr>
                <w:rFonts w:ascii="Calibri" w:hAnsi="Calibri" w:cs="Calibri"/>
                <w:color w:val="000000"/>
              </w:rPr>
            </w:pPr>
            <w:r>
              <w:rPr>
                <w:rFonts w:ascii="Calibri" w:hAnsi="Calibri" w:cs="Calibri"/>
                <w:color w:val="000000"/>
              </w:rPr>
              <w:t>Max value of the SOCs of all the cells</w:t>
            </w:r>
          </w:p>
        </w:tc>
        <w:tc>
          <w:tcPr>
            <w:tcW w:w="2850" w:type="dxa"/>
            <w:tcBorders>
              <w:left w:val="nil"/>
              <w:right w:val="nil"/>
            </w:tcBorders>
            <w:shd w:val="clear" w:color="auto" w:fill="auto"/>
            <w:vAlign w:val="center"/>
          </w:tcPr>
          <w:p w:rsidR="00773C90" w:rsidRPr="00DC0CBC" w:rsidRDefault="004F7785" w:rsidP="00773C90">
            <w:pPr>
              <w:jc w:val="both"/>
              <w:rPr>
                <w:rFonts w:ascii="Calibri" w:hAnsi="Calibri" w:cs="Calibri"/>
                <w:color w:val="000000"/>
              </w:rPr>
            </w:pPr>
            <w:r>
              <w:rPr>
                <w:rFonts w:ascii="Calibri" w:hAnsi="Calibri" w:cs="Calibri"/>
                <w:color w:val="000000"/>
              </w:rPr>
              <w:t>Percentage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soc_cells_min</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773C90" w:rsidRPr="00DC0CBC" w:rsidRDefault="00AD5497" w:rsidP="00773C90">
            <w:pPr>
              <w:jc w:val="both"/>
              <w:rPr>
                <w:rFonts w:ascii="Calibri" w:hAnsi="Calibri" w:cs="Calibri"/>
                <w:color w:val="000000"/>
              </w:rPr>
            </w:pPr>
            <w:r>
              <w:rPr>
                <w:rFonts w:ascii="Calibri" w:hAnsi="Calibri" w:cs="Calibri"/>
                <w:color w:val="000000"/>
              </w:rPr>
              <w:t>Min value of the SOCs of all the cells</w:t>
            </w:r>
          </w:p>
        </w:tc>
        <w:tc>
          <w:tcPr>
            <w:tcW w:w="2850" w:type="dxa"/>
            <w:tcBorders>
              <w:left w:val="nil"/>
              <w:right w:val="nil"/>
            </w:tcBorders>
            <w:shd w:val="clear" w:color="auto" w:fill="auto"/>
            <w:vAlign w:val="center"/>
          </w:tcPr>
          <w:p w:rsidR="00773C90" w:rsidRPr="00DC0CBC" w:rsidRDefault="004F7785" w:rsidP="00773C90">
            <w:pPr>
              <w:jc w:val="both"/>
              <w:rPr>
                <w:rFonts w:ascii="Calibri" w:hAnsi="Calibri" w:cs="Calibri"/>
                <w:color w:val="000000"/>
              </w:rPr>
            </w:pPr>
            <w:r>
              <w:rPr>
                <w:rFonts w:ascii="Calibri" w:hAnsi="Calibri" w:cs="Calibri"/>
                <w:color w:val="000000"/>
              </w:rPr>
              <w:t>Percentage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soc_pack_actual</w:t>
            </w:r>
            <w:proofErr w:type="spellEnd"/>
          </w:p>
        </w:tc>
        <w:tc>
          <w:tcPr>
            <w:tcW w:w="1088" w:type="dxa"/>
            <w:tcBorders>
              <w:left w:val="nil"/>
              <w:right w:val="nil"/>
            </w:tcBorders>
            <w:shd w:val="clear" w:color="auto" w:fill="auto"/>
            <w:vAlign w:val="center"/>
          </w:tcPr>
          <w:p w:rsidR="00773C90" w:rsidRDefault="00773C90" w:rsidP="00773C90">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773C90" w:rsidRPr="00DC0CBC" w:rsidRDefault="00AD5497" w:rsidP="00773C90">
            <w:pPr>
              <w:jc w:val="both"/>
              <w:rPr>
                <w:rFonts w:ascii="Calibri" w:hAnsi="Calibri" w:cs="Calibri"/>
                <w:color w:val="000000"/>
              </w:rPr>
            </w:pPr>
            <w:r>
              <w:rPr>
                <w:rFonts w:ascii="Calibri" w:hAnsi="Calibri" w:cs="Calibri"/>
                <w:color w:val="000000"/>
              </w:rPr>
              <w:t>Average value of the SOCs of all the cells</w:t>
            </w:r>
          </w:p>
        </w:tc>
        <w:tc>
          <w:tcPr>
            <w:tcW w:w="2850" w:type="dxa"/>
            <w:tcBorders>
              <w:left w:val="nil"/>
              <w:right w:val="nil"/>
            </w:tcBorders>
            <w:shd w:val="clear" w:color="auto" w:fill="auto"/>
            <w:vAlign w:val="center"/>
          </w:tcPr>
          <w:p w:rsidR="00773C90" w:rsidRPr="00DC0CBC" w:rsidRDefault="004F7785" w:rsidP="00773C90">
            <w:pPr>
              <w:jc w:val="both"/>
              <w:rPr>
                <w:rFonts w:ascii="Calibri" w:hAnsi="Calibri" w:cs="Calibri"/>
                <w:color w:val="000000"/>
              </w:rPr>
            </w:pPr>
            <w:r>
              <w:rPr>
                <w:rFonts w:ascii="Calibri" w:hAnsi="Calibri" w:cs="Calibri"/>
                <w:color w:val="000000"/>
              </w:rPr>
              <w:t>Percentage</w:t>
            </w:r>
          </w:p>
        </w:tc>
      </w:tr>
      <w:tr w:rsidR="00773C90" w:rsidRPr="000C5B95" w:rsidTr="00773C90">
        <w:tc>
          <w:tcPr>
            <w:tcW w:w="2592" w:type="dxa"/>
            <w:tcBorders>
              <w:left w:val="nil"/>
              <w:right w:val="nil"/>
            </w:tcBorders>
            <w:shd w:val="clear" w:color="auto" w:fill="auto"/>
            <w:vAlign w:val="center"/>
          </w:tcPr>
          <w:p w:rsidR="00773C90" w:rsidRDefault="00773C90" w:rsidP="00773C90">
            <w:pPr>
              <w:jc w:val="both"/>
              <w:rPr>
                <w:rFonts w:ascii="Calibri" w:hAnsi="Calibri" w:cs="Calibri"/>
                <w:color w:val="000000"/>
              </w:rPr>
            </w:pPr>
            <w:proofErr w:type="spellStart"/>
            <w:r w:rsidRPr="00773C90">
              <w:rPr>
                <w:rFonts w:ascii="Calibri" w:hAnsi="Calibri" w:cs="Calibri"/>
                <w:color w:val="000000"/>
              </w:rPr>
              <w:t>soc_rate_high</w:t>
            </w:r>
            <w:proofErr w:type="spellEnd"/>
          </w:p>
        </w:tc>
        <w:tc>
          <w:tcPr>
            <w:tcW w:w="1088" w:type="dxa"/>
            <w:tcBorders>
              <w:left w:val="nil"/>
              <w:right w:val="nil"/>
            </w:tcBorders>
            <w:shd w:val="clear" w:color="auto" w:fill="auto"/>
            <w:vAlign w:val="center"/>
          </w:tcPr>
          <w:p w:rsidR="00773C90" w:rsidRDefault="004F7785" w:rsidP="00773C90">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773C90" w:rsidRPr="00DC0CBC" w:rsidRDefault="00AD5497" w:rsidP="00773C90">
            <w:pPr>
              <w:jc w:val="both"/>
              <w:rPr>
                <w:rFonts w:ascii="Calibri" w:hAnsi="Calibri" w:cs="Calibri"/>
                <w:color w:val="000000"/>
              </w:rPr>
            </w:pPr>
            <w:r>
              <w:rPr>
                <w:rFonts w:ascii="Calibri" w:hAnsi="Calibri" w:cs="Calibri"/>
                <w:color w:val="000000"/>
              </w:rPr>
              <w:t>SOC rate of change if high</w:t>
            </w:r>
          </w:p>
        </w:tc>
        <w:tc>
          <w:tcPr>
            <w:tcW w:w="2850" w:type="dxa"/>
            <w:tcBorders>
              <w:left w:val="nil"/>
              <w:right w:val="nil"/>
            </w:tcBorders>
            <w:shd w:val="clear" w:color="auto" w:fill="auto"/>
            <w:vAlign w:val="center"/>
          </w:tcPr>
          <w:p w:rsidR="00773C90" w:rsidRPr="00DC0CBC" w:rsidRDefault="004F7785" w:rsidP="00773C90">
            <w:pPr>
              <w:jc w:val="both"/>
              <w:rPr>
                <w:rFonts w:ascii="Calibri" w:hAnsi="Calibri" w:cs="Calibri"/>
                <w:color w:val="000000"/>
              </w:rPr>
            </w:pPr>
            <w:r>
              <w:rPr>
                <w:rFonts w:ascii="Calibri" w:hAnsi="Calibri" w:cs="Calibri"/>
                <w:color w:val="000000"/>
              </w:rPr>
              <w:t>State</w:t>
            </w:r>
          </w:p>
        </w:tc>
      </w:tr>
      <w:tr w:rsidR="004F7785" w:rsidRPr="000C5B95" w:rsidTr="00773C90">
        <w:tc>
          <w:tcPr>
            <w:tcW w:w="2592" w:type="dxa"/>
            <w:tcBorders>
              <w:left w:val="nil"/>
              <w:right w:val="nil"/>
            </w:tcBorders>
            <w:shd w:val="clear" w:color="auto" w:fill="auto"/>
            <w:vAlign w:val="center"/>
          </w:tcPr>
          <w:p w:rsidR="004F7785" w:rsidRPr="00773C90" w:rsidRDefault="004F7785" w:rsidP="00773C90">
            <w:pPr>
              <w:jc w:val="both"/>
              <w:rPr>
                <w:rFonts w:ascii="Calibri" w:hAnsi="Calibri" w:cs="Calibri"/>
                <w:color w:val="000000"/>
              </w:rPr>
            </w:pPr>
            <w:proofErr w:type="spellStart"/>
            <w:r w:rsidRPr="004F7785">
              <w:rPr>
                <w:rFonts w:ascii="Calibri" w:hAnsi="Calibri" w:cs="Calibri"/>
                <w:color w:val="000000"/>
              </w:rPr>
              <w:t>soc_C_factor</w:t>
            </w:r>
            <w:r>
              <w:rPr>
                <w:rFonts w:ascii="Calibri" w:hAnsi="Calibri" w:cs="Calibri"/>
                <w:color w:val="000000"/>
              </w:rPr>
              <w:t>s</w:t>
            </w:r>
            <w:proofErr w:type="spellEnd"/>
          </w:p>
        </w:tc>
        <w:tc>
          <w:tcPr>
            <w:tcW w:w="1088" w:type="dxa"/>
            <w:tcBorders>
              <w:left w:val="nil"/>
              <w:right w:val="nil"/>
            </w:tcBorders>
            <w:shd w:val="clear" w:color="auto" w:fill="auto"/>
            <w:vAlign w:val="center"/>
          </w:tcPr>
          <w:p w:rsidR="004F7785" w:rsidRDefault="004F7785" w:rsidP="00773C90">
            <w:pPr>
              <w:jc w:val="both"/>
              <w:rPr>
                <w:rFonts w:ascii="Calibri" w:hAnsi="Calibri" w:cs="Calibri"/>
                <w:color w:val="000000"/>
              </w:rPr>
            </w:pPr>
            <w:r>
              <w:rPr>
                <w:rFonts w:ascii="Calibri" w:hAnsi="Calibri" w:cs="Calibri"/>
                <w:color w:val="000000"/>
              </w:rPr>
              <w:t>Output</w:t>
            </w:r>
          </w:p>
        </w:tc>
        <w:tc>
          <w:tcPr>
            <w:tcW w:w="2946" w:type="dxa"/>
            <w:tcBorders>
              <w:left w:val="nil"/>
              <w:right w:val="nil"/>
            </w:tcBorders>
            <w:shd w:val="clear" w:color="auto" w:fill="auto"/>
            <w:vAlign w:val="center"/>
          </w:tcPr>
          <w:p w:rsidR="004F7785" w:rsidRPr="00DC0CBC" w:rsidRDefault="00AD5497" w:rsidP="00773C90">
            <w:pPr>
              <w:jc w:val="both"/>
              <w:rPr>
                <w:rFonts w:ascii="Calibri" w:hAnsi="Calibri" w:cs="Calibri"/>
                <w:color w:val="000000"/>
              </w:rPr>
            </w:pPr>
            <w:r>
              <w:rPr>
                <w:rFonts w:ascii="Calibri" w:hAnsi="Calibri" w:cs="Calibri"/>
                <w:color w:val="000000"/>
              </w:rPr>
              <w:t>Capacity Degradation factors calculated after a charging cycle</w:t>
            </w:r>
          </w:p>
        </w:tc>
        <w:tc>
          <w:tcPr>
            <w:tcW w:w="2850" w:type="dxa"/>
            <w:tcBorders>
              <w:left w:val="nil"/>
              <w:right w:val="nil"/>
            </w:tcBorders>
            <w:shd w:val="clear" w:color="auto" w:fill="auto"/>
            <w:vAlign w:val="center"/>
          </w:tcPr>
          <w:p w:rsidR="004F7785" w:rsidRPr="00DC0CBC" w:rsidRDefault="004F7785" w:rsidP="00773C90">
            <w:pPr>
              <w:jc w:val="both"/>
              <w:rPr>
                <w:rFonts w:ascii="Calibri" w:hAnsi="Calibri" w:cs="Calibri"/>
                <w:color w:val="000000"/>
              </w:rPr>
            </w:pPr>
            <w:r>
              <w:rPr>
                <w:rFonts w:ascii="Calibri" w:hAnsi="Calibri" w:cs="Calibri"/>
                <w:color w:val="000000"/>
              </w:rPr>
              <w:t>Percentage/100</w:t>
            </w:r>
          </w:p>
        </w:tc>
      </w:tr>
    </w:tbl>
    <w:p w:rsidR="00773C90" w:rsidRDefault="00773C90" w:rsidP="00773C90">
      <w:pPr>
        <w:jc w:val="both"/>
        <w:rPr>
          <w:b/>
          <w:sz w:val="24"/>
          <w:szCs w:val="24"/>
        </w:rPr>
      </w:pPr>
    </w:p>
    <w:p w:rsidR="00773C90" w:rsidRPr="00773C90" w:rsidRDefault="00773C90" w:rsidP="00773C90">
      <w:pPr>
        <w:rPr>
          <w:rFonts w:cstheme="minorHAnsi"/>
        </w:rPr>
      </w:pPr>
    </w:p>
    <w:p w:rsidR="00394CAE" w:rsidRPr="00394CAE" w:rsidRDefault="00394CAE" w:rsidP="00394CAE">
      <w:pPr>
        <w:jc w:val="center"/>
        <w:rPr>
          <w:rFonts w:cstheme="minorHAnsi"/>
          <w:sz w:val="24"/>
          <w:szCs w:val="24"/>
        </w:rPr>
      </w:pPr>
    </w:p>
    <w:p w:rsidR="00394CAE" w:rsidRDefault="00394CAE" w:rsidP="00394B4D">
      <w:pPr>
        <w:ind w:firstLine="720"/>
      </w:pPr>
    </w:p>
    <w:p w:rsidR="002F380F" w:rsidRPr="002F380F" w:rsidRDefault="00394CAE" w:rsidP="00394CAE">
      <w:pPr>
        <w:rPr>
          <w:sz w:val="24"/>
          <w:szCs w:val="24"/>
        </w:rPr>
      </w:pPr>
      <w:r w:rsidRPr="00394CAE">
        <w:rPr>
          <w:rFonts w:eastAsiaTheme="minorEastAsia"/>
          <w:noProof/>
        </w:rPr>
        <mc:AlternateContent>
          <mc:Choice Requires="wps">
            <w:drawing>
              <wp:anchor distT="0" distB="0" distL="114300" distR="114300" simplePos="0" relativeHeight="251661312" behindDoc="0" locked="0" layoutInCell="1" allowOverlap="1" wp14:anchorId="725DFB6D" wp14:editId="1A838687">
                <wp:simplePos x="0" y="0"/>
                <wp:positionH relativeFrom="column">
                  <wp:posOffset>611505</wp:posOffset>
                </wp:positionH>
                <wp:positionV relativeFrom="paragraph">
                  <wp:posOffset>1002665</wp:posOffset>
                </wp:positionV>
                <wp:extent cx="4712124" cy="615233"/>
                <wp:effectExtent l="0" t="0" r="0" b="0"/>
                <wp:wrapNone/>
                <wp:docPr id="18" name="TextBox 17">
                  <a:extLst xmlns:a="http://schemas.openxmlformats.org/drawingml/2006/main">
                    <a:ext uri="{FF2B5EF4-FFF2-40B4-BE49-F238E27FC236}">
                      <a16:creationId xmlns:a16="http://schemas.microsoft.com/office/drawing/2014/main" id="{685967BB-2294-4BC6-A60E-C9AB49F5A800}"/>
                    </a:ext>
                  </a:extLst>
                </wp:docPr>
                <wp:cNvGraphicFramePr/>
                <a:graphic xmlns:a="http://schemas.openxmlformats.org/drawingml/2006/main">
                  <a:graphicData uri="http://schemas.microsoft.com/office/word/2010/wordprocessingShape">
                    <wps:wsp>
                      <wps:cNvSpPr txBox="1"/>
                      <wps:spPr>
                        <a:xfrm>
                          <a:off x="0" y="0"/>
                          <a:ext cx="4712124" cy="615233"/>
                        </a:xfrm>
                        <a:prstGeom prst="rect">
                          <a:avLst/>
                        </a:prstGeom>
                        <a:noFill/>
                      </wps:spPr>
                      <wps:txbx>
                        <w:txbxContent>
                          <w:p w:rsidR="00773C90" w:rsidRPr="00394CAE" w:rsidRDefault="00773C90" w:rsidP="00394CAE">
                            <w:pPr>
                              <w:rPr>
                                <w:rFonts w:cstheme="minorHAnsi"/>
                                <w:sz w:val="24"/>
                                <w:szCs w:val="24"/>
                              </w:rPr>
                            </w:pPr>
                          </w:p>
                        </w:txbxContent>
                      </wps:txbx>
                      <wps:bodyPr wrap="none" lIns="0" tIns="0" rIns="0" bIns="0" rtlCol="0">
                        <a:spAutoFit/>
                      </wps:bodyPr>
                    </wps:wsp>
                  </a:graphicData>
                </a:graphic>
              </wp:anchor>
            </w:drawing>
          </mc:Choice>
          <mc:Fallback>
            <w:pict>
              <v:shapetype w14:anchorId="725DFB6D" id="_x0000_t202" coordsize="21600,21600" o:spt="202" path="m,l,21600r21600,l21600,xe">
                <v:stroke joinstyle="miter"/>
                <v:path gradientshapeok="t" o:connecttype="rect"/>
              </v:shapetype>
              <v:shape id="TextBox 17" o:spid="_x0000_s1026" type="#_x0000_t202" style="position:absolute;margin-left:48.15pt;margin-top:78.95pt;width:371.05pt;height:48.4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" filled="f" stroked="f">
                <v:textbox style="mso-fit-shape-to-text:t" inset="0,0,0,0">
                  <w:txbxContent>
                    <w:p w:rsidR="00773C90" w:rsidRPr="00394CAE" w:rsidRDefault="00773C90" w:rsidP="00394CAE">
                      <w:pPr>
                        <w:rPr>
                          <w:rFonts w:cstheme="minorHAnsi"/>
                          <w:sz w:val="24"/>
                          <w:szCs w:val="24"/>
                        </w:rPr>
                      </w:pPr>
                    </w:p>
                  </w:txbxContent>
                </v:textbox>
              </v:shape>
            </w:pict>
          </mc:Fallback>
        </mc:AlternateContent>
      </w:r>
      <w:r w:rsidR="00A61C5A">
        <w:rPr>
          <w:sz w:val="24"/>
          <w:szCs w:val="24"/>
        </w:rPr>
        <w:t xml:space="preserve"> </w:t>
      </w:r>
    </w:p>
    <w:p w:rsidR="00394CAE" w:rsidRDefault="00394CAE" w:rsidP="006A6D65">
      <w:pPr>
        <w:ind w:left="720"/>
        <w:jc w:val="both"/>
        <w:rPr>
          <w:szCs w:val="24"/>
        </w:rPr>
      </w:pPr>
    </w:p>
    <w:p w:rsidR="00394CAE" w:rsidRDefault="00394CAE" w:rsidP="006A6D65">
      <w:pPr>
        <w:ind w:left="720"/>
        <w:jc w:val="both"/>
        <w:rPr>
          <w:szCs w:val="24"/>
        </w:rPr>
      </w:pPr>
    </w:p>
    <w:p w:rsidR="00394CAE" w:rsidRDefault="00394CAE" w:rsidP="006A6D65">
      <w:pPr>
        <w:ind w:left="720"/>
        <w:jc w:val="both"/>
        <w:rPr>
          <w:szCs w:val="24"/>
        </w:rPr>
      </w:pPr>
    </w:p>
    <w:sectPr w:rsidR="00394CAE" w:rsidSect="00773C90">
      <w:pgSz w:w="12240" w:h="15840"/>
      <w:pgMar w:top="360" w:right="450" w:bottom="27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B0E" w:rsidRDefault="00755B0E" w:rsidP="00746B77">
      <w:pPr>
        <w:spacing w:after="0" w:line="240" w:lineRule="auto"/>
      </w:pPr>
      <w:r>
        <w:separator/>
      </w:r>
    </w:p>
  </w:endnote>
  <w:endnote w:type="continuationSeparator" w:id="0">
    <w:p w:rsidR="00755B0E" w:rsidRDefault="00755B0E" w:rsidP="00746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B0E" w:rsidRDefault="00755B0E" w:rsidP="00746B77">
      <w:pPr>
        <w:spacing w:after="0" w:line="240" w:lineRule="auto"/>
      </w:pPr>
      <w:r>
        <w:separator/>
      </w:r>
    </w:p>
  </w:footnote>
  <w:footnote w:type="continuationSeparator" w:id="0">
    <w:p w:rsidR="00755B0E" w:rsidRDefault="00755B0E" w:rsidP="00746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67A6E"/>
    <w:multiLevelType w:val="hybridMultilevel"/>
    <w:tmpl w:val="BF0E03E6"/>
    <w:lvl w:ilvl="0" w:tplc="130E7B9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FCD5F78"/>
    <w:multiLevelType w:val="hybridMultilevel"/>
    <w:tmpl w:val="A6766D94"/>
    <w:lvl w:ilvl="0" w:tplc="DBB2C0FE">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0735D"/>
    <w:multiLevelType w:val="hybridMultilevel"/>
    <w:tmpl w:val="DF30B048"/>
    <w:lvl w:ilvl="0" w:tplc="79C2725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B701FAE"/>
    <w:multiLevelType w:val="hybridMultilevel"/>
    <w:tmpl w:val="BB2AD19E"/>
    <w:lvl w:ilvl="0" w:tplc="ACA2604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EAE0F91"/>
    <w:multiLevelType w:val="hybridMultilevel"/>
    <w:tmpl w:val="0F50C604"/>
    <w:lvl w:ilvl="0" w:tplc="ACA2604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5EEF3FA4"/>
    <w:multiLevelType w:val="hybridMultilevel"/>
    <w:tmpl w:val="94E8FB60"/>
    <w:lvl w:ilvl="0" w:tplc="22AC7428">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F5BFD"/>
    <w:multiLevelType w:val="hybridMultilevel"/>
    <w:tmpl w:val="0F50C604"/>
    <w:lvl w:ilvl="0" w:tplc="ACA2604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7AA42C11"/>
    <w:multiLevelType w:val="hybridMultilevel"/>
    <w:tmpl w:val="BF0E03E6"/>
    <w:lvl w:ilvl="0" w:tplc="130E7B9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7"/>
  </w:num>
  <w:num w:numId="2">
    <w:abstractNumId w:val="6"/>
  </w:num>
  <w:num w:numId="3">
    <w:abstractNumId w:val="0"/>
  </w:num>
  <w:num w:numId="4">
    <w:abstractNumId w:val="4"/>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F5"/>
    <w:rsid w:val="00086191"/>
    <w:rsid w:val="000F650E"/>
    <w:rsid w:val="00145BA2"/>
    <w:rsid w:val="001C453F"/>
    <w:rsid w:val="00283E03"/>
    <w:rsid w:val="002C4A37"/>
    <w:rsid w:val="002F380F"/>
    <w:rsid w:val="00394B4D"/>
    <w:rsid w:val="00394CAE"/>
    <w:rsid w:val="00417B4A"/>
    <w:rsid w:val="004504DB"/>
    <w:rsid w:val="00480220"/>
    <w:rsid w:val="004C38B8"/>
    <w:rsid w:val="004F7785"/>
    <w:rsid w:val="00567F00"/>
    <w:rsid w:val="005A7DE1"/>
    <w:rsid w:val="00615F17"/>
    <w:rsid w:val="00654866"/>
    <w:rsid w:val="00677EF4"/>
    <w:rsid w:val="00687CE8"/>
    <w:rsid w:val="006A6D65"/>
    <w:rsid w:val="00746B77"/>
    <w:rsid w:val="00755B0E"/>
    <w:rsid w:val="00770961"/>
    <w:rsid w:val="00773C90"/>
    <w:rsid w:val="0077649E"/>
    <w:rsid w:val="00817D97"/>
    <w:rsid w:val="00820B35"/>
    <w:rsid w:val="00850C96"/>
    <w:rsid w:val="00951910"/>
    <w:rsid w:val="009729F5"/>
    <w:rsid w:val="009C3ADF"/>
    <w:rsid w:val="009F629C"/>
    <w:rsid w:val="00A06711"/>
    <w:rsid w:val="00A565A8"/>
    <w:rsid w:val="00A61C5A"/>
    <w:rsid w:val="00A86225"/>
    <w:rsid w:val="00AD5497"/>
    <w:rsid w:val="00B17E8A"/>
    <w:rsid w:val="00B2589A"/>
    <w:rsid w:val="00C87FB7"/>
    <w:rsid w:val="00D641A0"/>
    <w:rsid w:val="00DC4465"/>
    <w:rsid w:val="00DF1A52"/>
    <w:rsid w:val="00E3028A"/>
    <w:rsid w:val="00E9052C"/>
    <w:rsid w:val="00EF3E80"/>
    <w:rsid w:val="00F30D13"/>
    <w:rsid w:val="00FB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759C2-8A57-473D-92F3-95ABA2CB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9F5"/>
  </w:style>
  <w:style w:type="paragraph" w:styleId="Heading2">
    <w:name w:val="heading 2"/>
    <w:basedOn w:val="Normal"/>
    <w:next w:val="Normal"/>
    <w:link w:val="Heading2Char"/>
    <w:autoRedefine/>
    <w:uiPriority w:val="99"/>
    <w:qFormat/>
    <w:rsid w:val="006A6D65"/>
    <w:pPr>
      <w:keepNext/>
      <w:spacing w:before="240" w:after="120"/>
      <w:ind w:left="720" w:hanging="720"/>
      <w:outlineLvl w:val="1"/>
    </w:pPr>
    <w:rPr>
      <w:rFonts w:eastAsiaTheme="minorEastAsia"/>
      <w:b/>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29F5"/>
    <w:pPr>
      <w:spacing w:after="0" w:line="240" w:lineRule="auto"/>
    </w:pPr>
  </w:style>
  <w:style w:type="paragraph" w:styleId="BalloonText">
    <w:name w:val="Balloon Text"/>
    <w:basedOn w:val="Normal"/>
    <w:link w:val="BalloonTextChar"/>
    <w:uiPriority w:val="99"/>
    <w:semiHidden/>
    <w:unhideWhenUsed/>
    <w:rsid w:val="00972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9F5"/>
    <w:rPr>
      <w:rFonts w:ascii="Segoe UI" w:hAnsi="Segoe UI" w:cs="Segoe UI"/>
      <w:sz w:val="18"/>
      <w:szCs w:val="18"/>
    </w:rPr>
  </w:style>
  <w:style w:type="paragraph" w:styleId="Header">
    <w:name w:val="header"/>
    <w:basedOn w:val="Normal"/>
    <w:link w:val="HeaderChar"/>
    <w:uiPriority w:val="99"/>
    <w:unhideWhenUsed/>
    <w:rsid w:val="00746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B77"/>
  </w:style>
  <w:style w:type="paragraph" w:styleId="Footer">
    <w:name w:val="footer"/>
    <w:basedOn w:val="Normal"/>
    <w:link w:val="FooterChar"/>
    <w:uiPriority w:val="99"/>
    <w:unhideWhenUsed/>
    <w:rsid w:val="00746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B77"/>
  </w:style>
  <w:style w:type="character" w:customStyle="1" w:styleId="Heading2Char">
    <w:name w:val="Heading 2 Char"/>
    <w:basedOn w:val="DefaultParagraphFont"/>
    <w:link w:val="Heading2"/>
    <w:uiPriority w:val="99"/>
    <w:rsid w:val="006A6D65"/>
    <w:rPr>
      <w:rFonts w:eastAsiaTheme="minorEastAsia"/>
      <w:b/>
      <w:sz w:val="28"/>
      <w:szCs w:val="28"/>
      <w:lang w:eastAsia="zh-CN"/>
    </w:rPr>
  </w:style>
  <w:style w:type="character" w:styleId="PlaceholderText">
    <w:name w:val="Placeholder Text"/>
    <w:basedOn w:val="DefaultParagraphFont"/>
    <w:uiPriority w:val="99"/>
    <w:semiHidden/>
    <w:rsid w:val="00394B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E6F2EEA20FAA4DAB3D0D9CE70D6DF1" ma:contentTypeVersion="13" ma:contentTypeDescription="Create a new document." ma:contentTypeScope="" ma:versionID="88089c6624d89df7803d85aef4dae6b1">
  <xsd:schema xmlns:xsd="http://www.w3.org/2001/XMLSchema" xmlns:xs="http://www.w3.org/2001/XMLSchema" xmlns:p="http://schemas.microsoft.com/office/2006/metadata/properties" xmlns:ns2="70b2a85e-7fc3-4e67-accf-dcc373e6e408" xmlns:ns3="8b716f6c-57b9-46d1-90c4-9d772fd4b626" targetNamespace="http://schemas.microsoft.com/office/2006/metadata/properties" ma:root="true" ma:fieldsID="e120f0703a7d53c041da02cf364b030f" ns2:_="" ns3:_="">
    <xsd:import namespace="70b2a85e-7fc3-4e67-accf-dcc373e6e408"/>
    <xsd:import namespace="8b716f6c-57b9-46d1-90c4-9d772fd4b6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2a85e-7fc3-4e67-accf-dcc373e6e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716f6c-57b9-46d1-90c4-9d772fd4b62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88B51E-E699-4E3C-B3F1-3504F49D9EA8}"/>
</file>

<file path=customXml/itemProps2.xml><?xml version="1.0" encoding="utf-8"?>
<ds:datastoreItem xmlns:ds="http://schemas.openxmlformats.org/officeDocument/2006/customXml" ds:itemID="{941B4849-7DDC-49AA-9EE1-825FCA803C5B}"/>
</file>

<file path=customXml/itemProps3.xml><?xml version="1.0" encoding="utf-8"?>
<ds:datastoreItem xmlns:ds="http://schemas.openxmlformats.org/officeDocument/2006/customXml" ds:itemID="{F99FB3C5-74A1-4143-A02C-039F6FE8645E}"/>
</file>

<file path=docProps/app.xml><?xml version="1.0" encoding="utf-8"?>
<Properties xmlns="http://schemas.openxmlformats.org/officeDocument/2006/extended-properties" xmlns:vt="http://schemas.openxmlformats.org/officeDocument/2006/docPropsVTypes">
  <Template>Normal.dotm</Template>
  <TotalTime>411</TotalTime>
  <Pages>1</Pages>
  <Words>1198</Words>
  <Characters>5990</Characters>
  <Application>Microsoft Office Word</Application>
  <DocSecurity>0</DocSecurity>
  <Lines>176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 Sagar Milind (DI SW ECS ENG CTRE)</dc:creator>
  <cp:keywords>C_Unrestricted</cp:keywords>
  <dc:description/>
  <cp:lastModifiedBy>Supe, Sagar Milind (DI SW ECS ENG CTRE)</cp:lastModifiedBy>
  <cp:revision>25</cp:revision>
  <dcterms:created xsi:type="dcterms:W3CDTF">2019-11-25T18:19:00Z</dcterms:created>
  <dcterms:modified xsi:type="dcterms:W3CDTF">2020-05-30T22:12:00Z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y fmtid="{D5CDD505-2E9C-101B-9397-08002B2CF9AE}" pid="6" name="ContentTypeId">
    <vt:lpwstr>0x010100ACE6F2EEA20FAA4DAB3D0D9CE70D6DF1</vt:lpwstr>
  </property>
</Properties>
</file>