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pStyle w:val="Title"/>
      </w:pPr>
      <w:r>
        <w:rPr>
          <w:rFonts w:ascii="Georgia" w:cs="Georgia" w:eastAsia="Georgia" w:hAnsi="Georgia"/>
        </w:rPr>
        <w:t xml:space="preserve">AgentGuard</w:t>
      </w:r>
    </w:p>
    <w:p>
      <w:pPr>
        <w:spacing w:after="400"/>
        <w:jc w:val="center"/>
      </w:pPr>
      <w:r>
        <w:rPr>
          <w:rFonts w:ascii="Georgia" w:cs="Georgia" w:eastAsia="Georgia" w:hAnsi="Georgia"/>
          <w:color w:val="404040"/>
          <w:sz w:val="36"/>
          <w:szCs w:val="36"/>
        </w:rPr>
        <w:t xml:space="preserve">High-Level Design Document</w:t>
      </w:r>
    </w:p>
    <w:p>
      <w:pPr>
        <w:jc w:val="center"/>
      </w:pPr>
      <w:r>
        <w:rPr>
          <w:rFonts w:ascii="Georgia" w:cs="Georgia" w:eastAsia="Georgia" w:hAnsi="Georgia"/>
          <w:i/>
          <w:iCs/>
          <w:color w:val="666666"/>
          <w:sz w:val="28"/>
          <w:szCs w:val="28"/>
        </w:rPr>
        <w:t xml:space="preserve">AI Security Governance Framework</w:t>
      </w:r>
    </w:p>
    <w:p/>
    <w:p/>
    <w:p>
      <w:pPr>
        <w:jc w:val="center"/>
      </w:pPr>
      <w:r>
        <w:rPr>
          <w:rFonts w:ascii="Georgia" w:cs="Georgia" w:eastAsia="Georgia" w:hAnsi="Georgia"/>
          <w:sz w:val="24"/>
          <w:szCs w:val="24"/>
        </w:rPr>
        <w:t xml:space="preserve">Version 1.0</w:t>
      </w:r>
    </w:p>
    <w:p>
      <w:pPr>
        <w:jc w:val="center"/>
      </w:pPr>
      <w:r>
        <w:rPr>
          <w:rFonts w:ascii="Georgia" w:cs="Georgia" w:eastAsia="Georgia" w:hAnsi="Georgia"/>
          <w:sz w:val="24"/>
          <w:szCs w:val="24"/>
        </w:rPr>
        <w:t xml:space="preserve">January 2026</w:t>
      </w:r>
    </w:p>
    <w:p/>
    <w:p/>
    <w:p>
      <w:pPr>
        <w:jc w:val="center"/>
      </w:pPr>
      <w:r>
        <w:rPr>
          <w:rFonts w:ascii="Georgia" w:cs="Georgia" w:eastAsia="Georgia" w:hAnsi="Georgia"/>
          <w:color w:val="666666"/>
          <w:sz w:val="22"/>
          <w:szCs w:val="22"/>
        </w:rPr>
        <w:t xml:space="preserve">Author: Liem Vo-Nguyen</w:t>
      </w:r>
    </w:p>
    <w:p>
      <w:pPr>
        <w:jc w:val="center"/>
      </w:pPr>
      <w:r>
        <w:rPr>
          <w:rFonts w:ascii="Georgia" w:cs="Georgia" w:eastAsia="Georgia" w:hAnsi="Georgia"/>
          <w:color w:val="666666"/>
          <w:sz w:val="22"/>
          <w:szCs w:val="22"/>
        </w:rPr>
        <w:t xml:space="preserve">Status: Draft</w:t>
      </w:r>
    </w:p>
    <w:p>
      <w:r>
        <w:br w:type="page"/>
      </w:r>
    </w:p>
    <w:p>
      <w:pPr>
        <w:pStyle w:val="Heading1"/>
      </w:pPr>
      <w:r>
        <w:rPr>
          <w:rFonts w:ascii="Georgia" w:cs="Georgia" w:eastAsia="Georgia" w:hAnsi="Georgia"/>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Georgia" w:cs="Georgia" w:eastAsia="Georgia" w:hAnsi="Georgia"/>
        </w:rPr>
        <w:t xml:space="preserve">1. Executive Summary</w:t>
      </w:r>
    </w:p>
    <w:p>
      <w:pPr>
        <w:spacing w:after="200"/>
      </w:pPr>
      <w:r>
        <w:rPr>
          <w:rFonts w:ascii="Georgia" w:cs="Georgia" w:eastAsia="Georgia" w:hAnsi="Georgia"/>
        </w:rPr>
        <w:t xml:space="preserve">AgentGuard is an AI security governance framework that addresses the unique risks of agentic AI systems in enterprise environments. It provides control mapping to established compliance frameworks, runtime observability for agent execution chains, and policy-as-code guardrails—capabilities that do not exist in current vendor offerings.</w:t>
      </w:r>
    </w:p>
    <w:p>
      <w:pPr>
        <w:pStyle w:val="Heading2"/>
      </w:pPr>
      <w:r>
        <w:rPr>
          <w:rFonts w:ascii="Georgia" w:cs="Georgia" w:eastAsia="Georgia" w:hAnsi="Georgia"/>
        </w:rPr>
        <w:t xml:space="preserve">1.1 Key Differentiators</w:t>
      </w:r>
    </w:p>
    <w:p>
      <w:pPr>
        <w:pStyle w:val="ListParagraph"/>
        <w:numPr>
          <w:ilvl w:val="0"/>
          <w:numId w:val="2"/>
        </w:numPr>
      </w:pPr>
      <w:r>
        <w:rPr>
          <w:rFonts w:ascii="Georgia" w:cs="Georgia" w:eastAsia="Georgia" w:hAnsi="Georgia"/>
        </w:rPr>
        <w:t xml:space="preserve">First comprehensive NIST AI RMF → NIST 800-53 crosswalk for FedRAMP-aligned organizations</w:t>
      </w:r>
    </w:p>
    <w:p>
      <w:pPr>
        <w:pStyle w:val="ListParagraph"/>
        <w:numPr>
          <w:ilvl w:val="0"/>
          <w:numId w:val="2"/>
        </w:numPr>
      </w:pPr>
      <w:r>
        <w:rPr>
          <w:rFonts w:ascii="Georgia" w:cs="Georgia" w:eastAsia="Georgia" w:hAnsi="Georgia"/>
        </w:rPr>
        <w:t xml:space="preserve">Agent-specific threat modeling beyond content safety (tool abuse, privilege escalation, data exfiltration)</w:t>
      </w:r>
    </w:p>
    <w:p>
      <w:pPr>
        <w:pStyle w:val="ListParagraph"/>
        <w:numPr>
          <w:ilvl w:val="0"/>
          <w:numId w:val="2"/>
        </w:numPr>
      </w:pPr>
      <w:r>
        <w:rPr>
          <w:rFonts w:ascii="Georgia" w:cs="Georgia" w:eastAsia="Georgia" w:hAnsi="Georgia"/>
        </w:rPr>
        <w:t xml:space="preserve">Unified observability + policy enforcement in single platform</w:t>
      </w:r>
    </w:p>
    <w:p>
      <w:pPr>
        <w:pStyle w:val="ListParagraph"/>
        <w:numPr>
          <w:ilvl w:val="0"/>
          <w:numId w:val="2"/>
        </w:numPr>
      </w:pPr>
      <w:r>
        <w:rPr>
          <w:rFonts w:ascii="Georgia" w:cs="Georgia" w:eastAsia="Georgia" w:hAnsi="Georgia"/>
        </w:rPr>
        <w:t xml:space="preserve">SDK middleware for major agent frameworks (LangChain, CrewAI, AutoGen)</w:t>
      </w:r>
    </w:p>
    <w:p>
      <w:pPr>
        <w:pStyle w:val="ListParagraph"/>
        <w:numPr>
          <w:ilvl w:val="0"/>
          <w:numId w:val="2"/>
        </w:numPr>
      </w:pPr>
      <w:r>
        <w:rPr>
          <w:rFonts w:ascii="Georgia" w:cs="Georgia" w:eastAsia="Georgia" w:hAnsi="Georgia"/>
        </w:rPr>
        <w:t xml:space="preserve">Enterprise GRC integration for AI risk acceptance workflows</w:t>
      </w:r>
    </w:p>
    <w:p>
      <w:pPr>
        <w:pStyle w:val="Heading2"/>
      </w:pPr>
      <w:r>
        <w:rPr>
          <w:rFonts w:ascii="Georgia" w:cs="Georgia" w:eastAsia="Georgia" w:hAnsi="Georgia"/>
        </w:rPr>
        <w:t xml:space="preserve">1.2 Target Users</w:t>
      </w:r>
    </w:p>
    <w:p>
      <w:pPr>
        <w:pStyle w:val="ListParagraph"/>
        <w:numPr>
          <w:ilvl w:val="0"/>
          <w:numId w:val="2"/>
        </w:numPr>
      </w:pPr>
      <w:r>
        <w:rPr>
          <w:rFonts w:ascii="Georgia" w:cs="Georgia" w:eastAsia="Georgia" w:hAnsi="Georgia"/>
        </w:rPr>
        <w:t xml:space="preserve">Security Architects evaluating AI deployment risks</w:t>
      </w:r>
    </w:p>
    <w:p>
      <w:pPr>
        <w:pStyle w:val="ListParagraph"/>
        <w:numPr>
          <w:ilvl w:val="0"/>
          <w:numId w:val="2"/>
        </w:numPr>
      </w:pPr>
      <w:r>
        <w:rPr>
          <w:rFonts w:ascii="Georgia" w:cs="Georgia" w:eastAsia="Georgia" w:hAnsi="Georgia"/>
        </w:rPr>
        <w:t xml:space="preserve">Compliance Teams mapping AI controls to existing frameworks</w:t>
      </w:r>
    </w:p>
    <w:p>
      <w:pPr>
        <w:pStyle w:val="ListParagraph"/>
        <w:numPr>
          <w:ilvl w:val="0"/>
          <w:numId w:val="2"/>
        </w:numPr>
      </w:pPr>
      <w:r>
        <w:rPr>
          <w:rFonts w:ascii="Georgia" w:cs="Georgia" w:eastAsia="Georgia" w:hAnsi="Georgia"/>
        </w:rPr>
        <w:t xml:space="preserve">Platform Engineers building internal AI platforms</w:t>
      </w:r>
    </w:p>
    <w:p>
      <w:pPr>
        <w:pStyle w:val="ListParagraph"/>
        <w:numPr>
          <w:ilvl w:val="0"/>
          <w:numId w:val="2"/>
        </w:numPr>
      </w:pPr>
      <w:r>
        <w:rPr>
          <w:rFonts w:ascii="Georgia" w:cs="Georgia" w:eastAsia="Georgia" w:hAnsi="Georgia"/>
        </w:rPr>
        <w:t xml:space="preserve">Auditors assessing AI governance posture</w:t>
      </w:r>
    </w:p>
    <w:p>
      <w:r>
        <w:br w:type="page"/>
      </w:r>
    </w:p>
    <w:p>
      <w:pPr>
        <w:pStyle w:val="Heading1"/>
      </w:pPr>
      <w:r>
        <w:rPr>
          <w:rFonts w:ascii="Georgia" w:cs="Georgia" w:eastAsia="Georgia" w:hAnsi="Georgia"/>
        </w:rPr>
        <w:t xml:space="preserve">2. Market Analysis &amp; Build/Buy Rationale</w:t>
      </w:r>
    </w:p>
    <w:p>
      <w:pPr>
        <w:pStyle w:val="Heading2"/>
      </w:pPr>
      <w:r>
        <w:rPr>
          <w:rFonts w:ascii="Georgia" w:cs="Georgia" w:eastAsia="Georgia" w:hAnsi="Georgia"/>
        </w:rPr>
        <w:t xml:space="preserve">2.1 Vendor Landscape: LLM Observability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500"/>
        <w:gridCol w:w="2500"/>
        <w:gridCol w:w="1800"/>
      </w:tblGrid>
      <w:tr>
        <w:trPr>
          <w:tblHeader/>
        </w:trPr>
        <w:tc>
          <w:tcPr>
            <w:tcW w:type="dxa" w:w="1800"/>
            <w:tcBorders>
              <w:top w:val="single" w:color="CCCCCC" w:sz="1"/>
              <w:left w:val="single" w:color="CCCCCC" w:sz="1"/>
              <w:bottom w:val="single" w:color="CCCCCC" w:sz="1"/>
              <w:right w:val="single" w:color="CCCCCC" w:sz="1"/>
            </w:tcBorders>
            <w:shd w:fill="1F4E79" w:val="clear"/>
          </w:tcPr>
          <w:p>
            <w:pPr>
              <w:jc w:val="center"/>
            </w:pPr>
            <w:r>
              <w:rPr>
                <w:rFonts w:ascii="Georgia" w:cs="Georgia" w:eastAsia="Georgia" w:hAnsi="Georgia"/>
                <w:b/>
                <w:bCs/>
                <w:color w:val="FFFFFF"/>
                <w:sz w:val="20"/>
                <w:szCs w:val="20"/>
              </w:rPr>
              <w:t xml:space="preserve">Vendor</w:t>
            </w:r>
          </w:p>
        </w:tc>
        <w:tc>
          <w:tcPr>
            <w:tcW w:type="dxa" w:w="1500"/>
            <w:tcBorders>
              <w:top w:val="single" w:color="CCCCCC" w:sz="1"/>
              <w:left w:val="single" w:color="CCCCCC" w:sz="1"/>
              <w:bottom w:val="single" w:color="CCCCCC" w:sz="1"/>
              <w:right w:val="single" w:color="CCCCCC" w:sz="1"/>
            </w:tcBorders>
            <w:shd w:fill="1F4E79" w:val="clear"/>
          </w:tcPr>
          <w:p>
            <w:pPr>
              <w:jc w:val="center"/>
            </w:pPr>
            <w:r>
              <w:rPr>
                <w:rFonts w:ascii="Georgia" w:cs="Georgia" w:eastAsia="Georgia" w:hAnsi="Georgia"/>
                <w:b/>
                <w:bCs/>
                <w:color w:val="FFFFFF"/>
                <w:sz w:val="20"/>
                <w:szCs w:val="20"/>
              </w:rPr>
              <w:t xml:space="preserve">Pricing</w:t>
            </w:r>
          </w:p>
        </w:tc>
        <w:tc>
          <w:tcPr>
            <w:tcW w:type="dxa" w:w="2500"/>
            <w:tcBorders>
              <w:top w:val="single" w:color="CCCCCC" w:sz="1"/>
              <w:left w:val="single" w:color="CCCCCC" w:sz="1"/>
              <w:bottom w:val="single" w:color="CCCCCC" w:sz="1"/>
              <w:right w:val="single" w:color="CCCCCC" w:sz="1"/>
            </w:tcBorders>
            <w:shd w:fill="1F4E79" w:val="clear"/>
          </w:tcPr>
          <w:p>
            <w:pPr>
              <w:jc w:val="center"/>
            </w:pPr>
            <w:r>
              <w:rPr>
                <w:rFonts w:ascii="Georgia" w:cs="Georgia" w:eastAsia="Georgia" w:hAnsi="Georgia"/>
                <w:b/>
                <w:bCs/>
                <w:color w:val="FFFFFF"/>
                <w:sz w:val="20"/>
                <w:szCs w:val="20"/>
              </w:rPr>
              <w:t xml:space="preserve">Strengths</w:t>
            </w:r>
          </w:p>
        </w:tc>
        <w:tc>
          <w:tcPr>
            <w:tcW w:type="dxa" w:w="2500"/>
            <w:tcBorders>
              <w:top w:val="single" w:color="CCCCCC" w:sz="1"/>
              <w:left w:val="single" w:color="CCCCCC" w:sz="1"/>
              <w:bottom w:val="single" w:color="CCCCCC" w:sz="1"/>
              <w:right w:val="single" w:color="CCCCCC" w:sz="1"/>
            </w:tcBorders>
            <w:shd w:fill="1F4E79" w:val="clear"/>
          </w:tcPr>
          <w:p>
            <w:pPr>
              <w:jc w:val="center"/>
            </w:pPr>
            <w:r>
              <w:rPr>
                <w:rFonts w:ascii="Georgia" w:cs="Georgia" w:eastAsia="Georgia" w:hAnsi="Georgia"/>
                <w:b/>
                <w:bCs/>
                <w:color w:val="FFFFFF"/>
                <w:sz w:val="20"/>
                <w:szCs w:val="20"/>
              </w:rPr>
              <w:t xml:space="preserve">Gaps</w:t>
            </w:r>
          </w:p>
        </w:tc>
        <w:tc>
          <w:tcPr>
            <w:tcW w:type="dxa" w:w="1800"/>
            <w:tcBorders>
              <w:top w:val="single" w:color="CCCCCC" w:sz="1"/>
              <w:left w:val="single" w:color="CCCCCC" w:sz="1"/>
              <w:bottom w:val="single" w:color="CCCCCC" w:sz="1"/>
              <w:right w:val="single" w:color="CCCCCC" w:sz="1"/>
            </w:tcBorders>
            <w:shd w:fill="1F4E79" w:val="clear"/>
          </w:tcPr>
          <w:p>
            <w:pPr>
              <w:jc w:val="center"/>
            </w:pPr>
            <w:r>
              <w:rPr>
                <w:rFonts w:ascii="Georgia" w:cs="Georgia" w:eastAsia="Georgia" w:hAnsi="Georgia"/>
                <w:b/>
                <w:bCs/>
                <w:color w:val="FFFFFF"/>
                <w:sz w:val="20"/>
                <w:szCs w:val="20"/>
              </w:rPr>
              <w:t xml:space="preserve">Verdict</w:t>
            </w:r>
          </w:p>
        </w:tc>
      </w:tr>
      <w:tr>
        <w:tc>
          <w:tcPr>
            <w:tcW w:type="dxa" w:w="1800"/>
            <w:tcBorders>
              <w:top w:val="single" w:color="CCCCCC" w:sz="1"/>
              <w:left w:val="single" w:color="CCCCCC" w:sz="1"/>
              <w:bottom w:val="single" w:color="CCCCCC" w:sz="1"/>
              <w:right w:val="single" w:color="CCCCCC" w:sz="1"/>
            </w:tcBorders>
          </w:tcPr>
          <w:p>
            <w:r>
              <w:rPr>
                <w:rFonts w:ascii="Georgia" w:cs="Georgia" w:eastAsia="Georgia" w:hAnsi="Georgia"/>
                <w:b/>
                <w:bCs/>
                <w:sz w:val="20"/>
                <w:szCs w:val="20"/>
              </w:rPr>
              <w:t xml:space="preserve">LangSmith</w:t>
            </w:r>
          </w:p>
        </w:tc>
        <w:tc>
          <w:tcPr>
            <w:tcW w:type="dxa" w:w="1500"/>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$39/seat + usage</w:t>
            </w:r>
          </w:p>
        </w:tc>
        <w:tc>
          <w:tcPr>
            <w:tcW w:type="dxa" w:w="2500"/>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Best LangChain integration, excellent trace UI</w:t>
            </w:r>
          </w:p>
        </w:tc>
        <w:tc>
          <w:tcPr>
            <w:tcW w:type="dxa" w:w="2500"/>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Closed ecosystem, no self-host, no security signals</w:t>
            </w:r>
          </w:p>
        </w:tc>
        <w:tc>
          <w:tcPr>
            <w:tcW w:type="dxa" w:w="1800"/>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Integrate for LC users</w:t>
            </w:r>
          </w:p>
        </w:tc>
      </w:tr>
      <w:tr>
        <w:tc>
          <w:tcPr>
            <w:tcW w:type="dxa" w:w="1800"/>
            <w:tcBorders>
              <w:top w:val="single" w:color="CCCCCC" w:sz="1"/>
              <w:left w:val="single" w:color="CCCCCC" w:sz="1"/>
              <w:bottom w:val="single" w:color="CCCCCC" w:sz="1"/>
              <w:right w:val="single" w:color="CCCCCC" w:sz="1"/>
            </w:tcBorders>
          </w:tcPr>
          <w:p>
            <w:r>
              <w:rPr>
                <w:rFonts w:ascii="Georgia" w:cs="Georgia" w:eastAsia="Georgia" w:hAnsi="Georgia"/>
                <w:b/>
                <w:bCs/>
                <w:sz w:val="20"/>
                <w:szCs w:val="20"/>
              </w:rPr>
              <w:t xml:space="preserve">Langfuse</w:t>
            </w:r>
          </w:p>
        </w:tc>
        <w:tc>
          <w:tcPr>
            <w:tcW w:type="dxa" w:w="1500"/>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OSS / $59/seat</w:t>
            </w:r>
          </w:p>
        </w:tc>
        <w:tc>
          <w:tcPr>
            <w:tcW w:type="dxa" w:w="2500"/>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Self-hostable, open source, cost tracking</w:t>
            </w:r>
          </w:p>
        </w:tc>
        <w:tc>
          <w:tcPr>
            <w:tcW w:type="dxa" w:w="2500"/>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Security features immature, no compliance mapping</w:t>
            </w:r>
          </w:p>
        </w:tc>
        <w:tc>
          <w:tcPr>
            <w:tcW w:type="dxa" w:w="1800"/>
            <w:tcBorders>
              <w:top w:val="single" w:color="CCCCCC" w:sz="1"/>
              <w:left w:val="single" w:color="CCCCCC" w:sz="1"/>
              <w:bottom w:val="single" w:color="CCCCCC" w:sz="1"/>
              <w:right w:val="single" w:color="CCCCCC" w:sz="1"/>
            </w:tcBorders>
            <w:shd w:fill="E2EFDA" w:val="clear"/>
          </w:tcPr>
          <w:p>
            <w:r>
              <w:rPr>
                <w:rFonts w:ascii="Georgia" w:cs="Georgia" w:eastAsia="Georgia" w:hAnsi="Georgia"/>
                <w:b/>
                <w:bCs/>
                <w:color w:val="375623"/>
                <w:sz w:val="20"/>
                <w:szCs w:val="20"/>
              </w:rPr>
              <w:t xml:space="preserve">PRIMARY</w:t>
            </w:r>
          </w:p>
        </w:tc>
      </w:tr>
      <w:tr>
        <w:tc>
          <w:tcPr>
            <w:tcW w:type="dxa" w:w="1800"/>
            <w:tcBorders>
              <w:top w:val="single" w:color="CCCCCC" w:sz="1"/>
              <w:left w:val="single" w:color="CCCCCC" w:sz="1"/>
              <w:bottom w:val="single" w:color="CCCCCC" w:sz="1"/>
              <w:right w:val="single" w:color="CCCCCC" w:sz="1"/>
            </w:tcBorders>
          </w:tcPr>
          <w:p>
            <w:r>
              <w:rPr>
                <w:rFonts w:ascii="Georgia" w:cs="Georgia" w:eastAsia="Georgia" w:hAnsi="Georgia"/>
                <w:b/>
                <w:bCs/>
                <w:sz w:val="20"/>
                <w:szCs w:val="20"/>
              </w:rPr>
              <w:t xml:space="preserve">Arize Phoenix</w:t>
            </w:r>
          </w:p>
        </w:tc>
        <w:tc>
          <w:tcPr>
            <w:tcW w:type="dxa" w:w="1500"/>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OSS / Enterprise</w:t>
            </w:r>
          </w:p>
        </w:tc>
        <w:tc>
          <w:tcPr>
            <w:tcW w:type="dxa" w:w="2500"/>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Strong ML heritage, embedding drift detection</w:t>
            </w:r>
          </w:p>
        </w:tc>
        <w:tc>
          <w:tcPr>
            <w:tcW w:type="dxa" w:w="2500"/>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LLM features still maturing, complex setup</w:t>
            </w:r>
          </w:p>
        </w:tc>
        <w:tc>
          <w:tcPr>
            <w:tcW w:type="dxa" w:w="1800"/>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Drift detection only</w:t>
            </w:r>
          </w:p>
        </w:tc>
      </w:tr>
    </w:tbl>
    <w:p>
      <w:pPr>
        <w:spacing w:before="300" w:after="200"/>
      </w:pPr>
      <w:r>
        <w:rPr>
          <w:rFonts w:ascii="Georgia" w:cs="Georgia" w:eastAsia="Georgia" w:hAnsi="Georgia"/>
          <w:i/>
          <w:iCs/>
        </w:rPr>
        <w:t xml:space="preserve">Decision: Integrate with Langfuse as primary observability backend. It's open source, self-hostable (important for compliance), and has clean APIs for extension. AgentGuard adds security-specific spans and enrichment.</w:t>
      </w:r>
    </w:p>
    <w:p>
      <w:pPr>
        <w:pStyle w:val="Heading2"/>
      </w:pPr>
      <w:r>
        <w:rPr>
          <w:rFonts w:ascii="Georgia" w:cs="Georgia" w:eastAsia="Georgia" w:hAnsi="Georgia"/>
        </w:rPr>
        <w:t xml:space="preserve">2.2 Vendor Landscape: AI Guardrails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500"/>
        <w:gridCol w:w="2500"/>
        <w:gridCol w:w="1800"/>
      </w:tblGrid>
      <w:tr>
        <w:trPr>
          <w:tblHeader/>
        </w:trPr>
        <w:tc>
          <w:tcPr>
            <w:tcW w:type="dxa" w:w="1800"/>
            <w:tcBorders>
              <w:top w:val="single" w:color="CCCCCC" w:sz="1"/>
              <w:left w:val="single" w:color="CCCCCC" w:sz="1"/>
              <w:bottom w:val="single" w:color="CCCCCC" w:sz="1"/>
              <w:right w:val="single" w:color="CCCCCC" w:sz="1"/>
            </w:tcBorders>
            <w:shd w:fill="1F4E79" w:val="clear"/>
          </w:tcPr>
          <w:p>
            <w:pPr>
              <w:jc w:val="center"/>
            </w:pPr>
            <w:r>
              <w:rPr>
                <w:rFonts w:ascii="Georgia" w:cs="Georgia" w:eastAsia="Georgia" w:hAnsi="Georgia"/>
                <w:b/>
                <w:bCs/>
                <w:color w:val="FFFFFF"/>
                <w:sz w:val="20"/>
                <w:szCs w:val="20"/>
              </w:rPr>
              <w:t xml:space="preserve">Vendor</w:t>
            </w:r>
          </w:p>
        </w:tc>
        <w:tc>
          <w:tcPr>
            <w:tcW w:type="dxa" w:w="1500"/>
            <w:tcBorders>
              <w:top w:val="single" w:color="CCCCCC" w:sz="1"/>
              <w:left w:val="single" w:color="CCCCCC" w:sz="1"/>
              <w:bottom w:val="single" w:color="CCCCCC" w:sz="1"/>
              <w:right w:val="single" w:color="CCCCCC" w:sz="1"/>
            </w:tcBorders>
            <w:shd w:fill="1F4E79" w:val="clear"/>
          </w:tcPr>
          <w:p>
            <w:pPr>
              <w:jc w:val="center"/>
            </w:pPr>
            <w:r>
              <w:rPr>
                <w:rFonts w:ascii="Georgia" w:cs="Georgia" w:eastAsia="Georgia" w:hAnsi="Georgia"/>
                <w:b/>
                <w:bCs/>
                <w:color w:val="FFFFFF"/>
                <w:sz w:val="20"/>
                <w:szCs w:val="20"/>
              </w:rPr>
              <w:t xml:space="preserve">Pricing</w:t>
            </w:r>
          </w:p>
        </w:tc>
        <w:tc>
          <w:tcPr>
            <w:tcW w:type="dxa" w:w="2500"/>
            <w:tcBorders>
              <w:top w:val="single" w:color="CCCCCC" w:sz="1"/>
              <w:left w:val="single" w:color="CCCCCC" w:sz="1"/>
              <w:bottom w:val="single" w:color="CCCCCC" w:sz="1"/>
              <w:right w:val="single" w:color="CCCCCC" w:sz="1"/>
            </w:tcBorders>
            <w:shd w:fill="1F4E79" w:val="clear"/>
          </w:tcPr>
          <w:p>
            <w:pPr>
              <w:jc w:val="center"/>
            </w:pPr>
            <w:r>
              <w:rPr>
                <w:rFonts w:ascii="Georgia" w:cs="Georgia" w:eastAsia="Georgia" w:hAnsi="Georgia"/>
                <w:b/>
                <w:bCs/>
                <w:color w:val="FFFFFF"/>
                <w:sz w:val="20"/>
                <w:szCs w:val="20"/>
              </w:rPr>
              <w:t xml:space="preserve">Strengths</w:t>
            </w:r>
          </w:p>
        </w:tc>
        <w:tc>
          <w:tcPr>
            <w:tcW w:type="dxa" w:w="2500"/>
            <w:tcBorders>
              <w:top w:val="single" w:color="CCCCCC" w:sz="1"/>
              <w:left w:val="single" w:color="CCCCCC" w:sz="1"/>
              <w:bottom w:val="single" w:color="CCCCCC" w:sz="1"/>
              <w:right w:val="single" w:color="CCCCCC" w:sz="1"/>
            </w:tcBorders>
            <w:shd w:fill="1F4E79" w:val="clear"/>
          </w:tcPr>
          <w:p>
            <w:pPr>
              <w:jc w:val="center"/>
            </w:pPr>
            <w:r>
              <w:rPr>
                <w:rFonts w:ascii="Georgia" w:cs="Georgia" w:eastAsia="Georgia" w:hAnsi="Georgia"/>
                <w:b/>
                <w:bCs/>
                <w:color w:val="FFFFFF"/>
                <w:sz w:val="20"/>
                <w:szCs w:val="20"/>
              </w:rPr>
              <w:t xml:space="preserve">Gaps</w:t>
            </w:r>
          </w:p>
        </w:tc>
        <w:tc>
          <w:tcPr>
            <w:tcW w:type="dxa" w:w="1800"/>
            <w:tcBorders>
              <w:top w:val="single" w:color="CCCCCC" w:sz="1"/>
              <w:left w:val="single" w:color="CCCCCC" w:sz="1"/>
              <w:bottom w:val="single" w:color="CCCCCC" w:sz="1"/>
              <w:right w:val="single" w:color="CCCCCC" w:sz="1"/>
            </w:tcBorders>
            <w:shd w:fill="1F4E79" w:val="clear"/>
          </w:tcPr>
          <w:p>
            <w:pPr>
              <w:jc w:val="center"/>
            </w:pPr>
            <w:r>
              <w:rPr>
                <w:rFonts w:ascii="Georgia" w:cs="Georgia" w:eastAsia="Georgia" w:hAnsi="Georgia"/>
                <w:b/>
                <w:bCs/>
                <w:color w:val="FFFFFF"/>
                <w:sz w:val="20"/>
                <w:szCs w:val="20"/>
              </w:rPr>
              <w:t xml:space="preserve">Verdict</w:t>
            </w:r>
          </w:p>
        </w:tc>
      </w:tr>
      <w:tr>
        <w:tc>
          <w:tcPr>
            <w:tcW w:type="dxa" w:w="1800"/>
            <w:tcBorders>
              <w:top w:val="single" w:color="CCCCCC" w:sz="1"/>
              <w:left w:val="single" w:color="CCCCCC" w:sz="1"/>
              <w:bottom w:val="single" w:color="CCCCCC" w:sz="1"/>
              <w:right w:val="single" w:color="CCCCCC" w:sz="1"/>
            </w:tcBorders>
          </w:tcPr>
          <w:p>
            <w:r>
              <w:rPr>
                <w:rFonts w:ascii="Georgia" w:cs="Georgia" w:eastAsia="Georgia" w:hAnsi="Georgia"/>
                <w:b/>
                <w:bCs/>
                <w:sz w:val="20"/>
                <w:szCs w:val="20"/>
              </w:rPr>
              <w:t xml:space="preserve">Lakera Guard</w:t>
            </w:r>
          </w:p>
        </w:tc>
        <w:tc>
          <w:tcPr>
            <w:tcW w:type="dxa" w:w="1500"/>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$0.001/request</w:t>
            </w:r>
          </w:p>
        </w:tc>
        <w:tc>
          <w:tcPr>
            <w:tcW w:type="dxa" w:w="2500"/>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Best prompt injection detection (&lt;50ms, &gt;95% accuracy)</w:t>
            </w:r>
          </w:p>
        </w:tc>
        <w:tc>
          <w:tcPr>
            <w:tcW w:type="dxa" w:w="2500"/>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No agent awareness, no tool-use controls</w:t>
            </w:r>
          </w:p>
        </w:tc>
        <w:tc>
          <w:tcPr>
            <w:tcW w:type="dxa" w:w="1800"/>
            <w:tcBorders>
              <w:top w:val="single" w:color="CCCCCC" w:sz="1"/>
              <w:left w:val="single" w:color="CCCCCC" w:sz="1"/>
              <w:bottom w:val="single" w:color="CCCCCC" w:sz="1"/>
              <w:right w:val="single" w:color="CCCCCC" w:sz="1"/>
            </w:tcBorders>
            <w:shd w:fill="E2EFDA" w:val="clear"/>
          </w:tcPr>
          <w:p>
            <w:r>
              <w:rPr>
                <w:rFonts w:ascii="Georgia" w:cs="Georgia" w:eastAsia="Georgia" w:hAnsi="Georgia"/>
                <w:b/>
                <w:bCs/>
                <w:color w:val="375623"/>
                <w:sz w:val="20"/>
                <w:szCs w:val="20"/>
              </w:rPr>
              <w:t xml:space="preserve">INTEGRATE</w:t>
            </w:r>
          </w:p>
        </w:tc>
      </w:tr>
      <w:tr>
        <w:tc>
          <w:tcPr>
            <w:tcW w:type="dxa" w:w="1800"/>
            <w:tcBorders>
              <w:top w:val="single" w:color="CCCCCC" w:sz="1"/>
              <w:left w:val="single" w:color="CCCCCC" w:sz="1"/>
              <w:bottom w:val="single" w:color="CCCCCC" w:sz="1"/>
              <w:right w:val="single" w:color="CCCCCC" w:sz="1"/>
            </w:tcBorders>
          </w:tcPr>
          <w:p>
            <w:r>
              <w:rPr>
                <w:rFonts w:ascii="Georgia" w:cs="Georgia" w:eastAsia="Georgia" w:hAnsi="Georgia"/>
                <w:b/>
                <w:bCs/>
                <w:sz w:val="20"/>
                <w:szCs w:val="20"/>
              </w:rPr>
              <w:t xml:space="preserve">AWS Guardrails</w:t>
            </w:r>
          </w:p>
        </w:tc>
        <w:tc>
          <w:tcPr>
            <w:tcW w:type="dxa" w:w="1500"/>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$0.75/1K units</w:t>
            </w:r>
          </w:p>
        </w:tc>
        <w:tc>
          <w:tcPr>
            <w:tcW w:type="dxa" w:w="2500"/>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Native AWS, content filters</w:t>
            </w:r>
          </w:p>
        </w:tc>
        <w:tc>
          <w:tcPr>
            <w:tcW w:type="dxa" w:w="2500"/>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AWS-only, no customization, no agent features</w:t>
            </w:r>
          </w:p>
        </w:tc>
        <w:tc>
          <w:tcPr>
            <w:tcW w:type="dxa" w:w="1800"/>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AWS deployments</w:t>
            </w:r>
          </w:p>
        </w:tc>
      </w:tr>
    </w:tbl>
    <w:p>
      <w:pPr>
        <w:spacing w:before="300" w:after="200"/>
      </w:pPr>
      <w:r>
        <w:rPr>
          <w:rFonts w:ascii="Georgia" w:cs="Georgia" w:eastAsia="Georgia" w:hAnsi="Georgia"/>
          <w:i/>
          <w:iCs/>
        </w:rPr>
        <w:t xml:space="preserve">Decision: Integrate Lakera Guard for prompt injection detection as a preprocessing layer. Build custom agent-specific policy engine on OPA for tool access control, as no vendor addresses this.</w:t>
      </w:r>
    </w:p>
    <w:p>
      <w:pPr>
        <w:pStyle w:val="Heading2"/>
      </w:pPr>
      <w:r>
        <w:rPr>
          <w:rFonts w:ascii="Georgia" w:cs="Georgia" w:eastAsia="Georgia" w:hAnsi="Georgia"/>
        </w:rPr>
        <w:t xml:space="preserve">2.3 Build vs. Buy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600"/>
      </w:tblGrid>
      <w:tr>
        <w:trPr>
          <w:tblHeader/>
        </w:trPr>
        <w:tc>
          <w:tcPr>
            <w:tcW w:type="dxa" w:w="2500"/>
            <w:tcBorders>
              <w:top w:val="single" w:color="CCCCCC" w:sz="1"/>
              <w:left w:val="single" w:color="CCCCCC" w:sz="1"/>
              <w:bottom w:val="single" w:color="CCCCCC" w:sz="1"/>
              <w:right w:val="single" w:color="CCCCCC" w:sz="1"/>
            </w:tcBorders>
            <w:shd w:fill="1F4E79" w:val="clear"/>
          </w:tcPr>
          <w:p>
            <w:pPr>
              <w:jc w:val="center"/>
            </w:pPr>
            <w:r>
              <w:rPr>
                <w:rFonts w:ascii="Georgia" w:cs="Georgia" w:eastAsia="Georgia" w:hAnsi="Georgia"/>
                <w:b/>
                <w:bCs/>
                <w:color w:val="FFFFFF"/>
                <w:sz w:val="20"/>
                <w:szCs w:val="20"/>
              </w:rPr>
              <w:t xml:space="preserve">Capability</w:t>
            </w:r>
          </w:p>
        </w:tc>
        <w:tc>
          <w:tcPr>
            <w:tcW w:type="dxa" w:w="2000"/>
            <w:tcBorders>
              <w:top w:val="single" w:color="CCCCCC" w:sz="1"/>
              <w:left w:val="single" w:color="CCCCCC" w:sz="1"/>
              <w:bottom w:val="single" w:color="CCCCCC" w:sz="1"/>
              <w:right w:val="single" w:color="CCCCCC" w:sz="1"/>
            </w:tcBorders>
            <w:shd w:fill="1F4E79" w:val="clear"/>
          </w:tcPr>
          <w:p>
            <w:pPr>
              <w:jc w:val="center"/>
            </w:pPr>
            <w:r>
              <w:rPr>
                <w:rFonts w:ascii="Georgia" w:cs="Georgia" w:eastAsia="Georgia" w:hAnsi="Georgia"/>
                <w:b/>
                <w:bCs/>
                <w:color w:val="FFFFFF"/>
                <w:sz w:val="20"/>
                <w:szCs w:val="20"/>
              </w:rPr>
              <w:t xml:space="preserve">Decision</w:t>
            </w:r>
          </w:p>
        </w:tc>
        <w:tc>
          <w:tcPr>
            <w:tcW w:type="dxa" w:w="5600"/>
            <w:tcBorders>
              <w:top w:val="single" w:color="CCCCCC" w:sz="1"/>
              <w:left w:val="single" w:color="CCCCCC" w:sz="1"/>
              <w:bottom w:val="single" w:color="CCCCCC" w:sz="1"/>
              <w:right w:val="single" w:color="CCCCCC" w:sz="1"/>
            </w:tcBorders>
            <w:shd w:fill="1F4E79" w:val="clear"/>
          </w:tcPr>
          <w:p>
            <w:pPr>
              <w:jc w:val="center"/>
            </w:pPr>
            <w:r>
              <w:rPr>
                <w:rFonts w:ascii="Georgia" w:cs="Georgia" w:eastAsia="Georgia" w:hAnsi="Georgia"/>
                <w:b/>
                <w:bCs/>
                <w:color w:val="FFFFFF"/>
                <w:sz w:val="20"/>
                <w:szCs w:val="20"/>
              </w:rPr>
              <w:t xml:space="preserve">Rationale</w:t>
            </w:r>
          </w:p>
        </w:tc>
      </w:tr>
      <w:tr>
        <w:tc>
          <w:tcPr>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Trace collection/storage</w:t>
            </w:r>
          </w:p>
        </w:tc>
        <w:tc>
          <w:tcPr>
            <w:tcBorders>
              <w:top w:val="single" w:color="CCCCCC" w:sz="1"/>
              <w:left w:val="single" w:color="CCCCCC" w:sz="1"/>
              <w:bottom w:val="single" w:color="CCCCCC" w:sz="1"/>
              <w:right w:val="single" w:color="CCCCCC" w:sz="1"/>
            </w:tcBorders>
            <w:shd w:fill="FFF2CC" w:val="clear"/>
          </w:tcPr>
          <w:p>
            <w:r>
              <w:rPr>
                <w:rFonts w:ascii="Georgia" w:cs="Georgia" w:eastAsia="Georgia" w:hAnsi="Georgia"/>
                <w:b/>
                <w:bCs/>
                <w:sz w:val="20"/>
                <w:szCs w:val="20"/>
              </w:rPr>
              <w:t xml:space="preserve">BUY (Langfuse)</w:t>
            </w:r>
          </w:p>
        </w:tc>
        <w:tc>
          <w:tcPr>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Commodity capability, mature OSS solution</w:t>
            </w:r>
          </w:p>
        </w:tc>
      </w:tr>
      <w:tr>
        <w:tc>
          <w:tcPr>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Prompt injection detection</w:t>
            </w:r>
          </w:p>
        </w:tc>
        <w:tc>
          <w:tcPr>
            <w:tcBorders>
              <w:top w:val="single" w:color="CCCCCC" w:sz="1"/>
              <w:left w:val="single" w:color="CCCCCC" w:sz="1"/>
              <w:bottom w:val="single" w:color="CCCCCC" w:sz="1"/>
              <w:right w:val="single" w:color="CCCCCC" w:sz="1"/>
            </w:tcBorders>
            <w:shd w:fill="FFF2CC" w:val="clear"/>
          </w:tcPr>
          <w:p>
            <w:r>
              <w:rPr>
                <w:rFonts w:ascii="Georgia" w:cs="Georgia" w:eastAsia="Georgia" w:hAnsi="Georgia"/>
                <w:b/>
                <w:bCs/>
                <w:sz w:val="20"/>
                <w:szCs w:val="20"/>
              </w:rPr>
              <w:t xml:space="preserve">BUY (Lakera)</w:t>
            </w:r>
          </w:p>
        </w:tc>
        <w:tc>
          <w:tcPr>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Specialized ML models, not core competency</w:t>
            </w:r>
          </w:p>
        </w:tc>
      </w:tr>
      <w:tr>
        <w:tc>
          <w:tcPr>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Control framework mapping</w:t>
            </w:r>
          </w:p>
        </w:tc>
        <w:tc>
          <w:tcPr>
            <w:tcBorders>
              <w:top w:val="single" w:color="CCCCCC" w:sz="1"/>
              <w:left w:val="single" w:color="CCCCCC" w:sz="1"/>
              <w:bottom w:val="single" w:color="CCCCCC" w:sz="1"/>
              <w:right w:val="single" w:color="CCCCCC" w:sz="1"/>
            </w:tcBorders>
            <w:shd w:fill="E2EFDA" w:val="clear"/>
          </w:tcPr>
          <w:p>
            <w:r>
              <w:rPr>
                <w:rFonts w:ascii="Georgia" w:cs="Georgia" w:eastAsia="Georgia" w:hAnsi="Georgia"/>
                <w:b/>
                <w:bCs/>
                <w:color w:val="375623"/>
                <w:sz w:val="20"/>
                <w:szCs w:val="20"/>
              </w:rPr>
              <w:t xml:space="preserve">BUILD</w:t>
            </w:r>
          </w:p>
        </w:tc>
        <w:tc>
          <w:tcPr>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No vendor solution exists, core differentiator</w:t>
            </w:r>
          </w:p>
        </w:tc>
      </w:tr>
      <w:tr>
        <w:tc>
          <w:tcPr>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Agent policy engine</w:t>
            </w:r>
          </w:p>
        </w:tc>
        <w:tc>
          <w:tcPr>
            <w:tcBorders>
              <w:top w:val="single" w:color="CCCCCC" w:sz="1"/>
              <w:left w:val="single" w:color="CCCCCC" w:sz="1"/>
              <w:bottom w:val="single" w:color="CCCCCC" w:sz="1"/>
              <w:right w:val="single" w:color="CCCCCC" w:sz="1"/>
            </w:tcBorders>
            <w:shd w:fill="E2EFDA" w:val="clear"/>
          </w:tcPr>
          <w:p>
            <w:r>
              <w:rPr>
                <w:rFonts w:ascii="Georgia" w:cs="Georgia" w:eastAsia="Georgia" w:hAnsi="Georgia"/>
                <w:b/>
                <w:bCs/>
                <w:color w:val="375623"/>
                <w:sz w:val="20"/>
                <w:szCs w:val="20"/>
              </w:rPr>
              <w:t xml:space="preserve">BUILD</w:t>
            </w:r>
          </w:p>
        </w:tc>
        <w:tc>
          <w:tcPr>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No vendor addresses agent-specific risks</w:t>
            </w:r>
          </w:p>
        </w:tc>
      </w:tr>
      <w:tr>
        <w:tc>
          <w:tcPr>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Threat modeling templates</w:t>
            </w:r>
          </w:p>
        </w:tc>
        <w:tc>
          <w:tcPr>
            <w:tcBorders>
              <w:top w:val="single" w:color="CCCCCC" w:sz="1"/>
              <w:left w:val="single" w:color="CCCCCC" w:sz="1"/>
              <w:bottom w:val="single" w:color="CCCCCC" w:sz="1"/>
              <w:right w:val="single" w:color="CCCCCC" w:sz="1"/>
            </w:tcBorders>
            <w:shd w:fill="E2EFDA" w:val="clear"/>
          </w:tcPr>
          <w:p>
            <w:r>
              <w:rPr>
                <w:rFonts w:ascii="Georgia" w:cs="Georgia" w:eastAsia="Georgia" w:hAnsi="Georgia"/>
                <w:b/>
                <w:bCs/>
                <w:color w:val="375623"/>
                <w:sz w:val="20"/>
                <w:szCs w:val="20"/>
              </w:rPr>
              <w:t xml:space="preserve">BUILD</w:t>
            </w:r>
          </w:p>
        </w:tc>
        <w:tc>
          <w:tcPr>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Novel frameworks needed for agentic systems</w:t>
            </w:r>
          </w:p>
        </w:tc>
      </w:tr>
      <w:tr>
        <w:tc>
          <w:tcPr>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Maturity model</w:t>
            </w:r>
          </w:p>
        </w:tc>
        <w:tc>
          <w:tcPr>
            <w:tcBorders>
              <w:top w:val="single" w:color="CCCCCC" w:sz="1"/>
              <w:left w:val="single" w:color="CCCCCC" w:sz="1"/>
              <w:bottom w:val="single" w:color="CCCCCC" w:sz="1"/>
              <w:right w:val="single" w:color="CCCCCC" w:sz="1"/>
            </w:tcBorders>
            <w:shd w:fill="E2EFDA" w:val="clear"/>
          </w:tcPr>
          <w:p>
            <w:r>
              <w:rPr>
                <w:rFonts w:ascii="Georgia" w:cs="Georgia" w:eastAsia="Georgia" w:hAnsi="Georgia"/>
                <w:b/>
                <w:bCs/>
                <w:color w:val="375623"/>
                <w:sz w:val="20"/>
                <w:szCs w:val="20"/>
              </w:rPr>
              <w:t xml:space="preserve">BUILD</w:t>
            </w:r>
          </w:p>
        </w:tc>
        <w:tc>
          <w:tcPr>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AI-specific assessment methodology</w:t>
            </w:r>
          </w:p>
        </w:tc>
      </w:tr>
      <w:tr>
        <w:tc>
          <w:tcPr>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GRC integration</w:t>
            </w:r>
          </w:p>
        </w:tc>
        <w:tc>
          <w:tcPr>
            <w:tcBorders>
              <w:top w:val="single" w:color="CCCCCC" w:sz="1"/>
              <w:left w:val="single" w:color="CCCCCC" w:sz="1"/>
              <w:bottom w:val="single" w:color="CCCCCC" w:sz="1"/>
              <w:right w:val="single" w:color="CCCCCC" w:sz="1"/>
            </w:tcBorders>
            <w:shd w:fill="DEEBF7" w:val="clear"/>
          </w:tcPr>
          <w:p>
            <w:r>
              <w:rPr>
                <w:rFonts w:ascii="Georgia" w:cs="Georgia" w:eastAsia="Georgia" w:hAnsi="Georgia"/>
                <w:b/>
                <w:bCs/>
                <w:color w:val="1F4E79"/>
                <w:sz w:val="20"/>
                <w:szCs w:val="20"/>
              </w:rPr>
              <w:t xml:space="preserve">EXTEND</w:t>
            </w:r>
          </w:p>
        </w:tc>
        <w:tc>
          <w:tcPr>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APIs exist, need AI-specific workflows</w:t>
            </w:r>
          </w:p>
        </w:tc>
      </w:tr>
    </w:tbl>
    <w:p>
      <w:r>
        <w:br w:type="page"/>
      </w:r>
    </w:p>
    <w:p>
      <w:pPr>
        <w:pStyle w:val="Heading1"/>
      </w:pPr>
      <w:r>
        <w:rPr>
          <w:rFonts w:ascii="Georgia" w:cs="Georgia" w:eastAsia="Georgia" w:hAnsi="Georgia"/>
        </w:rPr>
        <w:t xml:space="preserve">3. Architecture Overview</w:t>
      </w:r>
    </w:p>
    <w:p>
      <w:pPr>
        <w:spacing w:after="200"/>
      </w:pPr>
      <w:r>
        <w:rPr>
          <w:rFonts w:ascii="Georgia" w:cs="Georgia" w:eastAsia="Georgia" w:hAnsi="Georgia"/>
        </w:rPr>
        <w:t xml:space="preserve">AgentGuard follows a microservices architecture with five core services that communicate through a shared API gateway. The platform integrates with agent frameworks via SDK middleware that intercepts execution flows.</w:t>
      </w:r>
    </w:p>
    <w:p>
      <w:pPr>
        <w:pStyle w:val="Heading2"/>
      </w:pPr>
      <w:r>
        <w:rPr>
          <w:rFonts w:ascii="Georgia" w:cs="Georgia" w:eastAsia="Georgia" w:hAnsi="Georgia"/>
        </w:rPr>
        <w:t xml:space="preserve">3.1 Core Services</w:t>
      </w:r>
    </w:p>
    <w:p>
      <w:pPr>
        <w:pStyle w:val="Heading3"/>
      </w:pPr>
      <w:r>
        <w:rPr>
          <w:rFonts w:ascii="Georgia" w:cs="Georgia" w:eastAsia="Georgia" w:hAnsi="Georgia"/>
        </w:rPr>
        <w:t xml:space="preserve">Control Mapping Service</w:t>
      </w:r>
    </w:p>
    <w:p>
      <w:pPr>
        <w:spacing w:after="150"/>
      </w:pPr>
      <w:r>
        <w:rPr>
          <w:rFonts w:ascii="Georgia" w:cs="Georgia" w:eastAsia="Georgia" w:hAnsi="Georgia"/>
        </w:rPr>
        <w:t xml:space="preserve">Manages control framework definitions (NIST AI RMF, 800-53, ISO 42001) and crosswalk mappings between frameworks. Provides gap analysis and compliance reporting.</w:t>
      </w:r>
    </w:p>
    <w:p>
      <w:pPr>
        <w:pStyle w:val="Heading3"/>
      </w:pPr>
      <w:r>
        <w:rPr>
          <w:rFonts w:ascii="Georgia" w:cs="Georgia" w:eastAsia="Georgia" w:hAnsi="Georgia"/>
        </w:rPr>
        <w:t xml:space="preserve">Observability Service</w:t>
      </w:r>
    </w:p>
    <w:p>
      <w:pPr>
        <w:spacing w:after="150"/>
      </w:pPr>
      <w:r>
        <w:rPr>
          <w:rFonts w:ascii="Georgia" w:cs="Georgia" w:eastAsia="Georgia" w:hAnsi="Georgia"/>
        </w:rPr>
        <w:t xml:space="preserve">Ingests traces from agent executions via OpenTelemetry. Enriches spans with security signals, detects anomalies, and stores time-series data in ClickHouse.</w:t>
      </w:r>
    </w:p>
    <w:p>
      <w:pPr>
        <w:pStyle w:val="Heading3"/>
      </w:pPr>
      <w:r>
        <w:rPr>
          <w:rFonts w:ascii="Georgia" w:cs="Georgia" w:eastAsia="Georgia" w:hAnsi="Georgia"/>
        </w:rPr>
        <w:t xml:space="preserve">Policy Service</w:t>
      </w:r>
    </w:p>
    <w:p>
      <w:pPr>
        <w:spacing w:after="150"/>
      </w:pPr>
      <w:r>
        <w:rPr>
          <w:rFonts w:ascii="Georgia" w:cs="Georgia" w:eastAsia="Georgia" w:hAnsi="Georgia"/>
        </w:rPr>
        <w:t xml:space="preserve">Evaluates security policies using OPA (Open Policy Agent). Supports tool access control, data flow restrictions, rate limiting, and human-in-the-loop approval gates.</w:t>
      </w:r>
    </w:p>
    <w:p>
      <w:pPr>
        <w:pStyle w:val="Heading3"/>
      </w:pPr>
      <w:r>
        <w:rPr>
          <w:rFonts w:ascii="Georgia" w:cs="Georgia" w:eastAsia="Georgia" w:hAnsi="Georgia"/>
        </w:rPr>
        <w:t xml:space="preserve">Threat Modeling Service</w:t>
      </w:r>
    </w:p>
    <w:p>
      <w:pPr>
        <w:spacing w:after="150"/>
      </w:pPr>
      <w:r>
        <w:rPr>
          <w:rFonts w:ascii="Georgia" w:cs="Georgia" w:eastAsia="Georgia" w:hAnsi="Georgia"/>
        </w:rPr>
        <w:t xml:space="preserve">Provides STRIDE-based threat analysis with MITRE ATLAS mapping for AI-specific attack techniques. Generates attack trees and mitigation recommendations.</w:t>
      </w:r>
    </w:p>
    <w:p>
      <w:pPr>
        <w:pStyle w:val="Heading3"/>
      </w:pPr>
      <w:r>
        <w:rPr>
          <w:rFonts w:ascii="Georgia" w:cs="Georgia" w:eastAsia="Georgia" w:hAnsi="Georgia"/>
        </w:rPr>
        <w:t xml:space="preserve">Maturity Assessment Service</w:t>
      </w:r>
    </w:p>
    <w:p>
      <w:pPr>
        <w:spacing w:after="150"/>
      </w:pPr>
      <w:r>
        <w:rPr>
          <w:rFonts w:ascii="Georgia" w:cs="Georgia" w:eastAsia="Georgia" w:hAnsi="Georgia"/>
        </w:rPr>
        <w:t xml:space="preserve">Implements a 5-level maturity model across governance, risk management, security controls, and operations domains. Generates improvement roadmaps.</w:t>
      </w:r>
    </w:p>
    <w:p>
      <w:pPr>
        <w:pStyle w:val="Heading2"/>
      </w:pPr>
      <w:r>
        <w:rPr>
          <w:rFonts w:ascii="Georgia" w:cs="Georgia" w:eastAsia="Georgia" w:hAnsi="Georgia"/>
        </w:rPr>
        <w:t xml:space="preserve">3.2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4100"/>
      </w:tblGrid>
      <w:tr>
        <w:trPr>
          <w:tblHeader/>
        </w:trPr>
        <w:tc>
          <w:tcPr>
            <w:tcW w:type="dxa" w:w="2500"/>
            <w:tcBorders>
              <w:top w:val="single" w:color="CCCCCC" w:sz="1"/>
              <w:left w:val="single" w:color="CCCCCC" w:sz="1"/>
              <w:bottom w:val="single" w:color="CCCCCC" w:sz="1"/>
              <w:right w:val="single" w:color="CCCCCC" w:sz="1"/>
            </w:tcBorders>
            <w:shd w:fill="1F4E79" w:val="clear"/>
          </w:tcPr>
          <w:p>
            <w:pPr>
              <w:jc w:val="center"/>
            </w:pPr>
            <w:r>
              <w:rPr>
                <w:rFonts w:ascii="Georgia" w:cs="Georgia" w:eastAsia="Georgia" w:hAnsi="Georgia"/>
                <w:b/>
                <w:bCs/>
                <w:color w:val="FFFFFF"/>
                <w:sz w:val="20"/>
                <w:szCs w:val="20"/>
              </w:rPr>
              <w:t xml:space="preserve">Layer</w:t>
            </w:r>
          </w:p>
        </w:tc>
        <w:tc>
          <w:tcPr>
            <w:tcW w:type="dxa" w:w="3500"/>
            <w:tcBorders>
              <w:top w:val="single" w:color="CCCCCC" w:sz="1"/>
              <w:left w:val="single" w:color="CCCCCC" w:sz="1"/>
              <w:bottom w:val="single" w:color="CCCCCC" w:sz="1"/>
              <w:right w:val="single" w:color="CCCCCC" w:sz="1"/>
            </w:tcBorders>
            <w:shd w:fill="1F4E79" w:val="clear"/>
          </w:tcPr>
          <w:p>
            <w:pPr>
              <w:jc w:val="center"/>
            </w:pPr>
            <w:r>
              <w:rPr>
                <w:rFonts w:ascii="Georgia" w:cs="Georgia" w:eastAsia="Georgia" w:hAnsi="Georgia"/>
                <w:b/>
                <w:bCs/>
                <w:color w:val="FFFFFF"/>
                <w:sz w:val="20"/>
                <w:szCs w:val="20"/>
              </w:rPr>
              <w:t xml:space="preserve">Technology</w:t>
            </w:r>
          </w:p>
        </w:tc>
        <w:tc>
          <w:tcPr>
            <w:tcW w:type="dxa" w:w="4100"/>
            <w:tcBorders>
              <w:top w:val="single" w:color="CCCCCC" w:sz="1"/>
              <w:left w:val="single" w:color="CCCCCC" w:sz="1"/>
              <w:bottom w:val="single" w:color="CCCCCC" w:sz="1"/>
              <w:right w:val="single" w:color="CCCCCC" w:sz="1"/>
            </w:tcBorders>
            <w:shd w:fill="1F4E79" w:val="clear"/>
          </w:tcPr>
          <w:p>
            <w:pPr>
              <w:jc w:val="center"/>
            </w:pPr>
            <w:r>
              <w:rPr>
                <w:rFonts w:ascii="Georgia" w:cs="Georgia" w:eastAsia="Georgia" w:hAnsi="Georgia"/>
                <w:b/>
                <w:bCs/>
                <w:color w:val="FFFFFF"/>
                <w:sz w:val="20"/>
                <w:szCs w:val="20"/>
              </w:rPr>
              <w:t xml:space="preserve">Rationale</w:t>
            </w:r>
          </w:p>
        </w:tc>
      </w:tr>
      <w:tr>
        <w:tc>
          <w:tcPr>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API Server</w:t>
            </w:r>
          </w:p>
        </w:tc>
        <w:tc>
          <w:tcPr>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Go 1.22+ with Gin</w:t>
            </w:r>
          </w:p>
        </w:tc>
        <w:tc>
          <w:tcPr>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Performance, OPA native integration</w:t>
            </w:r>
          </w:p>
        </w:tc>
      </w:tr>
      <w:tr>
        <w:tc>
          <w:tcPr>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Portal UI</w:t>
            </w:r>
          </w:p>
        </w:tc>
        <w:tc>
          <w:tcPr>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React / Next.js</w:t>
            </w:r>
          </w:p>
        </w:tc>
        <w:tc>
          <w:tcPr>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Enterprise UI patterns, SSR</w:t>
            </w:r>
          </w:p>
        </w:tc>
      </w:tr>
      <w:tr>
        <w:tc>
          <w:tcPr>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Policy Engine</w:t>
            </w:r>
          </w:p>
        </w:tc>
        <w:tc>
          <w:tcPr>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OPA / Rego</w:t>
            </w:r>
          </w:p>
        </w:tc>
        <w:tc>
          <w:tcPr>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Industry standard, sub-ms evaluation</w:t>
            </w:r>
          </w:p>
        </w:tc>
      </w:tr>
      <w:tr>
        <w:tc>
          <w:tcPr>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Observability</w:t>
            </w:r>
          </w:p>
        </w:tc>
        <w:tc>
          <w:tcPr>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OpenTelemetry + ClickHouse</w:t>
            </w:r>
          </w:p>
        </w:tc>
        <w:tc>
          <w:tcPr>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Vendor-neutral, high-volume time-series</w:t>
            </w:r>
          </w:p>
        </w:tc>
      </w:tr>
      <w:tr>
        <w:tc>
          <w:tcPr>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Persistence</w:t>
            </w:r>
          </w:p>
        </w:tc>
        <w:tc>
          <w:tcPr>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PostgreSQL + Redis</w:t>
            </w:r>
          </w:p>
        </w:tc>
        <w:tc>
          <w:tcPr>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Reliable ACID, policy caching</w:t>
            </w:r>
          </w:p>
        </w:tc>
      </w:tr>
      <w:tr>
        <w:tc>
          <w:tcPr>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Infrastructure</w:t>
            </w:r>
          </w:p>
        </w:tc>
        <w:tc>
          <w:tcPr>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Kubernetes / Helm</w:t>
            </w:r>
          </w:p>
        </w:tc>
        <w:tc>
          <w:tcPr>
            <w:tcBorders>
              <w:top w:val="single" w:color="CCCCCC" w:sz="1"/>
              <w:left w:val="single" w:color="CCCCCC" w:sz="1"/>
              <w:bottom w:val="single" w:color="CCCCCC" w:sz="1"/>
              <w:right w:val="single" w:color="CCCCCC" w:sz="1"/>
            </w:tcBorders>
          </w:tcPr>
          <w:p>
            <w:r>
              <w:rPr>
                <w:rFonts w:ascii="Georgia" w:cs="Georgia" w:eastAsia="Georgia" w:hAnsi="Georgia"/>
                <w:sz w:val="20"/>
                <w:szCs w:val="20"/>
              </w:rPr>
              <w:t xml:space="preserve">Cloud-agnostic, enterprise standard</w:t>
            </w:r>
          </w:p>
        </w:tc>
      </w:tr>
    </w:tbl>
    <w:p>
      <w:r>
        <w:br w:type="page"/>
      </w:r>
    </w:p>
    <w:p>
      <w:pPr>
        <w:pStyle w:val="Heading1"/>
      </w:pPr>
      <w:r>
        <w:rPr>
          <w:rFonts w:ascii="Georgia" w:cs="Georgia" w:eastAsia="Georgia" w:hAnsi="Georgia"/>
        </w:rPr>
        <w:t xml:space="preserve">4. Implementation Roadmap</w:t>
      </w:r>
    </w:p>
    <w:p>
      <w:pPr>
        <w:pStyle w:val="Heading2"/>
      </w:pPr>
      <w:r>
        <w:rPr>
          <w:rFonts w:ascii="Georgia" w:cs="Georgia" w:eastAsia="Georgia" w:hAnsi="Georgia"/>
        </w:rPr>
        <w:t xml:space="preserve">Phase 1: Framework Foundation (Weeks 1-4)</w:t>
      </w:r>
    </w:p>
    <w:p>
      <w:pPr>
        <w:pStyle w:val="ListParagraph"/>
        <w:numPr>
          <w:ilvl w:val="0"/>
          <w:numId w:val="2"/>
        </w:numPr>
      </w:pPr>
      <w:r>
        <w:rPr>
          <w:rFonts w:ascii="Georgia" w:cs="Georgia" w:eastAsia="Georgia" w:hAnsi="Georgia"/>
        </w:rPr>
        <w:t xml:space="preserve">Core Go API server scaffold with health/ready endpoints</w:t>
      </w:r>
    </w:p>
    <w:p>
      <w:pPr>
        <w:pStyle w:val="ListParagraph"/>
        <w:numPr>
          <w:ilvl w:val="0"/>
          <w:numId w:val="2"/>
        </w:numPr>
      </w:pPr>
      <w:r>
        <w:rPr>
          <w:rFonts w:ascii="Georgia" w:cs="Georgia" w:eastAsia="Georgia" w:hAnsi="Georgia"/>
        </w:rPr>
        <w:t xml:space="preserve">PostgreSQL schema for controls, frameworks, crosswalks</w:t>
      </w:r>
    </w:p>
    <w:p>
      <w:pPr>
        <w:pStyle w:val="ListParagraph"/>
        <w:numPr>
          <w:ilvl w:val="0"/>
          <w:numId w:val="2"/>
        </w:numPr>
      </w:pPr>
      <w:r>
        <w:rPr>
          <w:rFonts w:ascii="Georgia" w:cs="Georgia" w:eastAsia="Georgia" w:hAnsi="Georgia"/>
        </w:rPr>
        <w:t xml:space="preserve">NIST AI RMF control definitions (72 subcategories)</w:t>
      </w:r>
    </w:p>
    <w:p>
      <w:pPr>
        <w:pStyle w:val="ListParagraph"/>
        <w:numPr>
          <w:ilvl w:val="0"/>
          <w:numId w:val="2"/>
        </w:numPr>
      </w:pPr>
      <w:r>
        <w:rPr>
          <w:rFonts w:ascii="Georgia" w:cs="Georgia" w:eastAsia="Georgia" w:hAnsi="Georgia"/>
        </w:rPr>
        <w:t xml:space="preserve">NIST 800-53 crosswalk mappings</w:t>
      </w:r>
    </w:p>
    <w:p>
      <w:pPr>
        <w:pStyle w:val="Heading2"/>
      </w:pPr>
      <w:r>
        <w:rPr>
          <w:rFonts w:ascii="Georgia" w:cs="Georgia" w:eastAsia="Georgia" w:hAnsi="Georgia"/>
        </w:rPr>
        <w:t xml:space="preserve">Phase 2: Observability (Weeks 5-8)</w:t>
      </w:r>
    </w:p>
    <w:p>
      <w:pPr>
        <w:pStyle w:val="ListParagraph"/>
        <w:numPr>
          <w:ilvl w:val="0"/>
          <w:numId w:val="2"/>
        </w:numPr>
      </w:pPr>
      <w:r>
        <w:rPr>
          <w:rFonts w:ascii="Georgia" w:cs="Georgia" w:eastAsia="Georgia" w:hAnsi="Georgia"/>
        </w:rPr>
        <w:t xml:space="preserve">OpenTelemetry trace ingestion</w:t>
      </w:r>
    </w:p>
    <w:p>
      <w:pPr>
        <w:pStyle w:val="ListParagraph"/>
        <w:numPr>
          <w:ilvl w:val="0"/>
          <w:numId w:val="2"/>
        </w:numPr>
      </w:pPr>
      <w:r>
        <w:rPr>
          <w:rFonts w:ascii="Georgia" w:cs="Georgia" w:eastAsia="Georgia" w:hAnsi="Georgia"/>
        </w:rPr>
        <w:t xml:space="preserve">Security signal enrichment pipeline</w:t>
      </w:r>
    </w:p>
    <w:p>
      <w:pPr>
        <w:pStyle w:val="ListParagraph"/>
        <w:numPr>
          <w:ilvl w:val="0"/>
          <w:numId w:val="2"/>
        </w:numPr>
      </w:pPr>
      <w:r>
        <w:rPr>
          <w:rFonts w:ascii="Georgia" w:cs="Georgia" w:eastAsia="Georgia" w:hAnsi="Georgia"/>
        </w:rPr>
        <w:t xml:space="preserve">ClickHouse schema for time-series data</w:t>
      </w:r>
    </w:p>
    <w:p>
      <w:pPr>
        <w:pStyle w:val="ListParagraph"/>
        <w:numPr>
          <w:ilvl w:val="0"/>
          <w:numId w:val="2"/>
        </w:numPr>
      </w:pPr>
      <w:r>
        <w:rPr>
          <w:rFonts w:ascii="Georgia" w:cs="Georgia" w:eastAsia="Georgia" w:hAnsi="Georgia"/>
        </w:rPr>
        <w:t xml:space="preserve">Python/Go SDK middleware for LangChain</w:t>
      </w:r>
    </w:p>
    <w:p>
      <w:pPr>
        <w:pStyle w:val="Heading2"/>
      </w:pPr>
      <w:r>
        <w:rPr>
          <w:rFonts w:ascii="Georgia" w:cs="Georgia" w:eastAsia="Georgia" w:hAnsi="Georgia"/>
        </w:rPr>
        <w:t xml:space="preserve">Phase 3: Policy Engine (Weeks 9-12)</w:t>
      </w:r>
    </w:p>
    <w:p>
      <w:pPr>
        <w:pStyle w:val="ListParagraph"/>
        <w:numPr>
          <w:ilvl w:val="0"/>
          <w:numId w:val="2"/>
        </w:numPr>
      </w:pPr>
      <w:r>
        <w:rPr>
          <w:rFonts w:ascii="Georgia" w:cs="Georgia" w:eastAsia="Georgia" w:hAnsi="Georgia"/>
        </w:rPr>
        <w:t xml:space="preserve">OPA integration with base Rego libraries</w:t>
      </w:r>
    </w:p>
    <w:p>
      <w:pPr>
        <w:pStyle w:val="ListParagraph"/>
        <w:numPr>
          <w:ilvl w:val="0"/>
          <w:numId w:val="2"/>
        </w:numPr>
      </w:pPr>
      <w:r>
        <w:rPr>
          <w:rFonts w:ascii="Georgia" w:cs="Georgia" w:eastAsia="Georgia" w:hAnsi="Georgia"/>
        </w:rPr>
        <w:t xml:space="preserve">Tool access control policies</w:t>
      </w:r>
    </w:p>
    <w:p>
      <w:pPr>
        <w:pStyle w:val="ListParagraph"/>
        <w:numPr>
          <w:ilvl w:val="0"/>
          <w:numId w:val="2"/>
        </w:numPr>
      </w:pPr>
      <w:r>
        <w:rPr>
          <w:rFonts w:ascii="Georgia" w:cs="Georgia" w:eastAsia="Georgia" w:hAnsi="Georgia"/>
        </w:rPr>
        <w:t xml:space="preserve">Data flow restriction policies</w:t>
      </w:r>
    </w:p>
    <w:p>
      <w:pPr>
        <w:pStyle w:val="ListParagraph"/>
        <w:numPr>
          <w:ilvl w:val="0"/>
          <w:numId w:val="2"/>
        </w:numPr>
      </w:pPr>
      <w:r>
        <w:rPr>
          <w:rFonts w:ascii="Georgia" w:cs="Georgia" w:eastAsia="Georgia" w:hAnsi="Georgia"/>
        </w:rPr>
        <w:t xml:space="preserve">Policy YAML → Rego compiler</w:t>
      </w:r>
    </w:p>
    <w:p>
      <w:pPr>
        <w:pStyle w:val="Heading2"/>
      </w:pPr>
      <w:r>
        <w:rPr>
          <w:rFonts w:ascii="Georgia" w:cs="Georgia" w:eastAsia="Georgia" w:hAnsi="Georgia"/>
        </w:rPr>
        <w:t xml:space="preserve">Phase 4: Threat Modeling (Weeks 13-16)</w:t>
      </w:r>
    </w:p>
    <w:p>
      <w:pPr>
        <w:pStyle w:val="ListParagraph"/>
        <w:numPr>
          <w:ilvl w:val="0"/>
          <w:numId w:val="2"/>
        </w:numPr>
      </w:pPr>
      <w:r>
        <w:rPr>
          <w:rFonts w:ascii="Georgia" w:cs="Georgia" w:eastAsia="Georgia" w:hAnsi="Georgia"/>
        </w:rPr>
        <w:t xml:space="preserve">STRIDE threat templates for agentic systems</w:t>
      </w:r>
    </w:p>
    <w:p>
      <w:pPr>
        <w:pStyle w:val="ListParagraph"/>
        <w:numPr>
          <w:ilvl w:val="0"/>
          <w:numId w:val="2"/>
        </w:numPr>
      </w:pPr>
      <w:r>
        <w:rPr>
          <w:rFonts w:ascii="Georgia" w:cs="Georgia" w:eastAsia="Georgia" w:hAnsi="Georgia"/>
        </w:rPr>
        <w:t xml:space="preserve">MITRE ATLAS technique mapping</w:t>
      </w:r>
    </w:p>
    <w:p>
      <w:pPr>
        <w:pStyle w:val="ListParagraph"/>
        <w:numPr>
          <w:ilvl w:val="0"/>
          <w:numId w:val="2"/>
        </w:numPr>
      </w:pPr>
      <w:r>
        <w:rPr>
          <w:rFonts w:ascii="Georgia" w:cs="Georgia" w:eastAsia="Georgia" w:hAnsi="Georgia"/>
        </w:rPr>
        <w:t xml:space="preserve">Attack tree generator</w:t>
      </w:r>
    </w:p>
    <w:p>
      <w:pPr>
        <w:pStyle w:val="ListParagraph"/>
        <w:numPr>
          <w:ilvl w:val="0"/>
          <w:numId w:val="2"/>
        </w:numPr>
      </w:pPr>
      <w:r>
        <w:rPr>
          <w:rFonts w:ascii="Georgia" w:cs="Georgia" w:eastAsia="Georgia" w:hAnsi="Georgia"/>
        </w:rPr>
        <w:t xml:space="preserve">Mitigation recommendation engine</w:t>
      </w:r>
    </w:p>
    <w:p>
      <w:pPr>
        <w:pStyle w:val="Heading2"/>
      </w:pPr>
      <w:r>
        <w:rPr>
          <w:rFonts w:ascii="Georgia" w:cs="Georgia" w:eastAsia="Georgia" w:hAnsi="Georgia"/>
        </w:rPr>
        <w:t xml:space="preserve">Phase 5: Portal &amp; Assessment (Weeks 17-20)</w:t>
      </w:r>
    </w:p>
    <w:p>
      <w:pPr>
        <w:pStyle w:val="ListParagraph"/>
        <w:numPr>
          <w:ilvl w:val="0"/>
          <w:numId w:val="2"/>
        </w:numPr>
      </w:pPr>
      <w:r>
        <w:rPr>
          <w:rFonts w:ascii="Georgia" w:cs="Georgia" w:eastAsia="Georgia" w:hAnsi="Georgia"/>
        </w:rPr>
        <w:t xml:space="preserve">React governance portal</w:t>
      </w:r>
    </w:p>
    <w:p>
      <w:pPr>
        <w:pStyle w:val="ListParagraph"/>
        <w:numPr>
          <w:ilvl w:val="0"/>
          <w:numId w:val="2"/>
        </w:numPr>
      </w:pPr>
      <w:r>
        <w:rPr>
          <w:rFonts w:ascii="Georgia" w:cs="Georgia" w:eastAsia="Georgia" w:hAnsi="Georgia"/>
        </w:rPr>
        <w:t xml:space="preserve">Maturity self-assessment wizard</w:t>
      </w:r>
    </w:p>
    <w:p>
      <w:pPr>
        <w:pStyle w:val="ListParagraph"/>
        <w:numPr>
          <w:ilvl w:val="0"/>
          <w:numId w:val="2"/>
        </w:numPr>
      </w:pPr>
      <w:r>
        <w:rPr>
          <w:rFonts w:ascii="Georgia" w:cs="Georgia" w:eastAsia="Georgia" w:hAnsi="Georgia"/>
        </w:rPr>
        <w:t xml:space="preserve">Compliance report generation</w:t>
      </w:r>
    </w:p>
    <w:p>
      <w:pPr>
        <w:pStyle w:val="ListParagraph"/>
        <w:numPr>
          <w:ilvl w:val="0"/>
          <w:numId w:val="2"/>
        </w:numPr>
      </w:pPr>
      <w:r>
        <w:rPr>
          <w:rFonts w:ascii="Georgia" w:cs="Georgia" w:eastAsia="Georgia" w:hAnsi="Georgia"/>
        </w:rPr>
        <w:t xml:space="preserve">GRC integration APIs (ServiceNow, Archer)</w:t>
      </w:r>
    </w:p>
    <w:p>
      <w:r>
        <w:br w:type="page"/>
      </w:r>
    </w:p>
    <w:p>
      <w:pPr>
        <w:pStyle w:val="Heading1"/>
      </w:pPr>
      <w:r>
        <w:rPr>
          <w:rFonts w:ascii="Georgia" w:cs="Georgia" w:eastAsia="Georgia" w:hAnsi="Georgia"/>
        </w:rPr>
        <w:t xml:space="preserve">Appendix A: References</w:t>
      </w:r>
    </w:p>
    <w:p>
      <w:pPr>
        <w:pStyle w:val="ListParagraph"/>
        <w:numPr>
          <w:ilvl w:val="0"/>
          <w:numId w:val="2"/>
        </w:numPr>
      </w:pPr>
      <w:r>
        <w:rPr>
          <w:rFonts w:ascii="Georgia" w:cs="Georgia" w:eastAsia="Georgia" w:hAnsi="Georgia"/>
        </w:rPr>
        <w:t xml:space="preserve">NIST AI Risk Management Framework: https://www.nist.gov/itl/ai-risk-management-framework</w:t>
      </w:r>
    </w:p>
    <w:p>
      <w:pPr>
        <w:pStyle w:val="ListParagraph"/>
        <w:numPr>
          <w:ilvl w:val="0"/>
          <w:numId w:val="2"/>
        </w:numPr>
      </w:pPr>
      <w:r>
        <w:rPr>
          <w:rFonts w:ascii="Georgia" w:cs="Georgia" w:eastAsia="Georgia" w:hAnsi="Georgia"/>
        </w:rPr>
        <w:t xml:space="preserve">NIST SP 800-53 Rev 5: https://csrc.nist.gov/publications/detail/sp/800-53/rev-5/final</w:t>
      </w:r>
    </w:p>
    <w:p>
      <w:pPr>
        <w:pStyle w:val="ListParagraph"/>
        <w:numPr>
          <w:ilvl w:val="0"/>
          <w:numId w:val="2"/>
        </w:numPr>
      </w:pPr>
      <w:r>
        <w:rPr>
          <w:rFonts w:ascii="Georgia" w:cs="Georgia" w:eastAsia="Georgia" w:hAnsi="Georgia"/>
        </w:rPr>
        <w:t xml:space="preserve">ISO/IEC 42001:2023: https://www.iso.org/standard/81230.html</w:t>
      </w:r>
    </w:p>
    <w:p>
      <w:pPr>
        <w:pStyle w:val="ListParagraph"/>
        <w:numPr>
          <w:ilvl w:val="0"/>
          <w:numId w:val="2"/>
        </w:numPr>
      </w:pPr>
      <w:r>
        <w:rPr>
          <w:rFonts w:ascii="Georgia" w:cs="Georgia" w:eastAsia="Georgia" w:hAnsi="Georgia"/>
        </w:rPr>
        <w:t xml:space="preserve">MITRE ATLAS: https://atlas.mitre.org</w:t>
      </w:r>
    </w:p>
    <w:p>
      <w:pPr>
        <w:pStyle w:val="ListParagraph"/>
        <w:numPr>
          <w:ilvl w:val="0"/>
          <w:numId w:val="2"/>
        </w:numPr>
      </w:pPr>
      <w:r>
        <w:rPr>
          <w:rFonts w:ascii="Georgia" w:cs="Georgia" w:eastAsia="Georgia" w:hAnsi="Georgia"/>
        </w:rPr>
        <w:t xml:space="preserve">Open Policy Agent: https://www.openpolicyagent.org</w:t>
      </w:r>
    </w:p>
    <w:p>
      <w:pPr>
        <w:pStyle w:val="ListParagraph"/>
        <w:numPr>
          <w:ilvl w:val="0"/>
          <w:numId w:val="2"/>
        </w:numPr>
      </w:pPr>
      <w:r>
        <w:rPr>
          <w:rFonts w:ascii="Georgia" w:cs="Georgia" w:eastAsia="Georgia" w:hAnsi="Georgia"/>
        </w:rPr>
        <w:t xml:space="preserve">Langfuse: https://langfuse.com</w:t>
      </w:r>
    </w:p>
    <w:p>
      <w:pPr>
        <w:pStyle w:val="ListParagraph"/>
        <w:numPr>
          <w:ilvl w:val="0"/>
          <w:numId w:val="2"/>
        </w:numPr>
      </w:pPr>
      <w:r>
        <w:rPr>
          <w:rFonts w:ascii="Georgia" w:cs="Georgia" w:eastAsia="Georgia" w:hAnsi="Georgia"/>
        </w:rPr>
        <w:t xml:space="preserve">Lakera Guard: https://www.lakera.ai</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t xml:space="preserve">Page </w:t>
    </w:r>
    <w:r>
      <w:rPr>
        <w:rFonts w:ascii="Georgia" w:cs="Georgia" w:eastAsia="Georgia" w:hAnsi="Georgia"/>
        <w:sz w:val="18"/>
        <w:szCs w:val="18"/>
      </w:rPr>
      <w:fldChar w:fldCharType="begin"/>
      <w:instrText xml:space="preserve">PAGE</w:instrText>
      <w:fldChar w:fldCharType="separate"/>
      <w:fldChar w:fldCharType="end"/>
    </w:r>
    <w:r>
      <w:rPr>
        <w:rFonts w:ascii="Georgia" w:cs="Georgia" w:eastAsia="Georgia" w:hAnsi="Georgia"/>
        <w:sz w:val="18"/>
        <w:szCs w:val="18"/>
      </w:rPr>
      <w:t xml:space="preserve"> of </w:t>
    </w:r>
    <w:r>
      <w:rPr>
        <w:rFonts w:ascii="Georgia" w:cs="Georgia" w:eastAsia="Georgia" w:hAnsi="Georgia"/>
        <w:sz w:val="18"/>
        <w:szCs w:val="18"/>
      </w:rPr>
      <w:fldChar w:fldCharType="begin"/>
      <w:instrText xml:space="preserve">NUMPAGES</w:instrText>
      <w:fldChar w:fldCharType="separate"/>
      <w:fldChar w:fldCharType="end"/>
    </w:r>
    <w:r>
      <w:rPr>
        <w:rFonts w:ascii="Georgia" w:cs="Georgia" w:eastAsia="Georgia" w:hAnsi="Georgia"/>
        <w:color w:val="808080"/>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color w:val="808080"/>
        <w:sz w:val="18"/>
        <w:szCs w:val="18"/>
      </w:rPr>
      <w:t xml:space="preserve">AgentGuard High-Level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Georgia" w:cs="Georgia" w:eastAsia="Georgia" w:hAnsi="Georgia"/>
      <w:b/>
      <w:bCs/>
      <w:color w:val="1F4E79"/>
      <w:sz w:val="56"/>
      <w:szCs w:val="56"/>
    </w:rPr>
  </w:style>
  <w:style w:type="paragraph" w:styleId="Heading1">
    <w:name w:val="Heading 1"/>
    <w:basedOn w:val="Normal"/>
    <w:next w:val="Normal"/>
    <w:qFormat/>
    <w:pPr>
      <w:spacing w:before="400" w:after="200"/>
      <w:outlineLvl w:val="0"/>
    </w:pPr>
    <w:rPr>
      <w:rFonts w:ascii="Georgia" w:cs="Georgia" w:eastAsia="Georgia" w:hAnsi="Georgia"/>
      <w:b/>
      <w:bCs/>
      <w:color w:val="1F4E79"/>
      <w:sz w:val="32"/>
      <w:szCs w:val="32"/>
    </w:rPr>
  </w:style>
  <w:style w:type="paragraph" w:styleId="Heading2">
    <w:name w:val="Heading 2"/>
    <w:basedOn w:val="Normal"/>
    <w:next w:val="Normal"/>
    <w:qFormat/>
    <w:pPr>
      <w:spacing w:before="300" w:after="150"/>
      <w:outlineLvl w:val="1"/>
    </w:pPr>
    <w:rPr>
      <w:rFonts w:ascii="Georgia" w:cs="Georgia" w:eastAsia="Georgia" w:hAnsi="Georgia"/>
      <w:b/>
      <w:bCs/>
      <w:color w:val="2E75B6"/>
      <w:sz w:val="26"/>
      <w:szCs w:val="26"/>
    </w:rPr>
  </w:style>
  <w:style w:type="paragraph" w:styleId="Heading3">
    <w:name w:val="Heading 3"/>
    <w:basedOn w:val="Normal"/>
    <w:next w:val="Normal"/>
    <w:qFormat/>
    <w:pPr>
      <w:spacing w:before="200" w:after="100"/>
      <w:outlineLvl w:val="2"/>
    </w:pPr>
    <w:rPr>
      <w:rFonts w:ascii="Georgia" w:cs="Georgia" w:eastAsia="Georgia" w:hAnsi="Georgia"/>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2026-01-04T00:37:14.471Z</dcterms:created>
  <dcterms:modified xsi:type="dcterms:W3CDTF">2026-01-04T00:37:14.472Z</dcterms:modified>
</cp:coreProperties>
</file>

<file path=docProps/custom.xml><?xml version="1.0" encoding="utf-8"?>
<Properties xmlns="http://schemas.openxmlformats.org/officeDocument/2006/custom-properties" xmlns:vt="http://schemas.openxmlformats.org/officeDocument/2006/docPropsVTypes"/>
</file>