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AgentGuard</w:t>
      </w:r>
    </w:p>
    <w:p>
      <w:pPr>
        <w:spacing w:after="480"/>
        <w:jc w:val="center"/>
      </w:pPr>
      <w:r>
        <w:rPr>
          <w:color w:val="666666"/>
          <w:sz w:val="28"/>
          <w:szCs w:val="28"/>
        </w:rPr>
        <w:t xml:space="preserve">SaaS Valuation &amp; Investment Analysis</w:t>
      </w:r>
    </w:p>
    <w:p>
      <w:pPr>
        <w:spacing w:after="480"/>
        <w:jc w:val="center"/>
      </w:pPr>
      <w:r>
        <w:rPr>
          <w:i/>
          <w:iCs/>
          <w:color w:val="888888"/>
          <w:sz w:val="22"/>
          <w:szCs w:val="22"/>
        </w:rPr>
        <w:t xml:space="preserve">Series A Investment Memorandum • January 2026</w:t>
      </w:r>
    </w:p>
    <w:p>
      <w:pPr>
        <w:pStyle w:val="Heading1"/>
      </w:pPr>
      <w:r>
        <w:t xml:space="preserve">Executive Summary</w:t>
      </w:r>
    </w:p>
    <w:p>
      <w:r>
        <w:t xml:space="preserve">AgentGuard is an AI security governance platform purpose-built for enterprise agentic AI deployments. As organizations rapidly adopt autonomous AI agents that browse, execute code, and make decisions, they face an unguarded security frontier. AgentGuard provides comprehensive control mapping, threat modeling, and policy enforcement—with the market's only NIST AI RMF to 800-53 crosswalk.</w:t>
      </w:r>
    </w:p>
    <w:p>
      <w:pPr>
        <w:spacing w:before="200"/>
      </w:pPr>
      <w:r>
        <w:rPr>
          <w:b/>
          <w:bCs/>
        </w:rPr>
        <w:t xml:space="preserve">Investment Highlights:</w:t>
      </w:r>
    </w:p>
    <w:p>
      <w:pPr>
        <w:pStyle w:val="ListParagraph"/>
        <w:numPr>
          <w:ilvl w:val="0"/>
          <w:numId w:val="2"/>
        </w:numPr>
      </w:pPr>
      <w:r>
        <w:t xml:space="preserve">First-mover advantage in agentic AI security governance</w:t>
      </w:r>
    </w:p>
    <w:p>
      <w:pPr>
        <w:pStyle w:val="ListParagraph"/>
        <w:numPr>
          <w:ilvl w:val="0"/>
          <w:numId w:val="2"/>
        </w:numPr>
      </w:pPr>
      <w:r>
        <w:t xml:space="preserve">$4.3B TAM growing 34% CAGR through 2028</w:t>
      </w:r>
    </w:p>
    <w:p>
      <w:pPr>
        <w:pStyle w:val="ListParagraph"/>
        <w:numPr>
          <w:ilvl w:val="0"/>
          <w:numId w:val="2"/>
        </w:numPr>
      </w:pPr>
      <w:r>
        <w:t xml:space="preserve">FedRAMP-ready architecture targeting $890M federal market</w:t>
      </w:r>
    </w:p>
    <w:p>
      <w:pPr>
        <w:pStyle w:val="ListParagraph"/>
        <w:numPr>
          <w:ilvl w:val="0"/>
          <w:numId w:val="2"/>
        </w:numPr>
      </w:pPr>
      <w:r>
        <w:t xml:space="preserve">Enterprise SaaS model with $85K target ACV</w:t>
      </w:r>
    </w:p>
    <w:p>
      <w:pPr>
        <w:pStyle w:val="ListParagraph"/>
        <w:numPr>
          <w:ilvl w:val="0"/>
          <w:numId w:val="2"/>
        </w:numPr>
      </w:pPr>
      <w:r>
        <w:t xml:space="preserve">Seeking $12M Series A at $48M pre-money valuation</w:t>
      </w:r>
    </w:p>
    <w:p>
      <w:r>
        <w:br w:type="page"/>
      </w:r>
    </w:p>
    <w:p>
      <w:pPr>
        <w:pStyle w:val="Heading1"/>
      </w:pPr>
      <w:r>
        <w:t xml:space="preserve">Market Analysis</w:t>
      </w:r>
    </w:p>
    <w:p>
      <w:pPr>
        <w:pStyle w:val="Heading2"/>
      </w:pPr>
      <w:r>
        <w:t xml:space="preserve">Total Addressable Market</w:t>
      </w:r>
    </w:p>
    <w:p>
      <w:r>
        <w:t xml:space="preserve">The AI security market is experiencing explosive growth as enterprises adopt generative AI and agentic systems. Market sizing reflects the convergence of AI security, GRC compliance, and observability platforms.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Segment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2025 Size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2028 Size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CAGR</w:t>
            </w:r>
          </w:p>
        </w:tc>
      </w:tr>
      <w:tr>
        <w:tc>
          <w:tcPr>
            <w:tcW w:type="dxa" w:w="2340"/>
            <w:tcBorders>
              <w:top w:val="single" w:color="CCCCCC" w:sz="1"/>
              <w:left w:val="single" w:color="CCCCCC" w:sz="1"/>
              <w:bottom w:val="single" w:color="CCCCCC" w:sz="1"/>
              <w:right w:val="single" w:color="CCCCCC" w:sz="1"/>
            </w:tcBorders>
          </w:tcPr>
          <w:p>
            <w:pPr>
              <w:jc w:val="left"/>
            </w:pPr>
            <w:r>
              <w:rPr>
                <w:sz w:val="20"/>
                <w:szCs w:val="20"/>
              </w:rPr>
              <w:t xml:space="preserve">TAM - AI Security</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$2.1B</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$4.3B</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34%</w:t>
            </w:r>
          </w:p>
        </w:tc>
      </w:tr>
      <w:tr>
        <w:tc>
          <w:tcPr>
            <w:tcW w:type="dxa" w:w="234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SAM - Enterprise AI Governance</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$680M</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$1.4B</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38%</w:t>
            </w:r>
          </w:p>
        </w:tc>
      </w:tr>
      <w:tr>
        <w:tc>
          <w:tcPr>
            <w:tcW w:type="dxa" w:w="2340"/>
            <w:tcBorders>
              <w:top w:val="single" w:color="CCCCCC" w:sz="1"/>
              <w:left w:val="single" w:color="CCCCCC" w:sz="1"/>
              <w:bottom w:val="single" w:color="CCCCCC" w:sz="1"/>
              <w:right w:val="single" w:color="CCCCCC" w:sz="1"/>
            </w:tcBorders>
          </w:tcPr>
          <w:p>
            <w:pPr>
              <w:jc w:val="left"/>
            </w:pPr>
            <w:r>
              <w:rPr>
                <w:sz w:val="20"/>
                <w:szCs w:val="20"/>
              </w:rPr>
              <w:t xml:space="preserve">SOM - Agentic AI Security</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$180M</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$420M</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42%</w:t>
            </w:r>
          </w:p>
        </w:tc>
      </w:tr>
      <w:tr>
        <w:tc>
          <w:tcPr>
            <w:tcW w:type="dxa" w:w="234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Federal/FedRAMP Segment</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$340M</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$890M</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48%</w:t>
            </w:r>
          </w:p>
        </w:tc>
      </w:tr>
    </w:tbl>
    <w:p>
      <w:pPr>
        <w:pStyle w:val="Heading2"/>
        <w:spacing w:before="400"/>
      </w:pPr>
      <w:r>
        <w:t xml:space="preserve">Market Drivers</w:t>
      </w:r>
    </w:p>
    <w:p>
      <w:pPr>
        <w:pStyle w:val="ListParagraph"/>
        <w:numPr>
          <w:ilvl w:val="0"/>
          <w:numId w:val="3"/>
        </w:numPr>
      </w:pPr>
      <w:r>
        <w:rPr>
          <w:b/>
          <w:bCs/>
        </w:rPr>
        <w:t xml:space="preserve">Regulatory Pressure: </w:t>
      </w:r>
      <w:r>
        <w:t xml:space="preserve">EU AI Act, NIST AI RMF, and emerging state laws mandate AI governance controls</w:t>
      </w:r>
    </w:p>
    <w:p>
      <w:pPr>
        <w:pStyle w:val="ListParagraph"/>
        <w:numPr>
          <w:ilvl w:val="0"/>
          <w:numId w:val="3"/>
        </w:numPr>
      </w:pPr>
      <w:r>
        <w:rPr>
          <w:b/>
          <w:bCs/>
        </w:rPr>
        <w:t xml:space="preserve">Enterprise Adoption: </w:t>
      </w:r>
      <w:r>
        <w:t xml:space="preserve">77% of enterprises deploying agentic AI lack adequate security controls</w:t>
      </w:r>
    </w:p>
    <w:p>
      <w:pPr>
        <w:pStyle w:val="ListParagraph"/>
        <w:numPr>
          <w:ilvl w:val="0"/>
          <w:numId w:val="3"/>
        </w:numPr>
      </w:pPr>
      <w:r>
        <w:rPr>
          <w:b/>
          <w:bCs/>
        </w:rPr>
        <w:t xml:space="preserve">Breach Costs: </w:t>
      </w:r>
      <w:r>
        <w:t xml:space="preserve">Average AI-related breach costs $4.2M, 23% higher than traditional breaches</w:t>
      </w:r>
    </w:p>
    <w:p>
      <w:pPr>
        <w:pStyle w:val="ListParagraph"/>
        <w:numPr>
          <w:ilvl w:val="0"/>
          <w:numId w:val="3"/>
        </w:numPr>
      </w:pPr>
      <w:r>
        <w:rPr>
          <w:b/>
          <w:bCs/>
        </w:rPr>
        <w:t xml:space="preserve">FedRAMP Demand: </w:t>
      </w:r>
      <w:r>
        <w:t xml:space="preserve">Federal AI modernization creating $890M opportunity by 2028</w:t>
      </w:r>
    </w:p>
    <w:p>
      <w:r>
        <w:br w:type="page"/>
      </w:r>
    </w:p>
    <w:p>
      <w:pPr>
        <w:pStyle w:val="Heading1"/>
      </w:pPr>
      <w:r>
        <w:t xml:space="preserve">Financial Projections</w:t>
      </w:r>
    </w:p>
    <w:p>
      <w:pPr>
        <w:pStyle w:val="Heading2"/>
      </w:pPr>
      <w:r>
        <w:t xml:space="preserve">36-Month Revenue Forecast</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Metric</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Y1 (2026)</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Y2 (2027)</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Y3 (2028)</w:t>
            </w:r>
          </w:p>
        </w:tc>
        <w:tc>
          <w:tcPr>
            <w:tcW w:type="dxa" w:w="1872"/>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Y3 Exit</w:t>
            </w:r>
          </w:p>
        </w:tc>
      </w:tr>
      <w:tr>
        <w:tc>
          <w:tcPr>
            <w:tcW w:type="dxa" w:w="1872"/>
            <w:tcBorders>
              <w:top w:val="single" w:color="CCCCCC" w:sz="1"/>
              <w:left w:val="single" w:color="CCCCCC" w:sz="1"/>
              <w:bottom w:val="single" w:color="CCCCCC" w:sz="1"/>
              <w:right w:val="single" w:color="CCCCCC" w:sz="1"/>
            </w:tcBorders>
          </w:tcPr>
          <w:p>
            <w:pPr>
              <w:jc w:val="left"/>
            </w:pPr>
            <w:r>
              <w:rPr>
                <w:sz w:val="20"/>
                <w:szCs w:val="20"/>
              </w:rPr>
              <w:t xml:space="preserve">ARR</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$1.8M</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$7.2M</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$21.6M</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$28M</w:t>
            </w:r>
          </w:p>
        </w:tc>
      </w:tr>
      <w:tr>
        <w:tc>
          <w:tcPr>
            <w:tcW w:type="dxa" w:w="1872"/>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Customers</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15</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52</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145</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180+</w:t>
            </w:r>
          </w:p>
        </w:tc>
      </w:tr>
      <w:tr>
        <w:tc>
          <w:tcPr>
            <w:tcW w:type="dxa" w:w="1872"/>
            <w:tcBorders>
              <w:top w:val="single" w:color="CCCCCC" w:sz="1"/>
              <w:left w:val="single" w:color="CCCCCC" w:sz="1"/>
              <w:bottom w:val="single" w:color="CCCCCC" w:sz="1"/>
              <w:right w:val="single" w:color="CCCCCC" w:sz="1"/>
            </w:tcBorders>
          </w:tcPr>
          <w:p>
            <w:pPr>
              <w:jc w:val="left"/>
            </w:pPr>
            <w:r>
              <w:rPr>
                <w:sz w:val="20"/>
                <w:szCs w:val="20"/>
              </w:rPr>
              <w:t xml:space="preserve">ACV</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$72K</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$85K</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$95K</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$100K+</w:t>
            </w:r>
          </w:p>
        </w:tc>
      </w:tr>
      <w:tr>
        <w:tc>
          <w:tcPr>
            <w:tcW w:type="dxa" w:w="1872"/>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NRR</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115%</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125%</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130%</w:t>
            </w:r>
          </w:p>
        </w:tc>
        <w:tc>
          <w:tcPr>
            <w:tcW w:type="dxa" w:w="1872"/>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135%</w:t>
            </w:r>
          </w:p>
        </w:tc>
      </w:tr>
      <w:tr>
        <w:tc>
          <w:tcPr>
            <w:tcW w:type="dxa" w:w="1872"/>
            <w:tcBorders>
              <w:top w:val="single" w:color="CCCCCC" w:sz="1"/>
              <w:left w:val="single" w:color="CCCCCC" w:sz="1"/>
              <w:bottom w:val="single" w:color="CCCCCC" w:sz="1"/>
              <w:right w:val="single" w:color="CCCCCC" w:sz="1"/>
            </w:tcBorders>
          </w:tcPr>
          <w:p>
            <w:pPr>
              <w:jc w:val="left"/>
            </w:pPr>
            <w:r>
              <w:rPr>
                <w:sz w:val="20"/>
                <w:szCs w:val="20"/>
              </w:rPr>
              <w:t xml:space="preserve">Gross Margin</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72%</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78%</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82%</w:t>
            </w:r>
          </w:p>
        </w:tc>
        <w:tc>
          <w:tcPr>
            <w:tcW w:type="dxa" w:w="1872"/>
            <w:tcBorders>
              <w:top w:val="single" w:color="CCCCCC" w:sz="1"/>
              <w:left w:val="single" w:color="CCCCCC" w:sz="1"/>
              <w:bottom w:val="single" w:color="CCCCCC" w:sz="1"/>
              <w:right w:val="single" w:color="CCCCCC" w:sz="1"/>
            </w:tcBorders>
          </w:tcPr>
          <w:p>
            <w:pPr>
              <w:jc w:val="right"/>
            </w:pPr>
            <w:r>
              <w:rPr>
                <w:sz w:val="20"/>
                <w:szCs w:val="20"/>
              </w:rPr>
              <w:t xml:space="preserve">85%</w:t>
            </w:r>
          </w:p>
        </w:tc>
      </w:tr>
    </w:tbl>
    <w:p>
      <w:pPr>
        <w:pStyle w:val="Heading2"/>
        <w:spacing w:before="400"/>
      </w:pPr>
      <w:r>
        <w:t xml:space="preserve">Unit Economics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Target</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Customer Acquisition Cost (CAC)</w:t>
            </w:r>
          </w:p>
        </w:tc>
        <w:tc>
          <w:tcPr>
            <w:tcW w:type="dxa" w:w="4680"/>
            <w:tcBorders>
              <w:top w:val="single" w:color="CCCCCC" w:sz="1"/>
              <w:left w:val="single" w:color="CCCCCC" w:sz="1"/>
              <w:bottom w:val="single" w:color="CCCCCC" w:sz="1"/>
              <w:right w:val="single" w:color="CCCCCC" w:sz="1"/>
            </w:tcBorders>
          </w:tcPr>
          <w:p>
            <w:pPr>
              <w:jc w:val="right"/>
            </w:pPr>
            <w:r>
              <w:rPr>
                <w:sz w:val="20"/>
                <w:szCs w:val="20"/>
              </w:rPr>
              <w:t xml:space="preserve">$45,000</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Annual Contract Value (ACV)</w:t>
            </w:r>
          </w:p>
        </w:tc>
        <w:tc>
          <w:tcPr>
            <w:tcW w:type="dxa" w:w="468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$85,000</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Lifetime Value (LTV)</w:t>
            </w:r>
          </w:p>
        </w:tc>
        <w:tc>
          <w:tcPr>
            <w:tcW w:type="dxa" w:w="4680"/>
            <w:tcBorders>
              <w:top w:val="single" w:color="CCCCCC" w:sz="1"/>
              <w:left w:val="single" w:color="CCCCCC" w:sz="1"/>
              <w:bottom w:val="single" w:color="CCCCCC" w:sz="1"/>
              <w:right w:val="single" w:color="CCCCCC" w:sz="1"/>
            </w:tcBorders>
          </w:tcPr>
          <w:p>
            <w:pPr>
              <w:jc w:val="right"/>
            </w:pPr>
            <w:r>
              <w:rPr>
                <w:sz w:val="20"/>
                <w:szCs w:val="20"/>
              </w:rPr>
              <w:t xml:space="preserve">$340,000</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LTV:CAC Ratio</w:t>
            </w:r>
          </w:p>
        </w:tc>
        <w:tc>
          <w:tcPr>
            <w:tcW w:type="dxa" w:w="468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7.6x</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CAC Payback</w:t>
            </w:r>
          </w:p>
        </w:tc>
        <w:tc>
          <w:tcPr>
            <w:tcW w:type="dxa" w:w="4680"/>
            <w:tcBorders>
              <w:top w:val="single" w:color="CCCCCC" w:sz="1"/>
              <w:left w:val="single" w:color="CCCCCC" w:sz="1"/>
              <w:bottom w:val="single" w:color="CCCCCC" w:sz="1"/>
              <w:right w:val="single" w:color="CCCCCC" w:sz="1"/>
            </w:tcBorders>
          </w:tcPr>
          <w:p>
            <w:pPr>
              <w:jc w:val="right"/>
            </w:pPr>
            <w:r>
              <w:rPr>
                <w:sz w:val="20"/>
                <w:szCs w:val="20"/>
              </w:rPr>
              <w:t xml:space="preserve">18 months</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Annual Churn</w:t>
            </w:r>
          </w:p>
        </w:tc>
        <w:tc>
          <w:tcPr>
            <w:tcW w:type="dxa" w:w="468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&lt;5%</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Magic Number</w:t>
            </w:r>
          </w:p>
        </w:tc>
        <w:tc>
          <w:tcPr>
            <w:tcW w:type="dxa" w:w="4680"/>
            <w:tcBorders>
              <w:top w:val="single" w:color="CCCCCC" w:sz="1"/>
              <w:left w:val="single" w:color="CCCCCC" w:sz="1"/>
              <w:bottom w:val="single" w:color="CCCCCC" w:sz="1"/>
              <w:right w:val="single" w:color="CCCCCC" w:sz="1"/>
            </w:tcBorders>
          </w:tcPr>
          <w:p>
            <w:pPr>
              <w:jc w:val="right"/>
            </w:pPr>
            <w:r>
              <w:rPr>
                <w:sz w:val="20"/>
                <w:szCs w:val="20"/>
              </w:rPr>
              <w:t xml:space="preserve">1.2</w:t>
            </w:r>
          </w:p>
        </w:tc>
      </w:tr>
    </w:tbl>
    <w:p>
      <w:r>
        <w:br w:type="page"/>
      </w:r>
    </w:p>
    <w:p>
      <w:pPr>
        <w:pStyle w:val="Heading1"/>
      </w:pPr>
      <w:r>
        <w:t xml:space="preserve">Competitive Positioning</w:t>
      </w:r>
    </w:p>
    <w:p>
      <w:r>
        <w:t xml:space="preserve">AgentGuard operates at the intersection of AI security, GRC compliance, and LLM observability—a unique position that existing players cannot easily replicate.</w:t>
      </w:r>
    </w:p>
    <w:p>
      <w:pPr>
        <w:pStyle w:val="Heading2"/>
      </w:pPr>
      <w:r>
        <w:t xml:space="preserve">Competitive Matrix</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638"/>
        <w:gridCol w:w="1638"/>
        <w:gridCol w:w="1638"/>
        <w:gridCol w:w="1638"/>
      </w:tblGrid>
      <w:tr>
        <w:trPr>
          <w:tblHeader/>
        </w:trPr>
        <w:tc>
          <w:tcPr>
            <w:tcW w:type="dxa" w:w="2808"/>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Capability</w:t>
            </w:r>
          </w:p>
        </w:tc>
        <w:tc>
          <w:tcPr>
            <w:tcW w:type="dxa" w:w="1638"/>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Lakera</w:t>
            </w:r>
          </w:p>
        </w:tc>
        <w:tc>
          <w:tcPr>
            <w:tcW w:type="dxa" w:w="1638"/>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LangSmith</w:t>
            </w:r>
          </w:p>
        </w:tc>
        <w:tc>
          <w:tcPr>
            <w:tcW w:type="dxa" w:w="1638"/>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Arize</w:t>
            </w:r>
          </w:p>
        </w:tc>
        <w:tc>
          <w:tcPr>
            <w:tcW w:type="dxa" w:w="1638"/>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AgentGuard</w:t>
            </w:r>
          </w:p>
        </w:tc>
      </w:tr>
      <w:tr>
        <w:tc>
          <w:tcPr>
            <w:tcW w:type="dxa" w:w="2808"/>
            <w:tcBorders>
              <w:top w:val="single" w:color="CCCCCC" w:sz="1"/>
              <w:left w:val="single" w:color="CCCCCC" w:sz="1"/>
              <w:bottom w:val="single" w:color="CCCCCC" w:sz="1"/>
              <w:right w:val="single" w:color="CCCCCC" w:sz="1"/>
            </w:tcBorders>
          </w:tcPr>
          <w:p>
            <w:pPr>
              <w:jc w:val="left"/>
            </w:pPr>
            <w:r>
              <w:rPr>
                <w:sz w:val="20"/>
                <w:szCs w:val="20"/>
              </w:rPr>
              <w:t xml:space="preserve">NIST AI RMF Crosswalk</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r>
      <w:tr>
        <w:tc>
          <w:tcPr>
            <w:tcW w:type="dxa" w:w="2808"/>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Tool Access Policies</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Partial</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sz w:val="20"/>
                <w:szCs w:val="20"/>
              </w:rPr>
              <w:t xml:space="preserve">Data Flow Governance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r>
      <w:tr>
        <w:tc>
          <w:tcPr>
            <w:tcW w:type="dxa" w:w="2808"/>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Human-in-the-Loop Gates</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sz w:val="20"/>
                <w:szCs w:val="20"/>
              </w:rPr>
              <w:t xml:space="preserve">Agent Threat Modeling</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Partial</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r>
      <w:tr>
        <w:tc>
          <w:tcPr>
            <w:tcW w:type="dxa" w:w="2808"/>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LLM Observability</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r>
      <w:tr>
        <w:tc>
          <w:tcPr>
            <w:tcW w:type="dxa" w:w="2808"/>
            <w:tcBorders>
              <w:top w:val="single" w:color="CCCCCC" w:sz="1"/>
              <w:left w:val="single" w:color="CCCCCC" w:sz="1"/>
              <w:bottom w:val="single" w:color="CCCCCC" w:sz="1"/>
              <w:right w:val="single" w:color="CCCCCC" w:sz="1"/>
            </w:tcBorders>
          </w:tcPr>
          <w:p>
            <w:pPr>
              <w:jc w:val="left"/>
            </w:pPr>
            <w:r>
              <w:rPr>
                <w:sz w:val="20"/>
                <w:szCs w:val="20"/>
              </w:rPr>
              <w:t xml:space="preserve">Content Safety</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Partial</w:t>
            </w:r>
          </w:p>
        </w:tc>
        <w:tc>
          <w:tcPr>
            <w:tcW w:type="dxa" w:w="1638"/>
            <w:tcBorders>
              <w:top w:val="single" w:color="CCCCCC" w:sz="1"/>
              <w:left w:val="single" w:color="CCCCCC" w:sz="1"/>
              <w:bottom w:val="single" w:color="CCCCCC" w:sz="1"/>
              <w:right w:val="single" w:color="CCCCCC" w:sz="1"/>
            </w:tcBorders>
          </w:tcPr>
          <w:p>
            <w:pPr>
              <w:jc w:val="center"/>
            </w:pPr>
            <w:r>
              <w:rPr>
                <w:sz w:val="20"/>
                <w:szCs w:val="20"/>
              </w:rPr>
              <w:t xml:space="preserve">✓</w:t>
            </w:r>
          </w:p>
        </w:tc>
      </w:tr>
      <w:tr>
        <w:tc>
          <w:tcPr>
            <w:tcW w:type="dxa" w:w="2808"/>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FedRAMP Ready</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c>
          <w:tcPr>
            <w:tcW w:type="dxa" w:w="1638"/>
            <w:tcBorders>
              <w:top w:val="single" w:color="CCCCCC" w:sz="1"/>
              <w:left w:val="single" w:color="CCCCCC" w:sz="1"/>
              <w:bottom w:val="single" w:color="CCCCCC" w:sz="1"/>
              <w:right w:val="single" w:color="CCCCCC" w:sz="1"/>
            </w:tcBorders>
            <w:shd w:fill="f0f4f8" w:val="clear"/>
          </w:tcPr>
          <w:p>
            <w:pPr>
              <w:jc w:val="center"/>
            </w:pPr>
            <w:r>
              <w:rPr>
                <w:sz w:val="20"/>
                <w:szCs w:val="20"/>
              </w:rPr>
              <w:t xml:space="preserve">✓</w:t>
            </w:r>
          </w:p>
        </w:tc>
      </w:tr>
    </w:tbl>
    <w:p>
      <w:pPr>
        <w:pStyle w:val="Heading2"/>
        <w:spacing w:before="400"/>
      </w:pPr>
      <w:r>
        <w:t xml:space="preserve">Sustainable Moats</w:t>
      </w:r>
    </w:p>
    <w:p>
      <w:pPr>
        <w:pStyle w:val="ListParagraph"/>
        <w:numPr>
          <w:ilvl w:val="0"/>
          <w:numId w:val="4"/>
        </w:numPr>
      </w:pPr>
      <w:r>
        <w:rPr>
          <w:b/>
          <w:bCs/>
        </w:rPr>
        <w:t xml:space="preserve">Compliance IP: </w:t>
      </w:r>
      <w:r>
        <w:t xml:space="preserve">Only vendor with complete NIST AI RMF to 800-53 control mapping</w:t>
      </w:r>
    </w:p>
    <w:p>
      <w:pPr>
        <w:pStyle w:val="ListParagraph"/>
        <w:numPr>
          <w:ilvl w:val="0"/>
          <w:numId w:val="4"/>
        </w:numPr>
      </w:pPr>
      <w:r>
        <w:rPr>
          <w:b/>
          <w:bCs/>
        </w:rPr>
        <w:t xml:space="preserve">Agent-Native Architecture: </w:t>
      </w:r>
      <w:r>
        <w:t xml:space="preserve">Built for autonomous agents, not retrofitted from LLM guardrails</w:t>
      </w:r>
    </w:p>
    <w:p>
      <w:pPr>
        <w:pStyle w:val="ListParagraph"/>
        <w:numPr>
          <w:ilvl w:val="0"/>
          <w:numId w:val="4"/>
        </w:numPr>
      </w:pPr>
      <w:r>
        <w:rPr>
          <w:b/>
          <w:bCs/>
        </w:rPr>
        <w:t xml:space="preserve">FedRAMP Head Start: </w:t>
      </w:r>
      <w:r>
        <w:t xml:space="preserve">18-24 month lead time for federal market access</w:t>
      </w:r>
    </w:p>
    <w:p>
      <w:pPr>
        <w:pStyle w:val="ListParagraph"/>
        <w:numPr>
          <w:ilvl w:val="0"/>
          <w:numId w:val="4"/>
        </w:numPr>
      </w:pPr>
      <w:r>
        <w:rPr>
          <w:b/>
          <w:bCs/>
        </w:rPr>
        <w:t xml:space="preserve">Data Network Effects: </w:t>
      </w:r>
      <w:r>
        <w:t xml:space="preserve">Threat intelligence improves with scale across customer base</w:t>
      </w:r>
    </w:p>
    <w:p>
      <w:r>
        <w:br w:type="page"/>
      </w:r>
    </w:p>
    <w:p>
      <w:pPr>
        <w:pStyle w:val="Heading1"/>
      </w:pPr>
      <w:r>
        <w:t xml:space="preserve">Valuation Model</w:t>
      </w:r>
    </w:p>
    <w:p>
      <w:pPr>
        <w:pStyle w:val="Heading2"/>
      </w:pPr>
      <w:r>
        <w:t xml:space="preserve">Series A Terms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Term</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Raise Amount</w:t>
            </w:r>
          </w:p>
        </w:tc>
        <w:tc>
          <w:tcPr>
            <w:tcW w:type="dxa" w:w="4680"/>
            <w:tcBorders>
              <w:top w:val="single" w:color="CCCCCC" w:sz="1"/>
              <w:left w:val="single" w:color="CCCCCC" w:sz="1"/>
              <w:bottom w:val="single" w:color="CCCCCC" w:sz="1"/>
              <w:right w:val="single" w:color="CCCCCC" w:sz="1"/>
            </w:tcBorders>
          </w:tcPr>
          <w:p>
            <w:pPr>
              <w:jc w:val="right"/>
            </w:pPr>
            <w:r>
              <w:rPr>
                <w:sz w:val="20"/>
                <w:szCs w:val="20"/>
              </w:rPr>
              <w:t xml:space="preserve">$12,000,000</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Pre-Money Valuation</w:t>
            </w:r>
          </w:p>
        </w:tc>
        <w:tc>
          <w:tcPr>
            <w:tcW w:type="dxa" w:w="468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$48,000,000</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Post-Money Valuation</w:t>
            </w:r>
          </w:p>
        </w:tc>
        <w:tc>
          <w:tcPr>
            <w:tcW w:type="dxa" w:w="4680"/>
            <w:tcBorders>
              <w:top w:val="single" w:color="CCCCCC" w:sz="1"/>
              <w:left w:val="single" w:color="CCCCCC" w:sz="1"/>
              <w:bottom w:val="single" w:color="CCCCCC" w:sz="1"/>
              <w:right w:val="single" w:color="CCCCCC" w:sz="1"/>
            </w:tcBorders>
          </w:tcPr>
          <w:p>
            <w:pPr>
              <w:jc w:val="right"/>
            </w:pPr>
            <w:r>
              <w:rPr>
                <w:sz w:val="20"/>
                <w:szCs w:val="20"/>
              </w:rPr>
              <w:t xml:space="preserve">$60,000,000</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Investor Ownership</w:t>
            </w:r>
          </w:p>
        </w:tc>
        <w:tc>
          <w:tcPr>
            <w:tcW w:type="dxa" w:w="468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20.0%</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Implied ARR Multiple (at Y1 exit)</w:t>
            </w:r>
          </w:p>
        </w:tc>
        <w:tc>
          <w:tcPr>
            <w:tcW w:type="dxa" w:w="4680"/>
            <w:tcBorders>
              <w:top w:val="single" w:color="CCCCCC" w:sz="1"/>
              <w:left w:val="single" w:color="CCCCCC" w:sz="1"/>
              <w:bottom w:val="single" w:color="CCCCCC" w:sz="1"/>
              <w:right w:val="single" w:color="CCCCCC" w:sz="1"/>
            </w:tcBorders>
          </w:tcPr>
          <w:p>
            <w:pPr>
              <w:jc w:val="right"/>
            </w:pPr>
            <w:r>
              <w:rPr>
                <w:sz w:val="20"/>
                <w:szCs w:val="20"/>
              </w:rPr>
              <w:t xml:space="preserve">26.7x</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Option Pool Increase</w:t>
            </w:r>
          </w:p>
        </w:tc>
        <w:tc>
          <w:tcPr>
            <w:tcW w:type="dxa" w:w="468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10%</w:t>
            </w:r>
          </w:p>
        </w:tc>
      </w:tr>
    </w:tbl>
    <w:p>
      <w:pPr>
        <w:pStyle w:val="Heading2"/>
        <w:spacing w:before="400"/>
      </w:pPr>
      <w:r>
        <w:t xml:space="preserve">Use of Funds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Amount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 of Raise</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Engineering &amp; Product</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$5,400,000</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45%</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Sales &amp; Marketing</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$3,600,000</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30%</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FedRAMP Certification</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$1,200,000</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10%</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G&amp;A / Operations</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$1,080,000</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9%</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Working Capital Reserve</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$720,000</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6%</w:t>
            </w:r>
          </w:p>
        </w:tc>
      </w:tr>
    </w:tbl>
    <w:p>
      <w:pPr>
        <w:pStyle w:val="Heading2"/>
        <w:spacing w:before="400"/>
      </w:pPr>
      <w:r>
        <w:t xml:space="preserve">Exit Scenarios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Scenario</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Y3 ARR</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Exit Multiple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Exit Value</w:t>
            </w:r>
          </w:p>
        </w:tc>
      </w:tr>
      <w:tr>
        <w:tc>
          <w:tcPr>
            <w:tcW w:type="dxa" w:w="2340"/>
            <w:tcBorders>
              <w:top w:val="single" w:color="CCCCCC" w:sz="1"/>
              <w:left w:val="single" w:color="CCCCCC" w:sz="1"/>
              <w:bottom w:val="single" w:color="CCCCCC" w:sz="1"/>
              <w:right w:val="single" w:color="CCCCCC" w:sz="1"/>
            </w:tcBorders>
          </w:tcPr>
          <w:p>
            <w:pPr>
              <w:jc w:val="left"/>
            </w:pPr>
            <w:r>
              <w:rPr>
                <w:sz w:val="20"/>
                <w:szCs w:val="20"/>
              </w:rPr>
              <w:t xml:space="preserve">Base Case</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$21.6M</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12x ARR</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$259M</w:t>
            </w:r>
          </w:p>
        </w:tc>
      </w:tr>
      <w:tr>
        <w:tc>
          <w:tcPr>
            <w:tcW w:type="dxa" w:w="234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Bull Case</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$28M</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15x ARR</w:t>
            </w:r>
          </w:p>
        </w:tc>
        <w:tc>
          <w:tcPr>
            <w:tcW w:type="dxa" w:w="2340"/>
            <w:tcBorders>
              <w:top w:val="single" w:color="CCCCCC" w:sz="1"/>
              <w:left w:val="single" w:color="CCCCCC" w:sz="1"/>
              <w:bottom w:val="single" w:color="CCCCCC" w:sz="1"/>
              <w:right w:val="single" w:color="CCCCCC" w:sz="1"/>
            </w:tcBorders>
            <w:shd w:fill="f0f4f8" w:val="clear"/>
          </w:tcPr>
          <w:p>
            <w:pPr>
              <w:jc w:val="right"/>
            </w:pPr>
            <w:r>
              <w:rPr>
                <w:sz w:val="20"/>
                <w:szCs w:val="20"/>
              </w:rPr>
              <w:t xml:space="preserve">$420M</w:t>
            </w:r>
          </w:p>
        </w:tc>
      </w:tr>
      <w:tr>
        <w:tc>
          <w:tcPr>
            <w:tcW w:type="dxa" w:w="2340"/>
            <w:tcBorders>
              <w:top w:val="single" w:color="CCCCCC" w:sz="1"/>
              <w:left w:val="single" w:color="CCCCCC" w:sz="1"/>
              <w:bottom w:val="single" w:color="CCCCCC" w:sz="1"/>
              <w:right w:val="single" w:color="CCCCCC" w:sz="1"/>
            </w:tcBorders>
          </w:tcPr>
          <w:p>
            <w:pPr>
              <w:jc w:val="left"/>
            </w:pPr>
            <w:r>
              <w:rPr>
                <w:sz w:val="20"/>
                <w:szCs w:val="20"/>
              </w:rPr>
              <w:t xml:space="preserve">Bear Case</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$14M</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8x ARR</w:t>
            </w:r>
          </w:p>
        </w:tc>
        <w:tc>
          <w:tcPr>
            <w:tcW w:type="dxa" w:w="2340"/>
            <w:tcBorders>
              <w:top w:val="single" w:color="CCCCCC" w:sz="1"/>
              <w:left w:val="single" w:color="CCCCCC" w:sz="1"/>
              <w:bottom w:val="single" w:color="CCCCCC" w:sz="1"/>
              <w:right w:val="single" w:color="CCCCCC" w:sz="1"/>
            </w:tcBorders>
          </w:tcPr>
          <w:p>
            <w:pPr>
              <w:jc w:val="right"/>
            </w:pPr>
            <w:r>
              <w:rPr>
                <w:sz w:val="20"/>
                <w:szCs w:val="20"/>
              </w:rPr>
              <w:t xml:space="preserve">$112M</w:t>
            </w:r>
          </w:p>
        </w:tc>
      </w:tr>
    </w:tbl>
    <w:p>
      <w:pPr>
        <w:pStyle w:val="Heading3"/>
        <w:spacing w:before="300"/>
      </w:pPr>
      <w:r>
        <w:t xml:space="preserve">Return Analysis (Base Case)</w:t>
      </w:r>
    </w:p>
    <w:p>
      <w:r>
        <w:t xml:space="preserve">At 20% ownership and $259M exit value, Series A investors would receive $51.8M—a 4.3x return on $12M invested over 36 months (62% IRR).</w:t>
      </w:r>
    </w:p>
    <w:p>
      <w:r>
        <w:br w:type="page"/>
      </w:r>
    </w:p>
    <w:p>
      <w:pPr>
        <w:pStyle w:val="Heading1"/>
      </w:pPr>
      <w:r>
        <w:t xml:space="preserve">Investment Thesis</w:t>
      </w:r>
    </w:p>
    <w:p>
      <w:pPr>
        <w:pStyle w:val="Heading2"/>
      </w:pPr>
      <w:r>
        <w:t xml:space="preserve">Why Now</w:t>
      </w:r>
    </w:p>
    <w:p>
      <w:r>
        <w:t xml:space="preserve">The agentic AI security market is at an inflection point. Enterprise adoption is accelerating while security controls remain nascent. Regulatory frameworks (NIST AI RMF, EU AI Act) are creating compliance mandates that existing vendors cannot address. AgentGuard is positioned to capture this market at the precise moment demand crystallizes.</w:t>
      </w:r>
    </w:p>
    <w:p>
      <w:pPr>
        <w:pStyle w:val="Heading2"/>
      </w:pPr>
      <w:r>
        <w:t xml:space="preserve">Why AgentGuard</w:t>
      </w:r>
    </w:p>
    <w:p>
      <w:pPr>
        <w:pStyle w:val="ListParagraph"/>
        <w:numPr>
          <w:ilvl w:val="0"/>
          <w:numId w:val="2"/>
        </w:numPr>
      </w:pPr>
      <w:r>
        <w:rPr>
          <w:b/>
          <w:bCs/>
        </w:rPr>
        <w:t xml:space="preserve">Technical Differentiation: </w:t>
      </w:r>
      <w:r>
        <w:t xml:space="preserve">Agent-native architecture with unified governance, observability, and enforcement</w:t>
      </w:r>
    </w:p>
    <w:p>
      <w:pPr>
        <w:pStyle w:val="ListParagraph"/>
        <w:numPr>
          <w:ilvl w:val="0"/>
          <w:numId w:val="2"/>
        </w:numPr>
      </w:pPr>
      <w:r>
        <w:rPr>
          <w:b/>
          <w:bCs/>
        </w:rPr>
        <w:t xml:space="preserve">Compliance Moat: </w:t>
      </w:r>
      <w:r>
        <w:t xml:space="preserve">Only vendor with complete NIST AI RMF to NIST 800-53 control crosswalk</w:t>
      </w:r>
    </w:p>
    <w:p>
      <w:pPr>
        <w:pStyle w:val="ListParagraph"/>
        <w:numPr>
          <w:ilvl w:val="0"/>
          <w:numId w:val="2"/>
        </w:numPr>
      </w:pPr>
      <w:r>
        <w:rPr>
          <w:b/>
          <w:bCs/>
        </w:rPr>
        <w:t xml:space="preserve">Federal Opportunity: </w:t>
      </w:r>
      <w:r>
        <w:t xml:space="preserve">FedRAMP-ready architecture targeting $890M government market</w:t>
      </w:r>
    </w:p>
    <w:p>
      <w:pPr>
        <w:pStyle w:val="ListParagraph"/>
        <w:numPr>
          <w:ilvl w:val="0"/>
          <w:numId w:val="2"/>
        </w:numPr>
      </w:pPr>
      <w:r>
        <w:rPr>
          <w:b/>
          <w:bCs/>
        </w:rPr>
        <w:t xml:space="preserve">Enterprise DNA: </w:t>
      </w:r>
      <w:r>
        <w:t xml:space="preserve">Team with deep security, compliance, and enterprise SaaS experience</w:t>
      </w:r>
    </w:p>
    <w:p>
      <w:pPr>
        <w:pStyle w:val="Heading2"/>
      </w:pPr>
      <w:r>
        <w:t xml:space="preserve">Key Risks &amp; Mitigations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Risk</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Mitigation</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Market timing (agentic AI adoption)</w:t>
            </w:r>
          </w:p>
        </w:tc>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Multi-modal product supports current LLM + future agent workloads</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Platform vendor competition (AWS, Azure)</w:t>
            </w:r>
          </w:p>
        </w:tc>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Multi-cloud neutrality; deeper compliance expertise than platform teams</w:t>
            </w:r>
          </w:p>
        </w:tc>
      </w:tr>
      <w:tr>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FedRAMP timeline uncertainty</w:t>
            </w:r>
          </w:p>
        </w:tc>
        <w:tc>
          <w:tcPr>
            <w:tcW w:type="dxa" w:w="4680"/>
            <w:tcBorders>
              <w:top w:val="single" w:color="CCCCCC" w:sz="1"/>
              <w:left w:val="single" w:color="CCCCCC" w:sz="1"/>
              <w:bottom w:val="single" w:color="CCCCCC" w:sz="1"/>
              <w:right w:val="single" w:color="CCCCCC" w:sz="1"/>
            </w:tcBorders>
          </w:tcPr>
          <w:p>
            <w:pPr>
              <w:jc w:val="left"/>
            </w:pPr>
            <w:r>
              <w:rPr>
                <w:sz w:val="20"/>
                <w:szCs w:val="20"/>
              </w:rPr>
              <w:t xml:space="preserve">Commercial traction funds operations during 18-24 month certification</w:t>
            </w:r>
          </w:p>
        </w:tc>
      </w:tr>
      <w:tr>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Team scaling in competitive market</w:t>
            </w:r>
          </w:p>
        </w:tc>
        <w:tc>
          <w:tcPr>
            <w:tcW w:type="dxa" w:w="4680"/>
            <w:tcBorders>
              <w:top w:val="single" w:color="CCCCCC" w:sz="1"/>
              <w:left w:val="single" w:color="CCCCCC" w:sz="1"/>
              <w:bottom w:val="single" w:color="CCCCCC" w:sz="1"/>
              <w:right w:val="single" w:color="CCCCCC" w:sz="1"/>
            </w:tcBorders>
            <w:shd w:fill="f0f4f8" w:val="clear"/>
          </w:tcPr>
          <w:p>
            <w:pPr>
              <w:jc w:val="left"/>
            </w:pPr>
            <w:r>
              <w:rPr>
                <w:sz w:val="20"/>
                <w:szCs w:val="20"/>
              </w:rPr>
              <w:t xml:space="preserve">Remote-first culture; equity compensation; mission-driven positioning</w:t>
            </w:r>
          </w:p>
        </w:tc>
      </w:tr>
    </w:tbl>
    <w:p>
      <w:pPr>
        <w:pStyle w:val="Heading2"/>
        <w:spacing w:before="400"/>
      </w:pPr>
      <w:r>
        <w:t xml:space="preserve">Conclusion</w:t>
      </w:r>
    </w:p>
    <w:p>
      <w:r>
        <w:t xml:space="preserve">AgentGuard represents a compelling Series A opportunity in the rapidly emerging AI security governance market. With differentiated technology, clear regulatory tailwinds, and a capital-efficient go-to-market strategy, the company is positioned to achieve market leadership and deliver strong investor returns.</w:t>
      </w:r>
    </w:p>
    <w:p>
      <w:pPr>
        <w:spacing w:before="400"/>
        <w:jc w:val="center"/>
      </w:pPr>
      <w:r>
        <w:rPr>
          <w:b/>
          <w:bCs/>
        </w:rPr>
        <w:t xml:space="preserve">Contact: </w:t>
      </w:r>
      <w:r>
        <w:t xml:space="preserve">founders@agentguard.ai</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AgentGuard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40"/>
      <w:jc w:val="center"/>
    </w:pPr>
    <w:rPr>
      <w:rFonts w:ascii="Georgia" w:cs="Georgia" w:eastAsia="Georgia" w:hAnsi="Georgia"/>
      <w:b/>
      <w:bCs/>
      <w:color w:val="1a365d"/>
      <w:sz w:val="48"/>
      <w:szCs w:val="48"/>
    </w:rPr>
  </w:style>
  <w:style w:type="paragraph" w:styleId="Heading1">
    <w:name w:val="Heading 1"/>
    <w:basedOn w:val="Normal"/>
    <w:next w:val="Normal"/>
    <w:qFormat/>
    <w:pPr>
      <w:spacing w:before="360" w:after="180"/>
      <w:outlineLvl w:val="0"/>
    </w:pPr>
    <w:rPr>
      <w:rFonts w:ascii="Georgia" w:cs="Georgia" w:eastAsia="Georgia" w:hAnsi="Georgia"/>
      <w:b/>
      <w:bCs/>
      <w:color w:val="1a365d"/>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2d5a87"/>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d7db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2026-01-04T00:57:43.541Z</dcterms:created>
  <dcterms:modified xsi:type="dcterms:W3CDTF">2026-01-04T00:57:43.542Z</dcterms:modified>
</cp:coreProperties>
</file>

<file path=docProps/custom.xml><?xml version="1.0" encoding="utf-8"?>
<Properties xmlns="http://schemas.openxmlformats.org/officeDocument/2006/custom-properties" xmlns:vt="http://schemas.openxmlformats.org/officeDocument/2006/docPropsVTypes"/>
</file>