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GCP Workload Identity Federation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4a5568"/>
          <w:sz w:val="24"/>
          <w:szCs w:val="24"/>
        </w:rPr>
        <w:t xml:space="preserve">HAEA Cloud Security Automation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December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GCP Team</w:t>
            </w:r>
          </w:p>
        </w:tc>
      </w:tr>
    </w:tbl>
    <w:p>
      <w:pPr>
        <w:pStyle w:val="Heading1"/>
      </w:pPr>
      <w:r>
        <w:t xml:space="preserve">1. Overview</w:t>
      </w:r>
    </w:p>
    <w:p>
      <w:r>
        <w:rPr>
          <w:rFonts w:ascii="Georgia" w:cs="Georgia" w:eastAsia="Georgia" w:hAnsi="Georgia"/>
        </w:rPr>
        <w:t xml:space="preserve">This document describes the GCP Workload Identity Federation (WIF) configuration required for the Cross-Cloud CSPM Automation Platform. WIF allows Azure Container Instance to authenticate to GCP without storing service account keys.</w:t>
      </w:r>
    </w:p>
    <w:p>
      <w:pPr>
        <w:pStyle w:val="Heading1"/>
      </w:pPr>
      <w:r>
        <w:t xml:space="preserve">2. Account Context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GCP Organization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Security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prj-haea-security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Service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sa-cspm-automation@prj-haea-security.iam.gserviceaccount.com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WIF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haea-azure-federation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WIF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azure-oidc</w:t>
            </w:r>
          </w:p>
        </w:tc>
      </w:tr>
    </w:tbl>
    <w:p>
      <w:pPr>
        <w:pStyle w:val="Heading1"/>
      </w:pPr>
      <w:r>
        <w:t xml:space="preserve">3. How WIF Works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Azure Container Instance requests token from Azure AD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Token presented to GCP STS (token exchange)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GCP validates token against WIF provider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GCP issues short-lived credentials for service account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Access Security Command Center API</w:t>
      </w:r>
    </w:p>
    <w:p>
      <w:pPr>
        <w:pStyle w:val="Heading2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No service account keys to manage or rotate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Short-lived credentials (1 hour default)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Audit trail of all token exchanges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Centralized identity in Azure AD</w:t>
      </w:r>
    </w:p>
    <w:p>
      <w:pPr>
        <w:pStyle w:val="Heading1"/>
      </w:pPr>
      <w:r>
        <w:t xml:space="preserve">4. Service Account Permissions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Security Center Findings 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Read SCC findings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Security Center Sources 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Read SCC sources</w:t>
            </w:r>
          </w:p>
        </w:tc>
      </w:tr>
    </w:tbl>
    <w:p>
      <w:pPr>
        <w:pStyle w:val="Heading1"/>
      </w:pPr>
      <w:r>
        <w:t xml:space="preserve">5. Provisioning Checklist</w:t>
      </w:r>
    </w:p>
    <w:p>
      <w:pPr>
        <w:pStyle w:val="Heading2"/>
      </w:pPr>
      <w:r>
        <w:t xml:space="preserve">5.1 Service Account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Create service account sa-cspm-automation (or use existing)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Note service account email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Grant securitycenter.findingsViewer at org level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Grant securitycenter.sourcesViewer at org level</w:t>
      </w:r>
    </w:p>
    <w:p>
      <w:pPr>
        <w:pStyle w:val="Heading2"/>
      </w:pPr>
      <w:r>
        <w:t xml:space="preserve">5.2 Workload Identity Pool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Create WIF pool haea-azure-federation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Note pool ID and project number</w:t>
      </w:r>
    </w:p>
    <w:p>
      <w:pPr>
        <w:pStyle w:val="Heading2"/>
      </w:pPr>
      <w:r>
        <w:t xml:space="preserve">5.3 WIF Provider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Get Application ID URI from AD team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Create OIDC provider azure-oidc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Configure issuer URI (Azure AD tenant)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Configure allowed audiences (App ID URI)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Configure attribute mapping</w:t>
      </w:r>
    </w:p>
    <w:p>
      <w:pPr>
        <w:pStyle w:val="Heading2"/>
      </w:pPr>
      <w:r>
        <w:t xml:space="preserve">5.4 IAM Binding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Grant workloadIdentityUser role to WIF pool principal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Restrict to Azure AD tenant ID attribute</w:t>
      </w:r>
    </w:p>
    <w:p>
      <w:pPr>
        <w:pStyle w:val="Heading2"/>
      </w:pPr>
      <w:r>
        <w:t xml:space="preserve">5.5 Credential Config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Generate credential configuration JSON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Provide to Security TFT for container configuration</w:t>
      </w:r>
    </w:p>
    <w:p>
      <w:pPr>
        <w:pStyle w:val="Heading2"/>
      </w:pPr>
      <w:r>
        <w:t xml:space="preserve">5.6 Validation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Test token exchange from Azure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Test SCC API access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</w:rPr>
        <w:t xml:space="preserve">Verify audit logs show WIF authentication</w:t>
      </w:r>
    </w:p>
    <w:p>
      <w:pPr>
        <w:pStyle w:val="Heading1"/>
      </w:pPr>
      <w:r>
        <w:t xml:space="preserve">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Primary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 (liem.vo-nguyen@haeaus.com)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Backup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Seungwoo Son (seungwooson@haeaus.com)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18096"/>
        <w:sz w:val="18"/>
        <w:szCs w:val="18"/>
      </w:rPr>
      <w:t xml:space="preserve">Internal | Page </w:t>
    </w:r>
    <w:r>
      <w:rPr>
        <w:rFonts w:ascii="Georgia" w:cs="Georgia" w:eastAsia="Georgia" w:hAnsi="Georgia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718096"/>
        <w:sz w:val="18"/>
        <w:szCs w:val="18"/>
      </w:rPr>
      <w:t xml:space="preserve">HAEA Information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2025-12-22T23:23:41.215Z</dcterms:created>
  <dcterms:modified xsi:type="dcterms:W3CDTF">2025-12-22T23:23:41.215Z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