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 xml:space="preserve"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rather than remote threads, etc). 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lastRenderedPageBreak/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AA2407" w:rsidRDefault="00AA2407" w:rsidP="00AA2407">
      <w:pPr>
        <w:pStyle w:val="ListParagraph"/>
        <w:numPr>
          <w:ilvl w:val="0"/>
          <w:numId w:val="1"/>
        </w:numPr>
      </w:pPr>
      <w:r>
        <w:t xml:space="preserve">Replace enable_if with less ‘brute-force’ techniques if possible, for example </w:t>
      </w:r>
      <w:hyperlink r:id="rId7" w:history="1">
        <w:r w:rsidRPr="005B0214">
          <w:rPr>
            <w:rStyle w:val="Hyperlink"/>
          </w:rPr>
          <w:t>http://goo.gl/uxnKF</w:t>
        </w:r>
      </w:hyperlink>
      <w:r>
        <w:t>.</w:t>
      </w:r>
    </w:p>
    <w:p w:rsidR="00606F94" w:rsidRDefault="00606F94" w:rsidP="00AA2407">
      <w:pPr>
        <w:pStyle w:val="ListParagraph"/>
        <w:numPr>
          <w:ilvl w:val="0"/>
          <w:numId w:val="1"/>
        </w:numPr>
      </w:pPr>
      <w:r>
        <w:t>Ensure upcasting in Call is done using unsigned types (zero extension rather than sign extension).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312" w:rsidRDefault="00B66312" w:rsidP="00E97FFC">
      <w:pPr>
        <w:spacing w:after="0" w:line="240" w:lineRule="auto"/>
      </w:pPr>
      <w:r>
        <w:separator/>
      </w:r>
    </w:p>
  </w:endnote>
  <w:endnote w:type="continuationSeparator" w:id="0">
    <w:p w:rsidR="00B66312" w:rsidRDefault="00B6631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312" w:rsidRDefault="00B66312" w:rsidP="00E97FFC">
      <w:pPr>
        <w:spacing w:after="0" w:line="240" w:lineRule="auto"/>
      </w:pPr>
      <w:r>
        <w:separator/>
      </w:r>
    </w:p>
  </w:footnote>
  <w:footnote w:type="continuationSeparator" w:id="0">
    <w:p w:rsidR="00B66312" w:rsidRDefault="00B6631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6312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xnK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184844</TotalTime>
  <Pages>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604</cp:revision>
  <cp:lastPrinted>2011-09-17T20:30:00Z</cp:lastPrinted>
  <dcterms:created xsi:type="dcterms:W3CDTF">2011-05-09T12:20:00Z</dcterms:created>
  <dcterms:modified xsi:type="dcterms:W3CDTF">2012-08-30T08:52:00Z</dcterms:modified>
</cp:coreProperties>
</file>