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</w:pPr>
      <w:r>
        <w:rPr>
          <w:rFonts w:ascii="Calibri" w:hAnsi="Calibri"/>
          <w:b/>
          <w:sz w:val="28"/>
        </w:rPr>
        <w:t>Письмо подрядчику по текстам главной</w:t>
      </w:r>
    </w:p>
    <w:p>
      <w:pPr>
        <w:spacing w:after="160" w:before="0" w:line="240" w:lineRule="auto"/>
      </w:pPr>
      <w:r>
        <w:rPr>
          <w:rFonts w:ascii="Calibri" w:hAnsi="Calibri"/>
          <w:b w:val="0"/>
          <w:sz w:val="20"/>
        </w:rPr>
        <w:t>Дата: 11.09.2026</w:t>
      </w:r>
    </w:p>
    <w:p>
      <w:pPr>
        <w:spacing w:after="160" w:before="0" w:line="240" w:lineRule="auto"/>
      </w:pPr>
      <w:r>
        <w:rPr>
          <w:rFonts w:ascii="Calibri" w:hAnsi="Calibri"/>
          <w:b w:val="0"/>
          <w:sz w:val="22"/>
        </w:rPr>
        <w:t>Добрый день! Спасибо за тексты главной — в целом они соответствуют согласованному смыслу и структуре. Ниже — правки, которые нужно внести перед фиксацией в макете.</w:t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Принять как есть (без замечаний по смыслу)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Порядок блоков и hero (юнит-экономика / B2B / поддержка от 15 мин).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Готовые интеграции → услуги → лицензии; Telegram-бот не включаем.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ТОП-10 ЦРА, 600+ клиентов, с 2015 года.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Кейсы Спектр / B2B / Электропром / Данахер; отзывы и видеоряд.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СМИ «Промышленные страницы»; форма и контакты (комната 503).</w:t>
      </w:r>
    </w:p>
    <w:p>
      <w:pPr>
        <w:spacing w:after="80" w:before="0" w:line="240" w:lineRule="auto"/>
      </w:pPr>
      <w:r>
        <w:rPr>
          <w:rFonts w:ascii="Calibri" w:hAnsi="Calibri"/>
          <w:b/>
          <w:sz w:val="22"/>
        </w:rPr>
        <w:t>Просим поправить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В русских текстах писать «ИТ», не «IT» (телеком и ИТ).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Сертификат — «ИСО» (или с номером, если передадим).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В преимуществах явно: отзывы, подтверждённые 1С.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В витрине лицензий учесть категории из брифа: в т.ч. «Другие программы 1С» и «Дополнительные (пользовательские) лицензии»; CTA в каталог — «Смотреть все лицензии…», без отдельной категории каталога «Все лицензии».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Кейс B2B — опора на https://alsn.ru/caseecomsc ; Данахер — лого можно.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В FAQ добавить вопросы «Кто такая Аллсан Интеграция?» и «Вы официальный партнёр 1С / ЦРА?»; базу также брать с https://alsn.ru/about_us 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В блоке «О компании» и ключевых заголовках использовать полное «Аллсан Интеграция» (короткое «Аллсан» допустимо в подписях).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В письме/SEO-списке не использовать формулировку «1С Битрикс24» — правильно: «Битрикс24» / «внедрение Битрикс24 и интеграция с 1С».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• Отдельные SEO-посадочные Wildberries и Ozon — в структуре сайта; на главной оставляем общую карточку «Ozon и Wildberries», как сейчас.</w:t>
      </w:r>
    </w:p>
    <w:p>
      <w:pPr>
        <w:spacing w:after="160" w:before="0" w:line="240" w:lineRule="auto"/>
      </w:pPr>
      <w:r>
        <w:rPr>
          <w:rFonts w:ascii="Calibri" w:hAnsi="Calibri"/>
          <w:b w:val="0"/>
          <w:sz w:val="22"/>
        </w:rPr>
        <w:t>Полная вычищенная версия текстов приложена: Тексты_главной_Аллсан_ПРАВКИ_2026-09-11.docx. Просьба перенести правки в рабочий документ и подтвердить.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С уважением,</w:t>
      </w:r>
    </w:p>
    <w:p>
      <w:pPr>
        <w:spacing w:after="40" w:before="0" w:line="240" w:lineRule="auto"/>
      </w:pPr>
      <w:r>
        <w:rPr>
          <w:rFonts w:ascii="Calibri" w:hAnsi="Calibri"/>
          <w:b w:val="0"/>
          <w:sz w:val="22"/>
        </w:rPr>
        <w:t>команда Аллсан Интеграции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