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Технічне завдання на облік товарів і взаєморозрахунків</w:t>
      </w:r>
    </w:p>
    <w:p>
      <w:r>
        <w:t>Lauto CRM • Версія 1.0 • 22 жовтня 2026 року</w:t>
      </w:r>
    </w:p>
    <w:p>
      <w:r>
        <w:t>Для розробника інтерфейсу, бекенду та інженера бази даних. Реалізувати наскрізний облік закупівель, складських залишків, резервування й видачі запчастин у наряди, сторонніх послуг та взаєморозрахунків. Основна вимога — кожна кількість і сума мають пояснюватися первинними документами та журналом операцій.</w:t>
      </w:r>
    </w:p>
    <w:p>
      <w:r>
        <w:t>Документ задає цільову реалізацію. Продуктові рішення, для яких немає окремої вказівки власника, визначені нижче як базова поведінка першої версії. Це завдання на розробку, а не підтвердження наявності функціоналу в CRM.</w:t>
      </w:r>
    </w:p>
    <w:p>
      <w:pPr>
        <w:pStyle w:val="Heading1"/>
      </w:pPr>
      <w:r>
        <w:t>1 Межі та вихідний стан</w:t>
      </w:r>
    </w:p>
    <w:p>
      <w:r>
        <w:t>Поточний стек і архітектуру застосунку зберегти: наявний вебзастосунок, Prisma та PostgreSQL. Не вводити мікросервіси чи окрему інфраструктуру для першої версії. Бізнес-операції реалізувати серверними сервісами, які можна викликати через наявні Server Actions або HTTP API.</w:t>
      </w:r>
    </w:p>
    <w:p>
      <w:r>
        <w:t>У чинній схемі InventoryPart містить один quantity, unitCost, sellPrice та текстові supplier/location. StockMovement фіксує зміну кількості. ServicePart може посилатися на InventoryPart. Payment прив’язаний до одного ServiceRecord. Окремих сутностей постачальника, складу, приходу, резерву та кредиторки немає. Збереження наряду зараз може змінювати залишок через reconcileStock; для нового режиму це необхідно замінити явними операціями.</w:t>
      </w:r>
    </w:p>
    <w:p>
      <w:r>
        <w:t>Перша версія охоплює постачальників і підрядників, кілька складів з одним початковим складом, замовлення постачальнику, надходження, розподіл, резерв, видачу, повернення, переміщення, інвентаризаційні коригування, закупівлю послуг, борги, аванси, часткові оплати, журнал аудиту та імпорт XLSX/CSV.</w:t>
      </w:r>
    </w:p>
    <w:p>
      <w:r>
        <w:t>Поза першою версією: податкова звітність і повна бухгалтерська головна книга, банківська інтеграція, автоматичні платежі, API постачальників, мультивалютні розрахунки, виробництво, серійний облік. Валюта нових операцій — UAH. Податкові ставки та спосіб включення податку зберігати явно; не змінювати чинні податкові правила продажу без окремого завдання.</w:t>
      </w:r>
    </w:p>
    <w:p>
      <w:r>
        <w:t>Бренди використовувати з наявного Brand, невідомий бренд — brand_unknown з назвою «---». Адмінку редагування брендів не створювати. У документах зберігати знімки бренду, артикулу, назви й одиниці виміру.</w:t>
      </w:r>
    </w:p>
    <w:p>
      <w:pPr>
        <w:pStyle w:val="Heading1"/>
      </w:pPr>
      <w:r>
        <w:t>2 Бізнес правила та терміни</w:t>
      </w:r>
    </w:p>
    <w:p>
      <w:r>
        <w:t>На складі — фізична кількість; резерв — частина цієї кількості, закріплена за нарядами; доступно = на складі − активний резерв. Очікується — непоставлений і нескасований обсяг замовлень постачальникам. Очікувані товари не збільшують доступний залишок.</w:t>
      </w:r>
    </w:p>
    <w:p>
      <w:r>
        <w:t>Додана в наряд позиція означає потребу, а не видачу. Резерв зменшує доступність, але не фізичний залишок. Видача зменшує фізичний залишок та погашає відповідний резерв в одній транзакції. Повернення збільшує залишок лише після явного підтвердження фактичного приймання.</w:t>
      </w:r>
    </w:p>
    <w:p>
      <w:r>
        <w:t>Для нових операцій заборонити від’ємний доступний і фізичний залишок. Для дефіциту запропонувати закупівлю або часткове резервування. Імпортовані від’ємні залишки не приховувати: до запуску провести звірку й затвердити коригування.</w:t>
      </w:r>
    </w:p>
    <w:p>
      <w:r>
        <w:t>Резерв може бути частковим і походити з кількох партій/складів. Одна партія може обслуговувати кілька нарядів. Один рядок приходу можна розподілити між кількома потребами, а нерозподілену частину залишити доступною.</w:t>
      </w:r>
    </w:p>
    <w:p>
      <w:r>
        <w:t>Стан ремонту, складське забезпечення та оплата незалежні. Завершення наряду не створює платежу. Для нового режиму завершення блокувати за наявності невиданих власних запчастин: показати перелік і запропонувати видати доступне або змінити/скасувати потребу. Власницький виняток допускається лише для історичного режиму з причиною в аудиті.</w:t>
      </w:r>
    </w:p>
    <w:p>
      <w:r>
        <w:t>Прийняття накладної збільшує борг постачальнику незалежно від оплати клієнтом. Платіж постачальнику не змінює собівартість чи склад. Переміщення та резерв не створюють боргів.</w:t>
      </w:r>
    </w:p>
    <w:p>
      <w:r>
        <w:t>Товари клієнта позначати CUSTOMER_OWNED: не збільшувати власний склад, собівартість закупівлі та кредиторку. Їх кількість і факт встановлення вести в наряді окремо. Для звичайної складської позиції до резервування обов’язково вибрати або створити картку товару.</w:t>
      </w:r>
    </w:p>
    <w:p>
      <w:pPr>
        <w:pStyle w:val="Heading1"/>
      </w:pPr>
      <w:r>
        <w:t>3 Стани документів</w:t>
      </w:r>
    </w:p>
    <w:p>
      <w:r>
        <w:t>Складські документи: DRAFT → POSTED; DRAFT → CANCELLED. Проведений документ незмінний. Його виправляють пов’язаним зворотним документом і, за потреби, новим правильним документом. Повне сторно відображається як REVERSED, часткове повернення не стирає початкового проведення.</w:t>
      </w:r>
    </w:p>
    <w:p>
      <w:r>
        <w:t>Замовлення постачальнику: DRAFT → CONFIRMED → PARTIALLY_RECEIVED → RECEIVED. Дозволити скасувати невиконаний залишок. Приймання понад замовлену кількість потребує зміни замовлення з аудитом до проведення приходу. Надходження без замовлення постачальнику дозволене.</w:t>
      </w:r>
    </w:p>
    <w:p>
      <w:r>
        <w:t>Потреба наряду показує обчислені кількості required, reserved, issued, returned та toPurchase. Нетто видано = issued − returned. Потрібно забезпечити = max(required − нетто видано, 0); до закупівлі = max(потрібно забезпечити − reserved − очікується під цю потребу, 0). Скасований залишок закупівлі знову відкриває потребу.</w:t>
      </w:r>
    </w:p>
    <w:p>
      <w:r>
        <w:t>Платежі та фінансові документи: DRAFT → POSTED, сторнування окремим записом. Для чернетки оплати не змінювати баланс каси чи борги. Статуси оплати UNPAID/PARTIAL/PAID/OVERPAID обчислювати, а не редагувати вручну.</w:t>
      </w:r>
    </w:p>
    <w:p>
      <w:pPr>
        <w:pStyle w:val="Heading1"/>
      </w:pPr>
      <w:r>
        <w:t>4 Ролі та права</w:t>
      </w:r>
    </w:p>
    <w:p>
      <w:r>
        <w:t>Власник/адміністратор: налаштування, довідники, всі документи, сторно, початкові баланси, закриття періоду й аудит. Менеджер: потреби наряду, резервування, закупівлі та чернетки приходу; окреме право на проведення. Комірник: прихід, видача, повернення, переміщення, інвентаризація. Фінансист: платежі, рознесення оплат, борги, звірка. Механік: читання дозволених позицій своїх нарядів без закупівельних цін та боргів постачальникам.</w:t>
      </w:r>
    </w:p>
    <w:p>
      <w:r>
        <w:t>Реалізувати дозволи inventory.read, inventory.cost.read, inventory.draft, inventory.post, inventory.reserve, inventory.issue, inventory.adjust, finance.read, finance.post, finance.allocate, documents.reverse, settings.manage. Прив’язати до чинної системи ролей; перевіряти на сервері. Відсутність права на собівартість означає відсутність цих полів також у відповідях та експортах.</w:t>
      </w:r>
    </w:p>
    <w:p>
      <w:pPr>
        <w:pStyle w:val="Heading1"/>
      </w:pPr>
      <w:r>
        <w:t>5 Окреме завдання на інтерфейс і верстку</w:t>
      </w:r>
    </w:p>
    <w:p>
      <w:pPr>
        <w:pStyle w:val="Heading2"/>
      </w:pPr>
      <w:r>
        <w:t>5 1 Навігація та спільні компоненти</w:t>
      </w:r>
    </w:p>
    <w:p>
      <w:r>
        <w:t>Розділ «Склад»: Залишки, До закупівлі, Замовлення постачальникам, Надходження, Рух товарів, Інвентаризації. Розділ «Фінанси»: Клієнти винні нам, Ми винні постачальникам, Оплати, Каси й рахунки. Довідники: Постачальники, Склади. З наряду забезпечити прямий перехід до пов’язаних документів.</w:t>
      </w:r>
    </w:p>
    <w:p>
      <w:r>
        <w:t>Повторно використовувати наявні компоненти, теми й локалізацію CRM. Створити DocumentHeader, DocumentStatus, ProductPicker, SupplierPicker, WarehousePicker, QuantityInput, MoneyInput, AllocationEditor, PaymentAllocationDialog та DocumentHistory. Не показувати користувачу технічні enum чи коди помилок.</w:t>
      </w:r>
    </w:p>
    <w:p>
      <w:r>
        <w:t>У списках: пошук, фільтри, сортування, серверна пагінація 25/50/100, збереження фільтрів у URL. Пошук артикула ігнорує регістр та погоджені роздільники; назви шукаються за словами. Показувати стан завантаження, порожній результат, помилку з повтором і відсутність прав.</w:t>
      </w:r>
    </w:p>
    <w:p>
      <w:pPr>
        <w:pStyle w:val="Heading2"/>
      </w:pPr>
      <w:r>
        <w:t>5 2 Адаптивність і клавіатура</w:t>
      </w:r>
    </w:p>
    <w:p>
      <w:r>
        <w:t>Від 1280 px — таблиці з видимими ключовими колонками; 768–1279 px — скорочені колонки та деталі рядка; до 767 px — картки. На iPhone 14 Pro перевірити 393 × 852 CSS px. Сторінка не має горизонтального прокручування; повна таблиця може відкриватися лише окремою явною дією.</w:t>
      </w:r>
    </w:p>
    <w:p>
      <w:r>
        <w:t>У картці товару першими показувати назву, бренд/артикул, кількість, складський стан і суму. Склад, постачальник, собівартість та історія — у деталях. Суми вирівнювати праворуч, довгі назви переносити, артикул дозволяти копіювати. Зони натискання не менші 44 × 44 px.</w:t>
      </w:r>
    </w:p>
    <w:p>
      <w:r>
        <w:t>У формах: Tab/Shift+Tab рухають фокус послідовно; стрілки вибирають результат пошуку, Enter підтверджує вибір, Esc закриває список. Після додавання рядка фокус повертається до пошуку. Ctrl/⌘+Enter додає поточний валідний рядок, але ніколи не проводить документ і не реєструє платіж. Не перехоплювати Enter під час IME-композиції та у багаторядковому полі.</w:t>
      </w:r>
    </w:p>
    <w:p>
      <w:r>
        <w:t>Діалоги мають заголовок, focus trap, повернення фокуса, доступні labels та повідомлення про помилки. На мобільному — повноекранна форма зі збереженням видимості активного поля при появі клавіатури. Незбережені зміни потребують попередження при виході. Повторне натискання заблоковане під час запиту; серверна ідемпотентність залишається обов’язковою.</w:t>
      </w:r>
    </w:p>
    <w:p>
      <w:pPr>
        <w:pStyle w:val="Heading2"/>
      </w:pPr>
      <w:r>
        <w:t>5 3 Залишки та картка товару</w:t>
      </w:r>
    </w:p>
    <w:p>
      <w:r>
        <w:t>Колонки: артикул, бренд, назва, склад, на складі, резерв, доступно, очікується, одиниця, мінімум; собівартість і ціна продажу лише за правами. Фільтри: склад, бренд, категорія, дефіцит, архів. Підсумки рахувати за всім фільтром, не лише поточною сторінкою.</w:t>
      </w:r>
    </w:p>
    <w:p>
      <w:r>
        <w:t>Картка товару містить вкладки «Залишки по складах», «Партії», «Резерви», «Рух», «Постачальники». Для кожного руху видно дату, вид, кількість, документ, наряд, користувача. Залишок не редагується довільним полем — лише через коригування з причиною.</w:t>
      </w:r>
    </w:p>
    <w:p>
      <w:pPr>
        <w:pStyle w:val="Heading2"/>
      </w:pPr>
      <w:r>
        <w:t>5 4 Потреби та закупівля</w:t>
      </w:r>
    </w:p>
    <w:p>
      <w:r>
        <w:t>Екран «До закупівлі»: наряд/номер авто/клієнт, товар, потрібно, резерв, очікується, закупити, бажана дата, постачальник. Дозволити групування за постачальником або нарядом, вибір рядків і створення чернетки замовлення. Кнопка не відправляє замовлення зовнішньому постачальнику.</w:t>
      </w:r>
    </w:p>
    <w:p>
      <w:r>
        <w:t>Замовлення: постачальник, очікувана дата, склад, рядки, ціна за домовленістю, розподіл кількості по потребах. Кнопка «Прийняти частково» відкриває чернетку приходу з невиконаним залишком. Показати вже прийнято й скасовано. Під час розподілу не створювати дубль наявного рядка наряду: використовувати його ID.</w:t>
      </w:r>
    </w:p>
    <w:p>
      <w:pPr>
        <w:pStyle w:val="Heading2"/>
      </w:pPr>
      <w:r>
        <w:t>5 5 Прихід і розподіл</w:t>
      </w:r>
    </w:p>
    <w:p>
      <w:r>
        <w:t>Шапка: внутрішній номер, постачальник, номер і дата накладної постачальника, склад, дата операції, строк оплати, валюта, коментар, вкладення. Відстрочка підставляється з постачальника, але дату можна змінити. Режим податку видно явно.</w:t>
      </w:r>
    </w:p>
    <w:p>
      <w:r>
        <w:t>Основна таблиця: артикул, бренд, назва, кількість, одиниця, закупівельна ціна, знижка, сума, «Для наряду / на склад». Додаткові поля відкриваються в модальному вікні. Заголовок показує підсумок, оплачено, борг і статус проведення. Собівартість не підміняти ціною продажу.</w:t>
      </w:r>
    </w:p>
    <w:p>
      <w:r>
        <w:t>«Розподілити»: рядки наряд/потреба/кількість; пошук за номером наряду, авто або клієнтом. Видно вже розподілено і залишок. Сума розподілу не перевищує прийняту кількість. Дозволити частину на склад. Перед проведенням показати ефект: +кількість на склад, резерви для нарядів, +борг постачальнику.</w:t>
      </w:r>
    </w:p>
    <w:p>
      <w:r>
        <w:t>«Зберегти чернетку» та «Провести» — окремі підписані кнопки. У проведеному документі поля лише для читання; доступні пов’язані документи, історія, повернення й реєстрація оплати згідно з правами.</w:t>
      </w:r>
    </w:p>
    <w:p>
      <w:pPr>
        <w:pStyle w:val="Heading2"/>
      </w:pPr>
      <w:r>
        <w:t>5 6 Запчастини та підрядники в наряді</w:t>
      </w:r>
    </w:p>
    <w:p>
      <w:r>
        <w:t>Зберегти погоджену компактну таблицю: артикул, бренд, назва, кількість, ціна, знижка, сума зі знижкою. Додати компактний індикатор забезпечення з деталізацією кількостей. Закупівельні дані та склад — у модальному вікні рядка.</w:t>
      </w:r>
    </w:p>
    <w:p>
      <w:r>
        <w:t>Дії: «Зарезервувати», «До закупівлі», «Видати», «Повернути». Масові дії показують попередній результат по рядках; за замовчуванням операція атомарна, без непомітного часткового успіху. Часткову видачу користувач явно задає кількістю.</w:t>
      </w:r>
    </w:p>
    <w:p>
      <w:r>
        <w:t>Для робіт додати тип виконання INTERNAL/SUBCONTRACT. Для SUBCONTRACT вибираються підрядник, закупівельна сума, пов’язаний документ послуги. Ціна клієнту окрема. Не замінювати механіка постачальником у полі technicianId; показувати підрядника окремо, зберігати чинне призначення виконавця.</w:t>
      </w:r>
    </w:p>
    <w:p>
      <w:pPr>
        <w:pStyle w:val="Heading2"/>
      </w:pPr>
      <w:r>
        <w:t>5 7 Повернення та переміщення</w:t>
      </w:r>
    </w:p>
    <w:p>
      <w:r>
        <w:t>Повернення з наряду відкривається з виданої позиції: кількість, склад приймання, стан товару, причина. Для непридатного товару — окремий недоступний для резервування склад карантину або списання. Фізичне повернення не означає автоматичного повернення грошей клієнту.</w:t>
      </w:r>
    </w:p>
    <w:p>
      <w:r>
        <w:t>Повернення постачальнику: вихідний прихід/партія, доступна кількість, сума кредитового документа, причина. Переміщення: склад-відправник, склад-одержувач, товар/партія, кількість. Зарезервований обсяг спочатку звільнити або явно перенести разом із резервом; у першій версії дозволити тільки переміщення вільного залишку.</w:t>
      </w:r>
    </w:p>
    <w:p>
      <w:pPr>
        <w:pStyle w:val="Heading2"/>
      </w:pPr>
      <w:r>
        <w:t>5 8 Фінанси та постачальники</w:t>
      </w:r>
    </w:p>
    <w:p>
      <w:r>
        <w:t>Картка постачальника: контакти, реквізити, відстрочка, тип постачальник/підрядник/обидва; вкладки надходжень, послуг, замовлень, оплат і звірки. У балансі окремо показати борг, прострочений борг та нерознесений аванс.</w:t>
      </w:r>
    </w:p>
    <w:p>
      <w:r>
        <w:t>Списки боргів: контрагент, загальна сума відкритих документів, прострочено, не прострочено, аванс, найближча дата оплати. Клік відкриває документи з нараховано/погашено/залишок/строк. Від’ємну суму не називати простроченим боргом.</w:t>
      </w:r>
    </w:p>
    <w:p>
      <w:r>
        <w:t>Форма оплати: напрям, контрагент, каса/рахунок, дата, сума, спосіб, призначення. Нижче таблиця документів для рознесення та нерозподілений залишок. «Розподілити за строком» — лише попередній розрахунок, який можна відредагувати перед підтвердженням. Одна оплата може покривати кілька документів, один документ — кілька оплат.</w:t>
      </w:r>
    </w:p>
    <w:p>
      <w:r>
        <w:t>Кнопка «Зареєструвати оплату» лише записує факт в CRM і не виконує банківського переказу. Аванс без документа дозволений. Друк/експорт акта звірки містить початковий баланс, документи, оплати, повернення й кінцевий баланс за період.</w:t>
      </w:r>
    </w:p>
    <w:p>
      <w:pPr>
        <w:pStyle w:val="Heading2"/>
      </w:pPr>
      <w:r>
        <w:t>5 9 Імпорт і помилки</w:t>
      </w:r>
    </w:p>
    <w:p>
      <w:r>
        <w:t>Імпорт XLSX/CSV: завантаження → зіставлення колонок → попередній перегляд → перевірка товарів і дублів → створення чернетки. Колонки: артикул, бренд, назва, кількість, одиниця, ціна, знижка, сума; постачальник/номер/дата задаються в шапці. Не виконувати формули файлу. Неоднозначні товари мають ручний вибір; автоматично не об’єднувати бренд «---» з відомим брендом.</w:t>
      </w:r>
    </w:p>
    <w:p>
      <w:r>
        <w:t>Помилка показує рядок і спосіб виправлення. Незбіг підсумку документа та рядків блокує проведення, поки користувач не виправить дані або не внесе окрему явну суму округлення в дозволених межах. Не пропускати невідомі позиції мовчки.</w:t>
      </w:r>
    </w:p>
    <w:p>
      <w:pPr>
        <w:pStyle w:val="Heading1"/>
      </w:pPr>
      <w:r>
        <w:t>6 Окреме завдання на бекенд</w:t>
      </w:r>
    </w:p>
    <w:p>
      <w:pPr>
        <w:pStyle w:val="Heading2"/>
      </w:pPr>
      <w:r>
        <w:t>6 1 Сервіси і транзакції</w:t>
      </w:r>
    </w:p>
    <w:p>
      <w:r>
        <w:t>Виділити InventoryDocumentService, ReservationService, ProcurementService, CostingService, SettlementService, ImportService та ReconciliationService. UI не змінює баланси прямим CRUD. Усі зміни проходять через доменні команди; чинні Server Actions викликають ці ж сервіси.</w:t>
      </w:r>
    </w:p>
    <w:p>
      <w:r>
        <w:t>Проведення приходу однією транзакцією: перевірка організації/прав/версії/стану → перевірка рядків і сум → блокування потрібних балансів → створення партій і рухів → оновлення проєкцій залишків → резерви за розподілом → фінансове нарахування → статус POSTED → аудит. Помилка на будь-якому кроці скасовує всі записи.</w:t>
      </w:r>
    </w:p>
    <w:p>
      <w:r>
        <w:t>Блокувати рядки балансів і резервів у стабільному порядку ID. Для першого балансу виконати upsert з унікальним ключем, потім блокування. Serializable або row locks з обмеженим повтором serialization/deadlock; кожен повтор використовує той самий idempotencyKey. Два користувачі не можуть зарезервувати останню одиницю одночасно.</w:t>
      </w:r>
    </w:p>
    <w:p>
      <w:r>
        <w:t>Команди POST приймають idempotencyKey та expectedVersion. Повтор того самого ключа з тим самим payload повертає попередній результат; з іншим payload — конфлікт. Optimistic version застосовувати до чернеток. Після таймауту клієнт перевіряє результат за ключем замість створення нової операції.</w:t>
      </w:r>
    </w:p>
    <w:p>
      <w:pPr>
        <w:pStyle w:val="Heading2"/>
      </w:pPr>
      <w:r>
        <w:t>6 2 Видача і собівартість</w:t>
      </w:r>
    </w:p>
    <w:p>
      <w:r>
        <w:t>Пряме призначення партії з приходу має пріоритет; інакше FIFO за effectiveAt, postedAt, id серед доступних партій обраного складу. Партію й фактичну закупівельну вартість фіксувати в розподілі видачі. При видачі з кількох партій зберігати кожну окремо; відображувана unitCost наряду — похідна середня, не джерело істини.</w:t>
      </w:r>
    </w:p>
    <w:p>
      <w:r>
        <w:t>Собівартість партії включає чисту закупівельну суму та явно розподілені додаткові витрати. Для першої версії додаткові витрати від того самого постачальника входять у документ; інший постачальник оформлюється окремою послугою, автоматична капіталізація між документами відкладена. Метод розподілу — пропорційно чистій вартості рядків; для нульової бази потрібен ручний розподіл. Різницю копійок розподіляти детерміновано, сума має точно збігатися.</w:t>
      </w:r>
    </w:p>
    <w:p>
      <w:r>
        <w:t>Після видачі не переоцінювати історичну собівартість через редагування картки товару. Повернення з наряду відновлює ту саму партію і вартість вихідної видачі. Кількість повернення не перевищує видану мінус попередні повернення. Для пошкодженого товару створити явне списання/карантин.</w:t>
      </w:r>
    </w:p>
    <w:p>
      <w:r>
        <w:t>Пізню накладну не вставляти заднім числом у вже виконаний FIFO перерахунок. Порядок фактичного проведення фіксується; effectiveAt потрібна для звітів. Дати до закритого періоду блокувати. Відкриття періоду — право адміністратора з причиною, без автоматичного переписування старих вартостей.</w:t>
      </w:r>
    </w:p>
    <w:p>
      <w:pPr>
        <w:pStyle w:val="Heading2"/>
      </w:pPr>
      <w:r>
        <w:t>6 3 Облік зобов’язань і грошей</w:t>
      </w:r>
    </w:p>
    <w:p>
      <w:r>
        <w:t>Використати єдиний реєстр розрахункових документів SettlementEntry з типами DEBIT/CREDIT для кожного контрагента й сторони AR/AP. DEBIT збільшує суму, яку належить погасити; CREDIT її зменшує. Для AR debit — рахунок клієнта, credit — його оплата/кредитове коригування. Для AP debit — прихід/послуга постачальника, credit — наша оплата/повернення постачальнику. Це операційний реєстр взаєморозрахунків, не план бухгалтерських рахунків.</w:t>
      </w:r>
    </w:p>
    <w:p>
      <w:r>
        <w:t>SettlementAllocation зіставляє debit і credit на конкретну суму. Непогашений debit — борг; нерознесений credit — аванс або кредитовий залишок. Не взаємозаліковувати AR/AP чи різних контрагентів автоматично. Суми рознесення не перевищують залишок жодної сторони. Блокування обох записів обов’язкове.</w:t>
      </w:r>
    </w:p>
    <w:p>
      <w:r>
        <w:t>Фінансове нарахування наряду виникає явною дією «Виставити рахунок», при першому виданні фінального рахунку або при завершенні — через одну ідемпотентну команду. Попередній кошторис не створює борг. Оплата до виставлення є авансом; після виставлення пропонується його рознести. Після нарахування зміни суми потребують дебетового/кредитового коригування, а не редагування реєстру. Зберегти сумісність із чинним issuedAt та знімками друкованих документів.</w:t>
      </w:r>
    </w:p>
    <w:p>
      <w:r>
        <w:t>MoneyTransaction фіксує надходження/витрату по касі. Платіж та відповідний SettlementEntry створюються атомарно; рознесення може відбутися одразу або пізніше. Повернення грошей клієнту — витрата каси та debit AR; повернення грошей від постачальника — надходження каси та debit AP. Їх рознести проти відкритого credit, створеного поверненням/переплатою.</w:t>
      </w:r>
    </w:p>
    <w:p>
      <w:r>
        <w:t>Перед сторно платежу зняти його активні рознесення аудитованою операцією, створити протилежний касовий рух і протилежний SettlementEntry, зв’язати їх з оригіналами та погасити пару. Старі записи не видаляти. Аналогічний механізм для сторно нарахувань. Якщо є залежні товарні рухи, повне сторно приходу блокувати й запропонувати допустиме часткове повернення.</w:t>
      </w:r>
    </w:p>
    <w:p>
      <w:r>
        <w:t>Строк прострочення: dueDate раніше поточної локальної дати організації, залишок debit &gt; 0. Оплата в день строку ще не прострочена. Для звіту «на дату» враховувати лише проведені до межі дати документи, платежі, рознесення та їх скасування; поточний статус не може переписувати минулий звіт.</w:t>
      </w:r>
    </w:p>
    <w:p>
      <w:pPr>
        <w:pStyle w:val="Heading2"/>
      </w:pPr>
      <w:r>
        <w:t>6 4 Повернення і коригування</w:t>
      </w:r>
    </w:p>
    <w:p>
      <w:r>
        <w:t>Повернення постачальнику одночасно створює складський мінус і credit AP. Якщо постачальнику вже сплачено, виникає кредитовий залишок, який можна використати для наступної накладної або погасити поверненням грошей. Повернення з наряду спершу лише змінює фізичний облік; зменшення рахунку клієнта виконується окремим кредитовим документом, пов’язаним із поверненням.</w:t>
      </w:r>
    </w:p>
    <w:p>
      <w:r>
        <w:t>Інвентаризація має дату зрізу, склад, очікувану та фактичну кількість, різницю й причину. При проведенні повторно перевірити версію залишку; якщо були рухи після зрізу — вимагати перерахунку/повторної звірки. Мінус не може зачепити активний резерв без явного звільнення. Початкові залишки та надлишки не створюють автоматично борг постачальнику.</w:t>
      </w:r>
    </w:p>
    <w:p>
      <w:pPr>
        <w:pStyle w:val="Heading2"/>
      </w:pPr>
      <w:r>
        <w:t>6 5 Серверний контракт</w:t>
      </w:r>
    </w:p>
    <w:p>
      <w:r>
        <w:t>Read API/Actions: listStock(filter,cursor), getProductStock(id), listDemand(filter), listPurchaseOrders, getDocument(id), listSupplierBalances, listCustomerBalances, getStatement(party,from,to), getPayment(id). Пагінація стабільна за sortKey + id. Пошук та фільтрація завжди обмежені організацією користувача.</w:t>
      </w:r>
    </w:p>
    <w:p>
      <w:r>
        <w:t>Команди: savePurchaseOrderDraft, confirmPurchaseOrder, cancelPurchaseRemainder, saveReceiptDraft, postReceipt, reserveStock, releaseReservation, issueStock, returnFromWorkOrder, returnToSupplier, transferStock, postAdjustment, postSubcontractService, issueCustomerCharge, postMoneyTransaction, allocateSettlement, reverseDocument, previewImport, commitImportDraft.</w:t>
      </w:r>
    </w:p>
    <w:p>
      <w:r>
        <w:t>Приклад postReceipt: {documentId, expectedVersion, idempotencyKey}. Кількості й суми передавати десятковими рядками, наприклад quantity «2.500», unitPrice «123.450000». organizationId, actorId та права сервер отримує із сесії. Відповідь: {documentId, version, status, stockEffects, settlementEffects, warnings, requestId}. Суми сервер перераховує самостійно.</w:t>
      </w:r>
    </w:p>
    <w:p>
      <w:r>
        <w:t>Помилки: VALIDATION_ERROR з fieldErrors/lineId; INSUFFICIENT_STOCK з потрібною/доступною кількістю; VERSION_CONFLICT; DUPLICATE_DOCUMENT; PERIOD_CLOSED; DEPENDENT_OPERATIONS; FORBIDDEN; IDEMPOTENCY_CONFLICT. Для HTTP відповідно 422/409/403; чужі ID повертати як 404 без розкриття даних. Для Server Actions зберегти еквівалентну типізовану структуру.</w:t>
      </w:r>
    </w:p>
    <w:p>
      <w:pPr>
        <w:pStyle w:val="Heading2"/>
      </w:pPr>
      <w:r>
        <w:t>6 6 Безпека та продуктивність</w:t>
      </w:r>
    </w:p>
    <w:p>
      <w:r>
        <w:t>Усі бізнес-таблиці нового модуля мають обов’язковий organizationId. Tenant isolation забезпечувати в читанні, командах, імпорті, експорті, фонових задачах і зовнішніх ключах. Файли видавати лише через авторизований доступ; обмеження імпорту 10 MB і 10 000 рядків у першій версії. CSV-експорт екранує значення, що можуть стати формулами.</w:t>
      </w:r>
    </w:p>
    <w:p>
      <w:r>
        <w:t>Аудит зберігає дію, користувача, час, requestId, причину, ID документів та зміни полів без секретів. Ніяких паролів/токенів постачальників у логах. Для проведених документів заборонити каскадне видалення разом із клієнтом, авто, товаром чи користувачем.</w:t>
      </w:r>
    </w:p>
    <w:p>
      <w:r>
        <w:t>Цільові показники на погодженому тестовому наборі 50 000 товарів і 500 000 рухів: p95 пошуку до 500 мс серверного часу; список до 1 с; проведення 100 рядків до 3 с за 10 конкурентних менеджерів. Виміряти на середовищі, співставному з CPX22; зафіксувати фактичні результати. Не завантажувати весь каталог у браузер. Великі імпорти виконувати фоновою задачею з прогресом і відновленням.</w:t>
      </w:r>
    </w:p>
    <w:p>
      <w:pPr>
        <w:pStyle w:val="Heading1"/>
      </w:pPr>
      <w:r>
        <w:t>7 Окреме завдання на базу даних</w:t>
      </w:r>
    </w:p>
    <w:p>
      <w:pPr>
        <w:pStyle w:val="Heading2"/>
      </w:pPr>
      <w:r>
        <w:t>7 1 Загальні домовленості</w:t>
      </w:r>
    </w:p>
    <w:p>
      <w:r>
        <w:t>Нижче наведено логічну схему для реалізації Prisma migrations. Назви нових сутностей нормативні для ТЗ, фізичні snake_case імена узгодити з конвенцією репозиторію. Не створювати нову паралельну таблицю товарів замість InventoryPart.</w:t>
      </w:r>
    </w:p>
    <w:p>
      <w:r>
        <w:t>У кожній новій сутності: id String/cuid, organizationId NOT NULL, createdAt timestamptz, createdById nullable FK User. Для змінюваних чернеток додати updatedAt та version Int. Дати документів — date, час подій — timestamptz UTC; відображення Europe/Kyiv. Валюта char(3), перша версія перевіряє UAH.</w:t>
      </w:r>
    </w:p>
    <w:p>
      <w:r>
        <w:t>Кількість numeric(18,3), ціна/партійна собівартість numeric(20,6), підсумок документа/платіж numeric(20,2). Не застосовувати JS Number для фінансових розрахунків; Prisma.Decimal/decimal arithmetic і рядки в API. Округлення HALF_UP до 2 знаків на підсумку рядка. Дробова кількість для штучного товару заборонена через unit.precision = 0; для л/кг precision = 3.</w:t>
      </w:r>
    </w:p>
    <w:p>
      <w:r>
        <w:t>Для discountType PERCENT перевіряти 0..100; AMOUNT — сума знижки на весь рядок, не на одиницю. net = round(qty × price − discount, 2), не нижче нуля. Податок INCLUSIVE/EXCLUSIVE/NONE з явною ставкою; total є сумою обчислених рядків, додаткових витрат та дозволеного roundingAdjustment. Знижки й податки не змінюють фізичної кількості.</w:t>
      </w:r>
    </w:p>
    <w:p>
      <w:r>
        <w:t>Кожна tenant-таблиця має UNIQUE(organizationId,id); зв’язки між ними — composite FK (organizationId,parentId). CHECK, partial unique indexes і складні обмеження, яких немає в Prisma, створити SQL-міграцією. Операційні підсумки між кількома рядками контролює транзакційний сервіс під блокуванням; простого CHECK для них недостатньо.</w:t>
      </w:r>
    </w:p>
    <w:p>
      <w:pPr>
        <w:pStyle w:val="Heading2"/>
      </w:pPr>
      <w:r>
        <w:t>7 2 Довідники</w:t>
      </w:r>
    </w:p>
    <w:p>
      <w:r>
        <w:t>Supplier: name, normalizedName, type GOODS/SERVICES/BOTH, taxId?, phone?, email?, address?, paymentTermsDays &gt;= 0, bankDetails JSON?, notes?, archivedAt?. Індекс (organizationId,normalizedName). taxId за наявності унікальний у межах організації й країни; збіг назви лише попередження, не автоматичне злиття.</w:t>
      </w:r>
    </w:p>
    <w:p>
      <w:r>
        <w:t>Warehouse: code, name, isDefault, reservable, archivedAt. UNIQUE(org,code), partial UNIQUE(org) WHERE isDefault=true AND archivedAt IS NULL. Початково «Основний»; карантинний склад створюється за потреби і має reservable=false. WarehouseLocation: warehouseId, code, name?, archivedAt; UNIQUE(org,warehouseId,code). Комірка опціональна, не замінює склад.</w:t>
      </w:r>
    </w:p>
    <w:p>
      <w:r>
        <w:t>UnitOfMeasure: code, name, precision, archivedAt; UNIQUE(org,code). Зміна одиниці товару з історичними рухами заборонена; для іншої фасовки створювати окремий SKU. Автоматичне перетворення упаковок у першій версії не реалізовувати.</w:t>
      </w:r>
    </w:p>
    <w:p>
      <w:r>
        <w:t>InventoryPart — додати normalizedPartNumber?, unitId, trackingMode STOCK/NON_STOCK, archivedAt?. organizationId зробити NOT NULL після очищення старих даних. Brand FK зберегти глобальним. Індекс (org,brandId,normalizedPartNumber); часткова унікальність для непорожнього артикулу тільки після ручної звірки дублів, з урахуванням окремих SKU/фасувань. Не зливати товари автоматично лише за назвою.</w:t>
      </w:r>
    </w:p>
    <w:p>
      <w:r>
        <w:t>SupplierProduct: supplierId, inventoryPartId, supplierArticle?, lastQuotedPrice?, currency, leadTimeDays?, preferred. UNIQUE(org,supplierId,inventoryPartId). Ця таблиця є відповідністю каталогів і довідковою пропозицією, а не джерелом історичної закупівельної ціни.</w:t>
      </w:r>
    </w:p>
    <w:p>
      <w:r>
        <w:t>Право власності задається в StockDemand/рядку наряду, не в глобальній картці товару: той самий артикул може бути нашим або принесеним клієнтом. NON_STOCK означає позицію без власного складського обліку. Supplier також має countryCode для перевірки taxId.</w:t>
      </w:r>
    </w:p>
    <w:p>
      <w:pPr>
        <w:pStyle w:val="Heading2"/>
      </w:pPr>
      <w:r>
        <w:t>7 3 Закупівля та потреба</w:t>
      </w:r>
    </w:p>
    <w:p>
      <w:r>
        <w:t>StockDemand: servicePartId UNIQUE в org, inventoryPartId, requiredQty, ownership OWN/CUSTOMER, preferredWarehouseId?, neededAt?, state ACTIVE/CANCELLED, version. requiredQty синхронізується з рядком наряду транзакційно. Зменшення нижче нетто виданого блокується до повернення або корекції.</w:t>
      </w:r>
    </w:p>
    <w:p>
      <w:r>
        <w:t>PurchaseOrder: supplierId, number, status, orderedAt?, expectedAt?, warehouseId, currency, note, version. UNIQUE(org,number). PurchaseOrderLine: orderId, inventoryPartId, qtyOrdered, qtyCancelled, quotedUnitPrice, snapshotName/Brand/Article/Unit, sortOrder. Прийняту кількість обчислювати за проведеними ReceiptLine, а не довільно редагувати.</w:t>
      </w:r>
    </w:p>
    <w:p>
      <w:r>
        <w:t>PurchaseDemandAllocation: purchaseOrderLineId, stockDemandId, quantity. UNIQUE(org,purchaseOrderLineId,stockDemandId); сума розподілу ≤ qtyOrdered − qtyCancelled. При частковому прийманні зафіксувати конкретні fulfilled allocations, щоб «очікується» не рахувалося повторно.</w:t>
      </w:r>
    </w:p>
    <w:p>
      <w:pPr>
        <w:pStyle w:val="Heading2"/>
      </w:pPr>
      <w:r>
        <w:t>7 4 Складські документи</w:t>
      </w:r>
    </w:p>
    <w:p>
      <w:r>
        <w:t>InventoryDocument: number, type RECEIPT/ISSUE/WORK_ORDER_RETURN/SUPPLIER_RETURN/TRANSFER/ADJUSTMENT/OPENING, status, effectiveAt, postedAt?, supplierId?, sourceWarehouseId?, targetWarehouseId?, serviceRecordId?, externalNumber?, externalDate?, dueDate?, currency, subtotal/taxAmount/totalAmount, roundingAdjustment, note?, sourceDocumentId?, reversalOfId?, version. UNIQUE(org,number). Тип визначає дозволені/обов’язкові поля; TRANSFER вимагає різні склади, RECEIPT — постачальника й цільовий склад, OPENING не створює AP.</w:t>
      </w:r>
    </w:p>
    <w:p>
      <w:r>
        <w:t>InventoryDocumentLine: documentId, inventoryPartId, quantity &gt; 0, unitPrice, discountType/value/amount, taxRate/taxMode/taxAmount, totalAmount, snapshotName/Brand/Article/Unit, purchaseOrderLineId?, servicePartId?, sourceLineId?, sortOrder. Для ADJUSTMENT додати direction IN/OUT, а quantity завжди додатна. Джерело повернення обов’язкове, крім явно затверджених початкових залишків.</w:t>
      </w:r>
    </w:p>
    <w:p>
      <w:r>
        <w:t>ReceiptDemandAllocation: receiptLineId, stockDemandId, quantity &gt; 0, purchaseDemandAllocationId?. Це розподіл прийнятої кількості; при проведенні створює резерв, а не видачу. Унікальність пари в org. Збереження багатьох розподілів одного рядка дозволене.</w:t>
      </w:r>
    </w:p>
    <w:p>
      <w:r>
        <w:t>DocumentAdditionalCost: documentId, description, amount, allocationMethod VALUE/MANUAL. DocumentCostAllocation: additionalCostId, documentLineId, amount. У межах транзакції перевірити точну рівність суми розподілу витраті.</w:t>
      </w:r>
    </w:p>
    <w:p>
      <w:r>
        <w:t>Для зовнішньої накладної застосувати захист від повтору за org + supplierId + normalizedExternalNumber + externalDate + type для активних документів. Порожній номер виключити з partial index; тоді показувати евристику за датою/сумою/хешем файлу. Виняток для реального дублю номера — окремий duplicateOverrideId з причиною, не мовчазне обходження перевірки.</w:t>
      </w:r>
    </w:p>
    <w:p>
      <w:pPr>
        <w:pStyle w:val="Heading2"/>
      </w:pPr>
      <w:r>
        <w:t>7 5 Партії рухи та резерви</w:t>
      </w:r>
    </w:p>
    <w:p>
      <w:r>
        <w:t>StockLot: inventoryPartId, receiptLineId?, openingLineId?, acquiredAt, unitCost, supplierId?, currency. Рівно одне джерело — receiptLineId або openingLineId; вихідна закупівельна ціна незмінна після проведення. Партія зберігає походження при переміщенні.</w:t>
      </w:r>
    </w:p>
    <w:p>
      <w:r>
        <w:t>StockLotBalance: lotId, warehouseId, locationId?, onHandQty, reservedQty, version. Унікальний ключ org/lot/warehouse/location із нормалізацією NULL-комірки через NULLS NOT DISTINCT або equivalent expression index. CHECK 0 ≤ reservedQty ≤ onHandQty. Це транзакційна проєкція, яку можна відновити з рухів/резервів.</w:t>
      </w:r>
    </w:p>
    <w:p>
      <w:r>
        <w:t>InventoryLedgerEntry: documentLineId, lotId, warehouseId, locationId?, quantityDelta != 0, costAmountDelta, effectiveAt, postedAt, reversalOfId?, operationKey. UNIQUE(org,operationKey); індекси (org,inventoryPartId,effectiveAt,id), (org,lotId,warehouseId), (org,documentLineId). inventoryPartId також зберігати для пошуку, FK/сервіс перевіряє відповідність партії. Журнал append-only; не UPDATE/DELETE проведених рухів.</w:t>
      </w:r>
    </w:p>
    <w:p>
      <w:r>
        <w:t>Для TRANSFER створити дві записи журналу з протилежними кількістю і вартістю; сумарний ефект організації нуль. Для ISSUE за кількома партіями — кілька записів. DocumentLotAllocation: documentLineId, lotId, sourceWarehouseId?, targetWarehouseId?, quantity, unitCostSnapshot, sourceIssueAllocationId?. Зв’язок sourceIssueAllocationId дозволяє контролювати повернення за кожною вихідною партією.</w:t>
      </w:r>
    </w:p>
    <w:p>
      <w:r>
        <w:t>StockReservation: stockDemandId, lotId, warehouseId, locationId?, createdQuantity, version. ReservationEvent: reservationId, kind RESERVE/RELEASE/CONSUME, quantity &gt; 0, documentLineId?, effectiveAt, operationKey UNIQUE у org. Активний резерв = RESERVE − RELEASE − CONSUME; проєкція в StockLotBalance оновлюється атомарно. Індекс резервів (org,stockDemandId), (org,lotId,warehouseId). Подія споживання має зв’язок із видачею.</w:t>
      </w:r>
    </w:p>
    <w:p>
      <w:r>
        <w:t>InventoryPart.quantity та старий StockMovement після переходу не є джерелом істини. На період сумісності quantity можна підтримувати як read-only проєкцію суми по складах; усі legacy write paths вимкнути для нового режиму. Старий журнал зберегти окремо, не змішувати з новим повторним opening.</w:t>
      </w:r>
    </w:p>
    <w:p>
      <w:pPr>
        <w:pStyle w:val="Heading2"/>
      </w:pPr>
      <w:r>
        <w:t>7 6 Сторонні послуги</w:t>
      </w:r>
    </w:p>
    <w:p>
      <w:r>
        <w:t>SupplierServiceDocument: supplierId, number, externalNumber?, externalDate?, effectiveAt, dueDate, status, currency, totalAmount, version, reversalOfId?. SupplierServiceLine: documentId, serviceRecordId, serviceLaborId?, descriptionSnapshot, quantity, unitCost, taxMode/rate, totalAmount. Один документ може містити роботи кількох нарядів; один наряд — кількох підрядників.</w:t>
      </w:r>
    </w:p>
    <w:p>
      <w:r>
        <w:t>Проведення створює debit AP та собівартість послуг наряду, не InventoryLedgerEntry. SupplierServiceLine не є оплатою. Зв’язок із ServiceLabor не змінює його продажну суму та призначеного механіка.</w:t>
      </w:r>
    </w:p>
    <w:p>
      <w:pPr>
        <w:pStyle w:val="Heading2"/>
      </w:pPr>
      <w:r>
        <w:t>7 7 Фінансові таблиці</w:t>
      </w:r>
    </w:p>
    <w:p>
      <w:r>
        <w:t>SettlementParty: kind CUSTOMER/SUPPLIER, customerId?, supplierId?, displayNameSnapshot. CHECK рівно одне відповідне посилання; UNIQUE(org,customerId) та UNIQUE(org,supplierId) для непорожніх значень. Боржник на момент виставлення фіксується тут; зміна власника автомобіля не переносить історичний борг на іншу людину.</w:t>
      </w:r>
    </w:p>
    <w:p>
      <w:r>
        <w:t>CashAccount: name, kind CASH/BANK/CARD_CLEARING, currency, archivedAt. CashLedgerEntry: accountId, moneyTransactionId?, openingBalanceId?, amountDelta, effectiveAt, operationKey. Append-only. Початковий баланс каси окремий від початкових боргів. Комісії еквайрингу не зменшують суму оплати клієнта: окрема витрата.</w:t>
      </w:r>
    </w:p>
    <w:p>
      <w:r>
        <w:t>MoneyTransaction: partyId?, accountId, direction IN/OUT, amount &gt; 0, currency, effectiveAt, method, note?, status, provider?, externalId?, reversalOfId?, version. Часткова унікальність (org,provider,externalId) для непорожніх значень. Внутрішнє переміщення між касами — пов’язана пара без SettlementEntry; початковий функціонал можна обмежити прямою реєстрацією оплат і початкових залишків.</w:t>
      </w:r>
    </w:p>
    <w:p>
      <w:r>
        <w:t>SettlementEntry: partyId, side AR/AP, polarity DEBIT/CREDIT, amount &gt; 0, currency, effectiveAt, dueDate?, sourceType, serviceRecordId?, inventoryDocumentId?, supplierServiceDocumentId?, moneyTransactionId?, openingBalanceId?, adjustmentId?, reversalOfId?, operationKey. CHECK рівно одне джерело із переліку; усі посилання типізовані FK. SourceType має відповідати заповненому FK. UNIQUE(org,operationKey); індекси (org,partyId,side,effectiveAt), (org,side,dueDate).</w:t>
      </w:r>
    </w:p>
    <w:p>
      <w:r>
        <w:t>SettlementAllocation: debitEntryId, creditEntryId, amount &gt; 0, effectiveAt, reversedAt?, reversalReason?, operationKey. Однакові org/party/side/currency на обох кінцях; polarity перевіряє сервіс під блокуванням. Скасування не видаляє запис, а фіксує reversal event. Для звітів минулих дат зберігати AllocationEvent APPLY/REVERSE з часовою міткою; reversedAt лише зручна проєкція поточного стану.</w:t>
      </w:r>
    </w:p>
    <w:p>
      <w:r>
        <w:t>OpeningBalance: partyId?, accountId?, side?, polarity?, amount, asOfDate, sourceNote, migrationBatchId, status. CHECK або контрагент і side/polarity, або каса, не обидва. SettlementAdjustment: partyId, side, polarity, amount, reason, relatedEntryId?, approvedById, effectiveAt. Використовувати для підтвердженого коригування/кредитового документа, а не ручного переписування балансу.</w:t>
      </w:r>
    </w:p>
    <w:p>
      <w:pPr>
        <w:pStyle w:val="Heading2"/>
      </w:pPr>
      <w:r>
        <w:t>7 8 Системні таблиці та зв’язки</w:t>
      </w:r>
    </w:p>
    <w:p>
      <w:r>
        <w:t>DocumentAttachment: inventoryDocumentId? / supplierServiceDocumentId? / purchaseOrderId? — рівно одне джерело, storageKey, originalName, mimeType, size, sha256. AuditEvent: entityType/entityId, action, actorId?, requestId, before/after JSON?, reason?, occurredAt. Бізнес-зв’язки не будувати на AuditEvent.entityId.</w:t>
      </w:r>
    </w:p>
    <w:p>
      <w:r>
        <w:t>IdempotencyRecord: scope, key, requestHash, state, response JSON?, createdAt, completedAt; UNIQUE(org,scope,key). ImportJob: supplierId, fileHash, state, rowCount, errors JSON?, createdDocumentId?, mapping JSON, sourceName. MigrationBatch: type, cutoverAt, checksum, counts JSON, status, approvedById?. DocumentSequence: org/type/year/nextValue, унікальний ключ, атомарна видача номера.</w:t>
      </w:r>
    </w:p>
    <w:p>
      <w:r>
        <w:t>Зв’язки: Supplier 1:N PurchaseOrder і InventoryDocument; InventoryPart 1:N StockLot; StockLot 1:N StockLotBalance та LedgerEntry; ServicePart 1:1 StockDemand; StockDemand N:M PurchaseOrderLine через PurchaseDemandAllocation; StockDemand N:M StockLot через StockReservation; документ 1:N рядки; Party 1:N SettlementEntry; Debit N:M Credit через SettlementAllocation.</w:t>
      </w:r>
    </w:p>
    <w:p>
      <w:r>
        <w:t>Для всіх проведених джерел використовувати onDelete Restrict. Архівування довідника не змінює історичні документи. User FK може SetNull зі знімком імені в аудиті. Глобальне видалення організації не повинно випадково обходити правила збереження фінансової історії.</w:t>
      </w:r>
    </w:p>
    <w:p>
      <w:pPr>
        <w:pStyle w:val="Heading2"/>
      </w:pPr>
      <w:r>
        <w:t>7 9 Інвентаризація періоди та сумісність сум</w:t>
      </w:r>
    </w:p>
    <w:p>
      <w:r>
        <w:t>StockCount: warehouseId, snapshotAt, status DRAFT/COUNTING/POSTED/CANCELLED, version, adjustmentDocumentId?. StockCountLine: stockCountId, inventoryPartId, lotId?, locationId?, expectedQty, countedQty?, snapshotBalanceVersion, reason?. UNIQUE за зрізом партії/комірки; якщо партія фактично невідома, проведення вимагає її вибору або створення окремої партії надлишку з підтвердженою вартістю.</w:t>
      </w:r>
    </w:p>
    <w:p>
      <w:r>
        <w:t>AccountingPeriodLock: organizationId UNIQUE, inventoryClosedThrough date?, financeClosedThrough date?, updatedById, reason. Зміни — з аудитом. DocumentReversalLink: originalDocumentId, reversingDocumentId, quantity/amount references, reason, occurredAt; для фінансових документів використовувати їх типізовані reversalOfId. Самопосилання й повторне повне сторно заборонені.</w:t>
      </w:r>
    </w:p>
    <w:p>
      <w:r>
        <w:t>ServiceLabor додати executionType INTERNAL/SUBCONTRACT; ServicePart — ownership OWN/CUSTOMER, inventoryAccountingMode або успадкування від наряду. ServiceRecord фіксує billedPartyId для LEDGER-режиму. До першого фінансового проведення дозволено змінити боржника; після — тільки документоване виправлення, без автоматичного слідування за власником авто.</w:t>
      </w:r>
    </w:p>
    <w:p>
      <w:r>
        <w:t>Для старих Float у ServiceRecord/ServicePart/Payment не виконувати неявне масове округлення. Для LEDGER додати точні Decimal суми/кількості або окремий versioned financial snapshot, що використовується рахунком, друком і реєстром однаково. Legacy поля й друковані snapshots лишаються незмінними. Перед переходом перевірити приклади дробових цін, знижок і податків; будь-яка різниця в копійках має окремий звіт та затвердження.</w:t>
      </w:r>
    </w:p>
    <w:p>
      <w:r>
        <w:t>Уточнення переплати: allocation ніколи не перевищує debit. PAID означає debit погашено; надлишок показується як аванс контрагента. OVERPAID допускається лише як UI-позначка історичного стану або пов’язаного з нарядом авансу, а не від’ємний відкритий debit.</w:t>
      </w:r>
    </w:p>
    <w:p>
      <w:r>
        <w:t>Для roundingAdjustment першої версії дозволити абсолютне значення не більше 0,01 UAH на документ із явним поясненням. Більшу розбіжність виправляти у вихідних рядках. Рядки, що не відповідають цьому правилу, не можна провести.</w:t>
      </w:r>
    </w:p>
    <w:p>
      <w:pPr>
        <w:pStyle w:val="Heading1"/>
      </w:pPr>
      <w:r>
        <w:t>8 Міграція та сумісність</w:t>
      </w:r>
    </w:p>
    <w:p>
      <w:pPr>
        <w:pStyle w:val="Heading2"/>
      </w:pPr>
      <w:r>
        <w:t>8 1 Підготовка</w:t>
      </w:r>
    </w:p>
    <w:p>
      <w:r>
        <w:t>Створити логічний бекап PostgreSQL, вкладень і конфігурації; перевірити відновлення в ізольованій БД. Зафіксувати кількість нарядів, товарів, оплат, суми оплат/рахунків, manuallyPaid, залишки та вибірку друкованих документів. Міграцію спочатку виконати на копії production.</w:t>
      </w:r>
    </w:p>
    <w:p>
      <w:r>
        <w:t>Additive migrations створюють нові таблиці та nullable поля без зміни робочого обліку. Нормалізувати organizationId, одиниці, дублікати товарів і постачальників звітом; конфлікти не виправляти автоматично. Створити основний склад і mapping старих supplier/location у нові сутності з ручною перевіркою.</w:t>
      </w:r>
    </w:p>
    <w:p>
      <w:pPr>
        <w:pStyle w:val="Heading2"/>
      </w:pPr>
      <w:r>
        <w:t>8 2 Перехід залишків</w:t>
      </w:r>
    </w:p>
    <w:p>
      <w:r>
        <w:t>Погодити cutoverAt. На короткий час заблокувати складські й фінансові записи, звірити фактичні залишки та створити один OPENING за складом/товаром/партією із підтвердженою вартістю. Не програвати всі старі наряди через новий механізм видачі.</w:t>
      </w:r>
    </w:p>
    <w:p>
      <w:r>
        <w:t>Додати ServiceRecord.inventoryAccountingMode LEGACY/LEDGER та financeAccountingMode LEGACY/LEDGER. Старі записи спочатку LEGACY. Для відкритих нарядів окремо звірити вже видано/ще потрібно: уже фізично видані деталі не повинні бути вдруге списані з opening. Переведення активного наряду потребує migration allocation та зафіксованої собівартості, а не повторного ISSUE.</w:t>
      </w:r>
    </w:p>
    <w:p>
      <w:r>
        <w:t>Для всіх writer paths — створення/оновлення/видалення наряду, конвертація кошторису, імпорт, повторювані рахунки — увімкнути єдину перевірку режиму. LEGACY не створює нових складських рухів; LEDGER не викликає старий reconcileStock. Видалення старого наряду також не відновлює запас нового складу.</w:t>
      </w:r>
    </w:p>
    <w:p>
      <w:pPr>
        <w:pStyle w:val="Heading2"/>
      </w:pPr>
      <w:r>
        <w:t>8 3 Перехід оплат і боргів</w:t>
      </w:r>
    </w:p>
    <w:p>
      <w:r>
        <w:t>Початкову дебіторку переносити по непогашених нарядах, кредиторку — по підтверджених накладних або узгодженому початковому балансу постачальника. Якщо одночасно імпортується історія накладних і початковий борг, історичні накладні мають informationalOnly: не нараховувати борг двічі.</w:t>
      </w:r>
    </w:p>
    <w:p>
      <w:r>
        <w:t>Старі Payment не видаляти. Для завершених історичних нарядів залишити старий розрахунок і звіти. Для мігрованих відкритих — перенести залишок/аванс через opening із mapping та виключити їх зі старих агрегатів. Минулі оплати не створюють касові рухи після cutoverAt. Якщо manuallyPaid=true без Payment, зафіксувати «Історично позначено оплаченим»; не вигадувати дату, спосіб чи рух готівки.</w:t>
      </w:r>
    </w:p>
    <w:p>
      <w:r>
        <w:t>Новий реєстр є єдиним джерелом стану оплати для LEDGER-нарядів; старий Payment може бути лише compatibility view/projection, що не входить повторно у підсумки. До запуску перевести всі поточні платіжні writer paths, включно з webhook і ручними оплатами, на режимний адаптер. Історичні платежі зі старими externalId не дублювати.</w:t>
      </w:r>
    </w:p>
    <w:p>
      <w:pPr>
        <w:pStyle w:val="Heading2"/>
      </w:pPr>
      <w:r>
        <w:t>8 4 Перевірка і відкат</w:t>
      </w:r>
    </w:p>
    <w:p>
      <w:r>
        <w:t>Перед увімкненням порівняти opening із затвердженою інвентаризацією, AR/AP із затвердженими боргами, історичні рахунки та оплати — з контрольними сумами. Зберегти звіт dry-run, mapping ID і checksum. Повторний запуск batch не змінює даних.</w:t>
      </w:r>
    </w:p>
    <w:p>
      <w:r>
        <w:t>Після відкриття записів відкат лише коду без даних небезпечний: не повертати старий reconcileStock до нових нарядів. План відкату — maintenance mode, збереження післяміграційних операцій, відновлення перевіреного бекапа та контрольований повтор/перенесення цих операцій. Рішення про відкат приймає відповідальний адміністратор за журналом звірки.</w:t>
      </w:r>
    </w:p>
    <w:p>
      <w:pPr>
        <w:pStyle w:val="Heading1"/>
      </w:pPr>
      <w:r>
        <w:t>9 Критерії приймання та тести</w:t>
      </w:r>
    </w:p>
    <w:p>
      <w:r>
        <w:t>AC01. Чернетка приходу не змінює залишок і AP. Проведення 10 шт по 200 грн дає склад 10, борг постачальнику 2 000 грн. Повтор того самого запиту не змінює результат.</w:t>
      </w:r>
    </w:p>
    <w:p>
      <w:r>
        <w:t>AC02. Резерв 2 шт дає onHand 10, reserved 2, available 8. Видача цих 2 дає onHand 8, reserved 0, available 8, собівартість наряду 400 грн. Повторна видача за тим самим ключем не списує ще 2.</w:t>
      </w:r>
    </w:p>
    <w:p>
      <w:r>
        <w:t>AC03. Двоє користувачів резервують останню одиницю: лише один успіх; другий отримує актуальний дефіцит. Аналогічно для одночасних видач, повернень і рознесення оплат.</w:t>
      </w:r>
    </w:p>
    <w:p>
      <w:r>
        <w:t>AC04. Прихід 10 одиниць розподілено 2/3/5 між двома нарядами і вільним складом. Після проведення обидва резерви існують, доступно 5; дубль рядків наряду не створений.</w:t>
      </w:r>
    </w:p>
    <w:p>
      <w:r>
        <w:t>AC05. Замовлено 5, прийнято 2: очікується 3. Скасовано залишок 3: очікується 0, незабезпечена потреба знову видима до закупівлі. Видача понад доступне заборонена.</w:t>
      </w:r>
    </w:p>
    <w:p>
      <w:r>
        <w:t>AC06. Партії 2 × 100 і 3 × 120; видача 4 дає собівартість 440. Повернення одиниці з другої партії відновлює 120, а не поточну ціну картки. Зміна sellPrice/unitCost картки не змінює історію.</w:t>
      </w:r>
    </w:p>
    <w:p>
      <w:r>
        <w:t>AC07. Оплата постачальнику 1 200 проти накладної 2 000 дає борг 800. Наступна оплата 1 000 закриває борг і залишає аванс 200. Оплату клієнта ця операція не змінює.</w:t>
      </w:r>
    </w:p>
    <w:p>
      <w:r>
        <w:t>AC08. Одна оплата рознесена на два документи; один документ погашено двома оплатами. Конкурентний запит не може перевищити залишки. Скасування рознесення повертає борг та аванс без нового руху каси.</w:t>
      </w:r>
    </w:p>
    <w:p>
      <w:r>
        <w:t>AC09. Повернення постачальнику після повної оплати створює credit AP. Отримання повернення грошей збільшує касу й погашає цей credit. Не виникає від’ємного «простроченого боргу».</w:t>
      </w:r>
    </w:p>
    <w:p>
      <w:r>
        <w:t>AC10. Повернення деталі з наряду не змінює рахунок автоматично. Окремий кредитовий документ зменшує AR; повернення грошей змінює касу. Кількість понад первинну видачу відхиляється.</w:t>
      </w:r>
    </w:p>
    <w:p>
      <w:r>
        <w:t>AC11. Підрядна робота на 3 000 із продажем 3 800 створює собівартість 3 000 і AP 3 000, не змінює склад. Внесення оплати підряднику не закриває борг клієнта.</w:t>
      </w:r>
    </w:p>
    <w:p>
      <w:r>
        <w:t>AC12. Переміщення 3 одиниць між складами зберігає загальну кількість, партію та собівартість. Зарезервований обсяг перемістити без звільнення не можна.</w:t>
      </w:r>
    </w:p>
    <w:p>
      <w:r>
        <w:t>AC13. Сторно проведеного документа лишає оригінал і аудит. Залежна видача блокує повне сторно приходу. Звіт до дати сторно зберігає попередню картину.</w:t>
      </w:r>
    </w:p>
    <w:p>
      <w:r>
        <w:t>AC14. Чужі tenant ID у кожній команді, URL, імпорті та вкладенні не читаються й не змінюються. Механік не отримує собівартість навіть через API/експорт. Неповноважний користувач не проводить і не сторнує документи.</w:t>
      </w:r>
    </w:p>
    <w:p>
      <w:r>
        <w:t>AC15. Імпорт того самого файлу/накладної повторно не створює дубль. Невідомий бренд, неоднозначний SKU, помилка суми, від’ємна кількість та формули файлу обробляються без прихованого пропуску.</w:t>
      </w:r>
    </w:p>
    <w:p>
      <w:r>
        <w:t>AC16. Міграція двічі дає ті самі контрольні суми. Старий оплачений наряд і manuallyPaid не створюють нового надходження каси. Збереження історичного наряду не змінює opening складу.</w:t>
      </w:r>
    </w:p>
    <w:p>
      <w:r>
        <w:t>AC17. На 393 × 852 немає горизонтального скролу сторінки, усі основні дії доступні без hover. З клавіатури можна додати 10 рядків приходу, виправити помилку і зберегти чернетку без миші; проведення потребує явної дії.</w:t>
      </w:r>
    </w:p>
    <w:p>
      <w:r>
        <w:t>AC18. Відмова БД посеред проведення не залишає часткових рухів/боргів. Повтор після таймауту повертає той самий документ. Контрольна звірка ledger vs projection дорівнює нулю.</w:t>
      </w:r>
    </w:p>
    <w:p>
      <w:r>
        <w:t>Покриття: unit для сум/податків/FIFO/строків; integration на PostgreSQL для транзакцій, CHECK/FK та гонок; E2E для повного циклу й мобільного UX; міграційні тести на знеособленій копії та restore drill. Кожен AC має посилання на тест або протокол ручної перевірки.</w:t>
      </w:r>
    </w:p>
    <w:p>
      <w:pPr>
        <w:pStyle w:val="Heading1"/>
      </w:pPr>
      <w:r>
        <w:t>10 Порядок реалізації і результати передачі</w:t>
      </w:r>
    </w:p>
    <w:p>
      <w:r>
        <w:t>Етап 1 — узгодження контрактів, схема БД, довідники, права, Decimal, ідемпотентність, аудит і feature flags. Етап 2 — приходи/партії/резерви/видача/повернення/переміщення та UI наряду. Етап 3 — фінансовий реєстр, каси, рознесення, підрядні послуги й звірка. Етап 4 — потреби/закупівлі/імпорт. Етап 5 — міграція, навантаження, перевірка відновлення та запуск. Етапи 2–4 тестуються окремо, але операційний запуск дозволений лише з узгодженим складським і фінансовим обліком.</w:t>
      </w:r>
    </w:p>
    <w:p>
      <w:r>
        <w:t>Від розробника: Prisma/SQL migrations і rollback runbook; доменні сервіси й типізовані контракти; адаптивні екрани з локалізацією; автоматизовані тести; dry-run міграції та контрольні звіти; інструкція менеджера; інструкція початкових залишків; dashboard технічної звірки; перелік відомих обмежень; план релізу та перевірки після нього.</w:t>
      </w:r>
    </w:p>
    <w:p>
      <w:r>
        <w:t>Не запускати автоматичне сторнування або «виправлення балансів» за нічним розкладом. Reconciliation job лише повідомляє про розбіжності та дає посилання на документи; виправлення — явною аудитованою операцією.</w:t>
      </w:r>
    </w:p>
    <w:p>
      <w:r>
        <w:t>До міграції власник затверджує фактичну дату переходу, початкові залишки/вартості, борги/аванси, касові залишки, перелік складів, податковий режим та розподіл ролей. Відсутність цих значень не блокує розробку, але блокує проведення початкових документів у production.</w:t>
      </w:r>
    </w:p>
    <w:p>
      <w:pPr>
        <w:pStyle w:val="Heading1"/>
      </w:pPr>
      <w:r>
        <w:t>11 Джерела та межі порівняння</w:t>
      </w:r>
    </w:p>
    <w:p>
      <w:r>
        <w:t>Поточний код: prisma/schema/inventory.prisma; prisma/schema/service-records.prisma; src/features/inventory/Lib/reconcileStock.ts; src/features/vehicles/Actions/serviceActions.ts; src/features/billing/Actions/billingActions.ts. Перед реалізацією перевірити актуальний commit і зміни цих контрактів.</w:t>
      </w:r>
    </w:p>
    <w:p>
      <w:r>
        <w:t>Carbook переглянуто в режимі читання: надходження, накладна з рядком, прив’язаним до наряду, картка постачальника та таблиці боргів. Проведення, резервування й інтеграції в цьому акаунті не виконувалися; їх опис перевірено за документацією. Рекомендації цього ТЗ є цільовою поведінкою нашої CRM, а не твердженням про внутрішню БД Carbook.</w:t>
      </w:r>
    </w:p>
    <w:p>
      <w:r>
        <w:t>Складські документи та розподіл по ремонтах: https://help.carbook.pro/storage_document/</w:t>
      </w:r>
    </w:p>
    <w:p>
      <w:r>
        <w:t>Деталі в роботі: https://help.carbook.pro/parts_in_work/</w:t>
      </w:r>
    </w:p>
    <w:p>
      <w:r>
        <w:t>Постачальники: https://help.carbook.pro/directories_suppliers/</w:t>
      </w:r>
    </w:p>
    <w:p>
      <w:r>
        <w:t>Основні положення складського обліку: https://help.carbook.pro/composition-basic-provisions/</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Lauto CRM • Технічне завдання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Технічне завдання на облік товарів і взаєморозрахунків</dc:title>
  <dc:subject/>
  <dc:creator>Lauto</dc:creator>
  <cp:keywords/>
  <dc:description>generated by python-docx</dc:description>
  <cp:lastModifiedBy/>
  <cp:revision>1</cp:revision>
  <dcterms:created xsi:type="dcterms:W3CDTF">2013-12-23T23:15:00Z</dcterms:created>
  <dcterms:modified xsi:type="dcterms:W3CDTF">2013-12-23T23:15:00Z</dcterms:modified>
  <cp:category/>
</cp:coreProperties>
</file>