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40"/>
        <w:jc w:val="center"/>
      </w:pPr>
      <w:r>
        <w:t xml:space="preserve">电商项目团队分工与公共配置方案</w:t>
      </w:r>
    </w:p>
    <w:p>
      <w:pPr>
        <w:spacing w:after="60" w:before="60"/>
      </w:pPr>
      <w:r>
        <w:t xml:space="preserve">文档版本：v1.0</w:t>
      </w:r>
    </w:p>
    <w:p>
      <w:pPr>
        <w:spacing w:after="60" w:before="60"/>
      </w:pPr>
      <w:r>
        <w:t xml:space="preserve">编制日期：2026-07-08</w:t>
      </w:r>
    </w:p>
    <w:p>
      <w:pPr>
        <w:spacing w:after="60" w:before="60"/>
      </w:pPr>
      <w:r>
        <w:t xml:space="preserve">适用范围：京东风格电商平台课程作业</w:t>
      </w:r>
    </w:p>
    <w:p>
      <w:pPr>
        <w:pStyle w:val="Heading1"/>
        <w:spacing w:after="120" w:before="240"/>
      </w:pPr>
      <w:r>
        <w:t xml:space="preserve">一、目标与交付物</w:t>
      </w:r>
    </w:p>
    <w:p>
      <w:pPr>
        <w:spacing w:after="60" w:before="60"/>
      </w:pPr>
      <w:r>
        <w:t xml:space="preserve">本方案基于《京东风格电商平台项目启动指导书（修订版）》及课程作业要求，为5人小组明确成员工作边界，统一公共规范，并设计可在Qoder中共享的skills、rules及MCP配置。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输出：《电商项目团队分工与公共配置方案》Word文档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落地：项目根目录 .qoder/skills/、.qoder/rules/、.qoder/mcps/ 共享配置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效果：每个成员使用同一套接口契约、状态机、数据库规范和Git工作流</w:t>
      </w:r>
    </w:p>
    <w:p>
      <w:pPr>
        <w:pStyle w:val="Heading1"/>
        <w:spacing w:after="120" w:before="240"/>
      </w:pPr>
      <w:r>
        <w:t xml:space="preserve">二、成员分工与职责边界（5人）</w:t>
      </w:r>
    </w:p>
    <w:p>
      <w:pPr>
        <w:spacing w:after="60" w:before="60"/>
      </w:pPr>
      <w:r>
        <w:t xml:space="preserve">按启动指导书推荐的最稳方案划分，确保每个端有唯一负责人，避免职责重叠或空白。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F2F2F2"/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成员</w:t>
            </w:r>
          </w:p>
        </w:tc>
        <w:tc>
          <w:tcPr>
            <w:shd w:fill="F2F2F2"/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负责领域</w:t>
            </w:r>
          </w:p>
        </w:tc>
        <w:tc>
          <w:tcPr>
            <w:shd w:fill="F2F2F2"/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核心任务</w:t>
            </w:r>
          </w:p>
        </w:tc>
        <w:tc>
          <w:tcPr>
            <w:shd w:fill="F2F2F2"/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不越界范围</w:t>
            </w:r>
          </w:p>
        </w:tc>
      </w:tr>
      <w:tr>
        <w:tc>
          <w:tcPr>
            <w:vAlign w:val="center"/>
          </w:tcPr>
          <w:p>
            <w:pPr>
              <w:spacing w:after="40" w:before="40"/>
            </w:pPr>
            <w:r>
              <w:t xml:space="preserve">A</w:t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t xml:space="preserve">后端核心</w:t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t xml:space="preserve">Spring Boot单体服务、MySQL设计、接口实现、JWT鉴权、状态机</w:t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t xml:space="preserve">不碰前端页面与移动端构建</w:t>
            </w:r>
          </w:p>
        </w:tc>
      </w:tr>
      <w:tr>
        <w:tc>
          <w:tcPr>
            <w:vAlign w:val="center"/>
          </w:tcPr>
          <w:p>
            <w:pPr>
              <w:spacing w:after="40" w:before="40"/>
            </w:pPr>
            <w:r>
              <w:t xml:space="preserve">B</w:t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t xml:space="preserve">用户网页端</w:t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t xml:space="preserve">Vue 3 + Vite + Element Plus：首页、搜索、详情、购物车、下单、订单中心、售后、评价</w:t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t xml:space="preserve">不碰商家/管理员后台逻辑</w:t>
            </w:r>
          </w:p>
        </w:tc>
      </w:tr>
      <w:tr>
        <w:tc>
          <w:tcPr>
            <w:vAlign w:val="center"/>
          </w:tcPr>
          <w:p>
            <w:pPr>
              <w:spacing w:after="40" w:before="40"/>
            </w:pPr>
            <w:r>
              <w:t xml:space="preserve">C</w:t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t xml:space="preserve">后台端</w:t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t xml:space="preserve">Vue 3 + Element Plus：商家后台（商品、库存、订单、售后、店铺资料）+ 管理员后台（审核、类目、争议、统计）</w:t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t xml:space="preserve">不碰移动端页面</w:t>
            </w:r>
          </w:p>
        </w:tc>
      </w:tr>
      <w:tr>
        <w:tc>
          <w:tcPr>
            <w:vAlign w:val="center"/>
          </w:tcPr>
          <w:p>
            <w:pPr>
              <w:spacing w:after="40" w:before="40"/>
            </w:pPr>
            <w:r>
              <w:t xml:space="preserve">D</w:t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t xml:space="preserve">App/小程序</w:t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t xml:space="preserve">uni-app统一代码，输出App与微信小程序：首页、分类、详情、购物车、订单、消息、我的、售后</w:t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t xml:space="preserve">不碰后端接口实现，只调API</w:t>
            </w:r>
          </w:p>
        </w:tc>
      </w:tr>
      <w:tr>
        <w:tc>
          <w:tcPr>
            <w:vAlign w:val="center"/>
          </w:tcPr>
          <w:p>
            <w:pPr>
              <w:spacing w:after="40" w:before="40"/>
            </w:pPr>
            <w:r>
              <w:t xml:space="preserve">E</w:t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t xml:space="preserve">测试/文档/公共配置</w:t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t xml:space="preserve">测试账号与数据准备、测试用例、演示脚本、接口文档维护、Qoder共享skills/rules管理、联调统筹</w:t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t xml:space="preserve">不写业务代码，负责规范落地</w:t>
            </w:r>
          </w:p>
        </w:tc>
      </w:tr>
    </w:tbl>
    <w:p>
      <w:pPr>
        <w:pStyle w:val="Heading1"/>
        <w:spacing w:after="120" w:before="240"/>
      </w:pPr>
      <w:r>
        <w:t xml:space="preserve">三、公共内容统一设计</w:t>
      </w:r>
    </w:p>
    <w:p>
      <w:pPr>
        <w:pStyle w:val="Heading2"/>
        <w:spacing w:after="120" w:before="240"/>
      </w:pPr>
      <w:r>
        <w:t xml:space="preserve">3.1 技术栈与工程结构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后端：Spring Boot + MyBatis + MySQL，单体应用，不上微服务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用户网页端：Vue 3 + Vite + Element Plus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后台端：Vue 3 + Element Plus（商家+管理员共用工程，按角色分菜单）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移动端：uni-app（App + 小程序复用同一套页面与逻辑）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鉴权：JWT + 角色权限控制，统一token格式与过期策略</w:t>
      </w:r>
    </w:p>
    <w:p>
      <w:pPr>
        <w:pStyle w:val="Heading2"/>
        <w:spacing w:after="120" w:before="240"/>
      </w:pPr>
      <w:r>
        <w:t xml:space="preserve">3.2 接口规范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统一返回格式：{ code, message, data, total }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分页固定：{ page, pageSize, list, total }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错误码分段：公共错误、用户模块、商品模块、订单模块、售后模块、权限模块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权限判断必须在后端完成，前端仅做按钮隐藏</w:t>
      </w:r>
    </w:p>
    <w:p>
      <w:pPr>
        <w:pStyle w:val="Heading2"/>
        <w:spacing w:after="120" w:before="240"/>
      </w:pPr>
      <w:r>
        <w:t xml:space="preserve">3.3 状态机规范（后端枚举统一定义）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F2F2F2"/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业务对象</w:t>
            </w:r>
          </w:p>
        </w:tc>
        <w:tc>
          <w:tcPr>
            <w:shd w:fill="F2F2F2"/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状态集合</w:t>
            </w:r>
          </w:p>
        </w:tc>
        <w:tc>
          <w:tcPr>
            <w:shd w:fill="F2F2F2"/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vAlign w:val="center"/>
          </w:tcPr>
          <w:p>
            <w:pPr>
              <w:spacing w:after="40" w:before="40"/>
            </w:pPr>
            <w:r>
              <w:t xml:space="preserve">订单</w:t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t xml:space="preserve">待支付、已支付待发货、已发货待收货、已完成、已取消</w:t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t xml:space="preserve">所有端只读，禁止前端自行发明状态名</w:t>
            </w:r>
          </w:p>
        </w:tc>
      </w:tr>
      <w:tr>
        <w:tc>
          <w:tcPr>
            <w:vAlign w:val="center"/>
          </w:tcPr>
          <w:p>
            <w:pPr>
              <w:spacing w:after="40" w:before="40"/>
            </w:pPr>
            <w:r>
              <w:t xml:space="preserve">售后单</w:t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t xml:space="preserve">退款中、商家同意、商家拒绝、平台介入、已退款、已关闭</w:t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t xml:space="preserve">必须保留商家回复和管理员处理结果</w:t>
            </w:r>
          </w:p>
        </w:tc>
      </w:tr>
      <w:tr>
        <w:tc>
          <w:tcPr>
            <w:vAlign w:val="center"/>
          </w:tcPr>
          <w:p>
            <w:pPr>
              <w:spacing w:after="40" w:before="40"/>
            </w:pPr>
            <w:r>
              <w:t xml:space="preserve">商家入驻</w:t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t xml:space="preserve">待审核、已通过、已驳回</w:t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t xml:space="preserve">管理员审核时必须留下原因</w:t>
            </w:r>
          </w:p>
        </w:tc>
      </w:tr>
    </w:tbl>
    <w:p>
      <w:pPr>
        <w:pStyle w:val="Heading2"/>
        <w:spacing w:after="120" w:before="240"/>
      </w:pPr>
      <w:r>
        <w:t xml:space="preserve">3.4 数据库规范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主表统一字段：id、created_at、updated_at、status、deleted_flag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订单明细保存 title_snapshot、price_snapshot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退款单保存 merchant_reply、admin_result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表名、字段名下划线命名，状态使用枚举字符串</w:t>
      </w:r>
    </w:p>
    <w:p>
      <w:pPr>
        <w:pStyle w:val="Heading2"/>
        <w:spacing w:after="120" w:before="240"/>
      </w:pPr>
      <w:r>
        <w:t xml:space="preserve">3.5 Git工作流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主分支：main（可演示稳定版本）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开发分支：develop（日常集成）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功能分支：feature/&lt;模块&gt;-&lt;简述&gt;，如 feature/user-order-list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修复分支：fix/&lt;问题描述&gt;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提交信息规范：type(scope): subject，如 feat(order): 添加订单列表分页查询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必须通过PR合并，至少一名成员review</w:t>
      </w:r>
    </w:p>
    <w:p>
      <w:pPr>
        <w:pStyle w:val="Heading1"/>
        <w:spacing w:after="120" w:before="240"/>
      </w:pPr>
      <w:r>
        <w:t xml:space="preserve">四、Qoder共享配置设计</w:t>
      </w:r>
    </w:p>
    <w:p>
      <w:pPr>
        <w:pStyle w:val="Heading2"/>
        <w:spacing w:after="120" w:before="240"/>
      </w:pPr>
      <w:r>
        <w:t xml:space="preserve">4.1 Skills（.qoder/skills/）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F2F2F2"/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文件名</w:t>
            </w:r>
          </w:p>
        </w:tc>
        <w:tc>
          <w:tcPr>
            <w:shd w:fill="F2F2F2"/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用途</w:t>
            </w:r>
          </w:p>
        </w:tc>
      </w:tr>
      <w:tr>
        <w:tc>
          <w:tcPr>
            <w:vAlign w:val="center"/>
          </w:tcPr>
          <w:p>
            <w:pPr>
              <w:spacing w:after="40" w:before="40"/>
            </w:pPr>
            <w:r>
              <w:t xml:space="preserve">api-design.md</w:t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t xml:space="preserve">指导成员按统一格式设计RESTful接口，包含返回体、分页、错误码示例</w:t>
            </w:r>
          </w:p>
        </w:tc>
      </w:tr>
      <w:tr>
        <w:tc>
          <w:tcPr>
            <w:vAlign w:val="center"/>
          </w:tcPr>
          <w:p>
            <w:pPr>
              <w:spacing w:after="40" w:before="40"/>
            </w:pPr>
            <w:r>
              <w:t xml:space="preserve">db-schema-review.md</w:t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t xml:space="preserve">审查数据库表结构是否包含通用字段、是否保存快照、命名是否规范</w:t>
            </w:r>
          </w:p>
        </w:tc>
      </w:tr>
      <w:tr>
        <w:tc>
          <w:tcPr>
            <w:vAlign w:val="center"/>
          </w:tcPr>
          <w:p>
            <w:pPr>
              <w:spacing w:after="40" w:before="40"/>
            </w:pPr>
            <w:r>
              <w:t xml:space="preserve">crud-generator.md</w:t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t xml:space="preserve">根据实体类生成Spring Boot的Controller、Service、Mapper基础CRUD</w:t>
            </w:r>
          </w:p>
        </w:tc>
      </w:tr>
      <w:tr>
        <w:tc>
          <w:tcPr>
            <w:vAlign w:val="center"/>
          </w:tcPr>
          <w:p>
            <w:pPr>
              <w:spacing w:after="40" w:before="40"/>
            </w:pPr>
            <w:r>
              <w:t xml:space="preserve">frontend-component-guide.md</w:t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t xml:space="preserve">指导Element Plus/uni-app组件选择、表单校验、列表分页写法</w:t>
            </w:r>
          </w:p>
        </w:tc>
      </w:tr>
      <w:tr>
        <w:tc>
          <w:tcPr>
            <w:vAlign w:val="center"/>
          </w:tcPr>
          <w:p>
            <w:pPr>
              <w:spacing w:after="40" w:before="40"/>
            </w:pPr>
            <w:r>
              <w:t xml:space="preserve">test-case-generator.md</w:t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t xml:space="preserve">根据接口或业务流程生成测试步骤、测试账号、验收checklist</w:t>
            </w:r>
          </w:p>
        </w:tc>
      </w:tr>
    </w:tbl>
    <w:p>
      <w:pPr>
        <w:pStyle w:val="Heading2"/>
        <w:spacing w:after="120" w:before="240"/>
      </w:pPr>
      <w:r>
        <w:t xml:space="preserve">4.2 Rules（.qoder/rules/）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F2F2F2"/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文件名</w:t>
            </w:r>
          </w:p>
        </w:tc>
        <w:tc>
          <w:tcPr>
            <w:shd w:fill="F2F2F2"/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约束内容</w:t>
            </w:r>
          </w:p>
        </w:tc>
      </w:tr>
      <w:tr>
        <w:tc>
          <w:tcPr>
            <w:vAlign w:val="center"/>
          </w:tcPr>
          <w:p>
            <w:pPr>
              <w:spacing w:after="40" w:before="40"/>
            </w:pPr>
            <w:r>
              <w:t xml:space="preserve">code-style.md</w:t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t xml:space="preserve">Java/Vue/SQL命名、注释、分层、异常处理规则</w:t>
            </w:r>
          </w:p>
        </w:tc>
      </w:tr>
      <w:tr>
        <w:tc>
          <w:tcPr>
            <w:vAlign w:val="center"/>
          </w:tcPr>
          <w:p>
            <w:pPr>
              <w:spacing w:after="40" w:before="40"/>
            </w:pPr>
            <w:r>
              <w:t xml:space="preserve">db-conventions.md</w:t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t xml:space="preserve">表名、字段名、索引、软删除、通用字段强制要求</w:t>
            </w:r>
          </w:p>
        </w:tc>
      </w:tr>
      <w:tr>
        <w:tc>
          <w:tcPr>
            <w:vAlign w:val="center"/>
          </w:tcPr>
          <w:p>
            <w:pPr>
              <w:spacing w:after="40" w:before="40"/>
            </w:pPr>
            <w:r>
              <w:t xml:space="preserve">api-contract.md</w:t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t xml:space="preserve">统一返回格式、分页参数、权限校验、状态码规则</w:t>
            </w:r>
          </w:p>
        </w:tc>
      </w:tr>
      <w:tr>
        <w:tc>
          <w:tcPr>
            <w:vAlign w:val="center"/>
          </w:tcPr>
          <w:p>
            <w:pPr>
              <w:spacing w:after="40" w:before="40"/>
            </w:pPr>
            <w:r>
              <w:t xml:space="preserve">state-machine.md</w:t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t xml:space="preserve">订单/售后/商家入驻状态流转，禁止绕过状态直接修改</w:t>
            </w:r>
          </w:p>
        </w:tc>
      </w:tr>
      <w:tr>
        <w:tc>
          <w:tcPr>
            <w:vAlign w:val="center"/>
          </w:tcPr>
          <w:p>
            <w:pPr>
              <w:spacing w:after="40" w:before="40"/>
            </w:pPr>
            <w:r>
              <w:t xml:space="preserve">git-workflow.md</w:t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t xml:space="preserve">分支命名、提交信息、PR review、合并规则</w:t>
            </w:r>
          </w:p>
        </w:tc>
      </w:tr>
    </w:tbl>
    <w:p>
      <w:pPr>
        <w:pStyle w:val="Heading2"/>
        <w:spacing w:after="120" w:before="240"/>
      </w:pPr>
      <w:r>
        <w:t xml:space="preserve">4.3 MCP共享配置（.qoder/mcps/）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browser-use.md：说明如何使用browser-use MCP进行端到端页面验证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genui.md：说明如何使用genui MCP生成UI原型或界面参考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不重复安装服务端，复用项目已有MCP server配置，仅输出团队使用约定</w:t>
      </w:r>
    </w:p>
    <w:p>
      <w:pPr>
        <w:pStyle w:val="Heading1"/>
        <w:spacing w:after="120" w:before="240"/>
      </w:pPr>
      <w:r>
        <w:t xml:space="preserve">五、开发阶段与里程碑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F2F2F2"/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阶段</w:t>
            </w:r>
          </w:p>
        </w:tc>
        <w:tc>
          <w:tcPr>
            <w:shd w:fill="F2F2F2"/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周期</w:t>
            </w:r>
          </w:p>
        </w:tc>
        <w:tc>
          <w:tcPr>
            <w:shd w:fill="F2F2F2"/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主要工作</w:t>
            </w:r>
          </w:p>
        </w:tc>
        <w:tc>
          <w:tcPr>
            <w:shd w:fill="F2F2F2"/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产出</w:t>
            </w:r>
          </w:p>
        </w:tc>
      </w:tr>
      <w:tr>
        <w:tc>
          <w:tcPr>
            <w:vAlign w:val="center"/>
          </w:tcPr>
          <w:p>
            <w:pPr>
              <w:spacing w:after="40" w:before="40"/>
            </w:pPr>
            <w:r>
              <w:t xml:space="preserve">需求冻结</w:t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t xml:space="preserve">3天</w:t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t xml:space="preserve">统一角色、页面、状态、字段、接口风格</w:t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t xml:space="preserve">需求清单、页面清单、状态表、数据字典</w:t>
            </w:r>
          </w:p>
        </w:tc>
      </w:tr>
      <w:tr>
        <w:tc>
          <w:tcPr>
            <w:vAlign w:val="center"/>
          </w:tcPr>
          <w:p>
            <w:pPr>
              <w:spacing w:after="40" w:before="40"/>
            </w:pPr>
            <w:r>
              <w:t xml:space="preserve">后端骨架</w:t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t xml:space="preserve">4天</w:t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t xml:space="preserve">登录鉴权、商品、订单、售后、文件上传</w:t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t xml:space="preserve">可运行API和初始化数据</w:t>
            </w:r>
          </w:p>
        </w:tc>
      </w:tr>
      <w:tr>
        <w:tc>
          <w:tcPr>
            <w:vAlign w:val="center"/>
          </w:tcPr>
          <w:p>
            <w:pPr>
              <w:spacing w:after="40" w:before="40"/>
            </w:pPr>
            <w:r>
              <w:t xml:space="preserve">用户网页端</w:t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t xml:space="preserve">5天</w:t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t xml:space="preserve">商品浏览、搜索、购物车、下单、退款</w:t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t xml:space="preserve">用户完整购买闭环</w:t>
            </w:r>
          </w:p>
        </w:tc>
      </w:tr>
      <w:tr>
        <w:tc>
          <w:tcPr>
            <w:vAlign w:val="center"/>
          </w:tcPr>
          <w:p>
            <w:pPr>
              <w:spacing w:after="40" w:before="40"/>
            </w:pPr>
            <w:r>
              <w:t xml:space="preserve">商家+管理员后台</w:t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t xml:space="preserve">5天</w:t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t xml:space="preserve">商品管理、发货、审核、介入、统计</w:t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t xml:space="preserve">后台治理闭环</w:t>
            </w:r>
          </w:p>
        </w:tc>
      </w:tr>
      <w:tr>
        <w:tc>
          <w:tcPr>
            <w:vAlign w:val="center"/>
          </w:tcPr>
          <w:p>
            <w:pPr>
              <w:spacing w:after="40" w:before="40"/>
            </w:pPr>
            <w:r>
              <w:t xml:space="preserve">App/小程序接入</w:t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t xml:space="preserve">4天</w:t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t xml:space="preserve">uni-app页面复用、移动端适配、联调</w:t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t xml:space="preserve">移动端可运行版本</w:t>
            </w:r>
          </w:p>
        </w:tc>
      </w:tr>
      <w:tr>
        <w:tc>
          <w:tcPr>
            <w:vAlign w:val="center"/>
          </w:tcPr>
          <w:p>
            <w:pPr>
              <w:spacing w:after="40" w:before="40"/>
            </w:pPr>
            <w:r>
              <w:t xml:space="preserve">测试与演示准备</w:t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t xml:space="preserve">3天</w:t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t xml:space="preserve">固定测试数据、演示脚本、bug修复</w:t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t xml:space="preserve">稳定可复现的演示环境</w:t>
            </w:r>
          </w:p>
        </w:tc>
      </w:tr>
    </w:tbl>
    <w:p>
      <w:pPr>
        <w:pStyle w:val="Heading1"/>
        <w:spacing w:after="120" w:before="240"/>
      </w:pPr>
      <w:r>
        <w:t xml:space="preserve">六、验收标准</w:t>
      </w:r>
    </w:p>
    <w:p>
      <w:pPr>
        <w:pStyle w:val="Heading2"/>
        <w:spacing w:after="120" w:before="240"/>
      </w:pPr>
      <w:r>
        <w:t xml:space="preserve">P0（必须全部通过）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登录与权限：五个端只能看到自己的菜单和数据范围，越权请求被后端拒绝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商品链路：商家发布后用户端可见，下架后立即不可见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下单链路：用户从购物车到支付再到待发货的状态变化正确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履约链路：商家发货、用户确认收货、订单完成可连通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退款链路：用户申请、商家处理、管理员介入的结果完整保留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移动端构建：App和小程序可以从同一套uni-app代码输出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数据一致性：刷新页面后订单、售后、库存状态不乱</w:t>
      </w:r>
    </w:p>
    <w:p>
      <w:pPr>
        <w:pStyle w:val="Heading2"/>
        <w:spacing w:after="120" w:before="240"/>
      </w:pPr>
      <w:r>
        <w:t xml:space="preserve">P1（建议通过）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空状态处理：无数据时页面不空白、不报错、有提示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演示可复现：启动脚本和初始化数据完整，换机器也能跑</w:t>
      </w:r>
    </w:p>
    <w:p>
      <w:pPr>
        <w:pStyle w:val="Heading1"/>
        <w:spacing w:after="120" w:before="240"/>
      </w:pPr>
      <w:r>
        <w:t xml:space="preserve">七、共享配置维护责任人</w:t>
      </w:r>
    </w:p>
    <w:p>
      <w:pPr>
        <w:spacing w:after="60" w:before="60"/>
      </w:pPr>
      <w:r>
        <w:t xml:space="preserve">由成员E（测试/文档/公共配置负责人）统一维护 .qoder/ 目录。</w:t>
      </w:r>
    </w:p>
    <w:p>
      <w:pPr>
        <w:spacing w:after="60" w:before="60"/>
      </w:pPr>
      <w:r>
        <w:t xml:space="preserve">任何成员如需新增或修改skills/rules，需向成员E提交变更说明，经组长确认后由成员E统一更新，避免公共配置碎片化。</w:t>
      </w:r>
    </w:p>
    <w:p>
      <w:pPr>
        <w:pStyle w:val="Heading1"/>
        <w:spacing w:after="120" w:before="240"/>
      </w:pPr>
      <w:r>
        <w:t xml:space="preserve">八、风险与协作机制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最大风险：状态机不统一导致各端展示不一致。应在需求冻结阶段由后端负责人A输出最终版状态枚举，全体成员签字确认。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联调机制：每完成一个核心接口，成员A在接口文档中标注版本号，成员B/C/D按版本号对接，成员E负责联调记录。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演示机制：固定测试账号、固定商家、固定商品、固定订单和固定退款单，确保每次演示走同一路径。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2026-07-08T06:56:15.137Z</dcterms:created>
  <dcterms:modified xsi:type="dcterms:W3CDTF">2026-07-08T06:56:15.138Z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