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rPr>
          <w:rFonts w:ascii="Times New Roman" w:hAnsi="Times New Roman" w:eastAsia="微软雅黑"/>
          <w:b w:val="0"/>
          <w:color w:val="6B7684"/>
          <w:sz w:val="16"/>
        </w:rPr>
        <w:t>文档编号 TAXI-DA-2026-001　|　密级 内部</w:t>
      </w:r>
    </w:p>
    <w:p>
      <w:pPr>
        <w:spacing w:before="520" w:after="0"/>
      </w:pPr>
      <w:r>
        <w:rPr>
          <w:rFonts w:ascii="Arial" w:hAnsi="Arial" w:eastAsia="Arial"/>
          <w:b/>
          <w:color w:val="8E9AA8"/>
          <w:sz w:val="19"/>
        </w:rPr>
        <w:t>D A T A   A N A L Y S I S   R E P O R T</w:t>
      </w:r>
    </w:p>
    <w:p>
      <w:pPr>
        <w:spacing w:before="120" w:after="40"/>
      </w:pPr>
      <w:r>
        <w:rPr>
          <w:rFonts w:ascii="Times New Roman" w:hAnsi="Times New Roman" w:eastAsia="微软雅黑"/>
          <w:b/>
          <w:color w:val="15527B"/>
          <w:sz w:val="60"/>
        </w:rPr>
        <w:t>波尔图出租车运营时空结构分析</w:t>
      </w:r>
    </w:p>
    <w:p>
      <w:pPr>
        <w:spacing w:before="0" w:after="320"/>
      </w:pPr>
      <w:r>
        <w:rPr>
          <w:rFonts w:ascii="Times New Roman" w:hAnsi="Times New Roman" w:eastAsia="微软雅黑"/>
          <w:b w:val="0"/>
          <w:color w:val="4A5664"/>
          <w:sz w:val="23"/>
        </w:rPr>
        <w:t>基于 2013 年 7 月 10 万趟发车记录的时空节律、空间集中与候客停留</w:t>
      </w:r>
    </w:p>
    <w:p>
      <w:pPr>
        <w:spacing w:before="0" w:after="440"/>
        <w:pBdr>
          <w:bottom w:val="single" w:sz="12" w:space="1" w:color="1D6FA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0"/>
          <w:left w:val="single" w:sz="4" w:space="0" w:color="DCE6F0"/>
          <w:bottom w:val="single" w:sz="4" w:space="0" w:color="DCE6F0"/>
          <w:right w:val="single" w:sz="4" w:space="0" w:color="DCE6F0"/>
          <w:insideH w:val="single" w:sz="4" w:space="0" w:color="DCE6F0"/>
          <w:insideV w:val="single" w:sz="4" w:space="0" w:color="DCE6F0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4513"/>
        <w:gridCol w:w="4513"/>
      </w:tblGrid>
      <w:tr>
        <w:trPr>
          <w:cantSplit/>
        </w:trPr>
        <w:tc>
          <w:tcPr>
            <w:tcW w:type="dxa" w:w="1928"/>
            <w:shd w:val="clear" w:color="auto" w:fill="F4F8FB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微软雅黑"/>
                <w:b/>
                <w:color w:val="15527B"/>
                <w:sz w:val="18"/>
              </w:rPr>
              <w:t>数据集</w:t>
            </w:r>
          </w:p>
        </w:tc>
        <w:tc>
          <w:tcPr>
            <w:tcW w:type="dxa" w:w="6350"/>
          </w:tcPr>
          <w:p>
            <w:pPr>
              <w:spacing w:before="0" w:after="0" w:line="31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8"/>
              </w:rPr>
              <w:t>波尔图出租车轨迹样本 train_100k（ECML/PKDD 2015 公开数据集，WGS84）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4F8FB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微软雅黑"/>
                <w:b/>
                <w:color w:val="15527B"/>
                <w:sz w:val="18"/>
              </w:rPr>
              <w:t>分析问题</w:t>
            </w:r>
          </w:p>
        </w:tc>
        <w:tc>
          <w:tcPr>
            <w:tcW w:type="dxa" w:w="6350"/>
          </w:tcPr>
          <w:p>
            <w:pPr>
              <w:spacing w:before="0" w:after="0" w:line="31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8"/>
              </w:rPr>
              <w:t>出租车运营的时间节律、空间集中与候客停留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4F8FB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微软雅黑"/>
                <w:b/>
                <w:color w:val="15527B"/>
                <w:sz w:val="18"/>
              </w:rPr>
              <w:t>数据时间</w:t>
            </w:r>
          </w:p>
        </w:tc>
        <w:tc>
          <w:tcPr>
            <w:tcW w:type="dxa" w:w="6350"/>
          </w:tcPr>
          <w:p>
            <w:pPr>
              <w:spacing w:before="0" w:after="0" w:line="31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8"/>
              </w:rPr>
              <w:t>2013-07-01 至 2013-07-21（21 天，其中完整日 20 天）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4F8FB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微软雅黑"/>
                <w:b/>
                <w:color w:val="15527B"/>
                <w:sz w:val="18"/>
              </w:rPr>
              <w:t>分析单元</w:t>
            </w:r>
          </w:p>
        </w:tc>
        <w:tc>
          <w:tcPr>
            <w:tcW w:type="dxa" w:w="6350"/>
          </w:tcPr>
          <w:p>
            <w:pPr>
              <w:spacing w:before="0" w:after="0" w:line="31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8"/>
              </w:rPr>
              <w:t>一趟发车记录的首点（时刻 + 位置）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4F8FB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微软雅黑"/>
                <w:b/>
                <w:color w:val="15527B"/>
                <w:sz w:val="18"/>
              </w:rPr>
              <w:t>报告版本</w:t>
            </w:r>
          </w:p>
        </w:tc>
        <w:tc>
          <w:tcPr>
            <w:tcW w:type="dxa" w:w="6350"/>
          </w:tcPr>
          <w:p>
            <w:pPr>
              <w:spacing w:before="0" w:after="0" w:line="31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4F8FB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微软雅黑"/>
                <w:b/>
                <w:color w:val="15527B"/>
                <w:sz w:val="18"/>
              </w:rPr>
              <w:t>编制单位</w:t>
            </w:r>
          </w:p>
        </w:tc>
        <w:tc>
          <w:tcPr>
            <w:tcW w:type="dxa" w:w="6350"/>
          </w:tcPr>
          <w:p>
            <w:pPr>
              <w:spacing w:before="0" w:after="0" w:line="31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8"/>
              </w:rPr>
              <w:t>数据分析组：高帅龙（2428324009）、薛宏博（2428324276）</w:t>
            </w:r>
          </w:p>
        </w:tc>
      </w:tr>
    </w:tbl>
    <w:p>
      <w:pPr>
        <w:spacing w:before="800" w:after="40"/>
        <w:jc w:val="center"/>
      </w:pPr>
      <w:r>
        <w:rPr>
          <w:rFonts w:ascii="Times New Roman" w:hAnsi="Times New Roman" w:eastAsia="微软雅黑"/>
          <w:b/>
          <w:color w:val="2B333F"/>
          <w:sz w:val="22"/>
        </w:rPr>
        <w:t>数据分析组</w:t>
      </w:r>
    </w:p>
    <w:p>
      <w:pPr>
        <w:spacing w:before="0"/>
        <w:jc w:val="center"/>
      </w:pPr>
      <w:r>
        <w:rPr>
          <w:rFonts w:ascii="Times New Roman" w:hAnsi="Times New Roman" w:eastAsia="微软雅黑"/>
          <w:b w:val="0"/>
          <w:color w:val="6B7684"/>
          <w:sz w:val="20"/>
        </w:rPr>
        <w:t>二〇二六年十月</w:t>
      </w:r>
    </w:p>
    <w:p>
      <w:r>
        <w:br w:type="page"/>
      </w:r>
    </w:p>
    <w:p>
      <w:pPr>
        <w:spacing w:before="80" w:after="360"/>
        <w:jc w:val="center"/>
      </w:pPr>
      <w:r>
        <w:rPr>
          <w:rFonts w:ascii="Times New Roman" w:hAnsi="Times New Roman" w:eastAsia="微软雅黑"/>
          <w:b/>
          <w:color w:val="15527B"/>
          <w:sz w:val="32"/>
        </w:rPr>
        <w:t>目　　录</w:t>
      </w:r>
    </w:p>
    <w:p>
      <w:pPr>
        <w:tabs>
          <w:tab w:pos="9026" w:val="right" w:leader="dot"/>
        </w:tabs>
        <w:spacing w:before="140" w:after="0" w:line="288" w:lineRule="auto"/>
        <w:ind w:left="0"/>
      </w:pPr>
      <w:r>
        <w:rPr>
          <w:rFonts w:ascii="Times New Roman" w:hAnsi="Times New Roman" w:eastAsia="微软雅黑"/>
          <w:b/>
          <w:color w:val="15527B"/>
          <w:sz w:val="21"/>
        </w:rPr>
        <w:t>管理摘要</w:t>
      </w:r>
      <w:r>
        <w:rPr>
          <w:rFonts w:ascii="Times New Roman" w:hAnsi="Times New Roman" w:eastAsia="微软雅黑"/>
          <w:b/>
          <w:color w:val="15527B"/>
          <w:sz w:val="19"/>
        </w:rPr>
        <w:tab/>
        <w:t>3</w:t>
      </w:r>
    </w:p>
    <w:p>
      <w:pPr>
        <w:tabs>
          <w:tab w:pos="9026" w:val="right" w:leader="dot"/>
        </w:tabs>
        <w:spacing w:before="140" w:after="0" w:line="288" w:lineRule="auto"/>
        <w:ind w:left="0"/>
      </w:pPr>
      <w:r>
        <w:rPr>
          <w:rFonts w:ascii="Times New Roman" w:hAnsi="Times New Roman" w:eastAsia="微软雅黑"/>
          <w:b/>
          <w:color w:val="15527B"/>
          <w:sz w:val="21"/>
        </w:rPr>
        <w:t>1　分析问题与口径</w:t>
      </w:r>
      <w:r>
        <w:rPr>
          <w:rFonts w:ascii="Times New Roman" w:hAnsi="Times New Roman" w:eastAsia="微软雅黑"/>
          <w:b/>
          <w:color w:val="15527B"/>
          <w:sz w:val="19"/>
        </w:rPr>
        <w:tab/>
        <w:t>4</w:t>
      </w:r>
    </w:p>
    <w:p>
      <w:pPr>
        <w:tabs>
          <w:tab w:pos="8544" w:val="right" w:leader="dot"/>
        </w:tabs>
        <w:spacing w:before="40" w:after="0" w:line="288" w:lineRule="auto"/>
        <w:ind w:left="482"/>
      </w:pPr>
      <w:r>
        <w:rPr>
          <w:rFonts w:ascii="Times New Roman" w:hAnsi="Times New Roman" w:eastAsia="微软雅黑"/>
          <w:b w:val="0"/>
          <w:color w:val="44505E"/>
          <w:sz w:val="19"/>
        </w:rPr>
        <w:t>1.1　从一句业务需求到四个可计算的问题</w:t>
      </w:r>
      <w:r>
        <w:rPr>
          <w:rFonts w:ascii="Times New Roman" w:hAnsi="Times New Roman" w:eastAsia="微软雅黑"/>
          <w:b w:val="0"/>
          <w:color w:val="6B7684"/>
          <w:sz w:val="18"/>
        </w:rPr>
        <w:tab/>
        <w:t>4</w:t>
      </w:r>
    </w:p>
    <w:p>
      <w:pPr>
        <w:tabs>
          <w:tab w:pos="8544" w:val="right" w:leader="dot"/>
        </w:tabs>
        <w:spacing w:before="40" w:after="0" w:line="288" w:lineRule="auto"/>
        <w:ind w:left="482"/>
      </w:pPr>
      <w:r>
        <w:rPr>
          <w:rFonts w:ascii="Times New Roman" w:hAnsi="Times New Roman" w:eastAsia="微软雅黑"/>
          <w:b w:val="0"/>
          <w:color w:val="44505E"/>
          <w:sz w:val="19"/>
        </w:rPr>
        <w:t>1.2　口径与参数</w:t>
      </w:r>
      <w:r>
        <w:rPr>
          <w:rFonts w:ascii="Times New Roman" w:hAnsi="Times New Roman" w:eastAsia="微软雅黑"/>
          <w:b w:val="0"/>
          <w:color w:val="6B7684"/>
          <w:sz w:val="18"/>
        </w:rPr>
        <w:tab/>
        <w:t>4</w:t>
      </w:r>
    </w:p>
    <w:p>
      <w:pPr>
        <w:tabs>
          <w:tab w:pos="9026" w:val="right" w:leader="dot"/>
        </w:tabs>
        <w:spacing w:before="140" w:after="0" w:line="288" w:lineRule="auto"/>
        <w:ind w:left="0"/>
      </w:pPr>
      <w:r>
        <w:rPr>
          <w:rFonts w:ascii="Times New Roman" w:hAnsi="Times New Roman" w:eastAsia="微软雅黑"/>
          <w:b/>
          <w:color w:val="15527B"/>
          <w:sz w:val="21"/>
        </w:rPr>
        <w:t>2　数据与样本</w:t>
      </w:r>
      <w:r>
        <w:rPr>
          <w:rFonts w:ascii="Times New Roman" w:hAnsi="Times New Roman" w:eastAsia="微软雅黑"/>
          <w:b/>
          <w:color w:val="15527B"/>
          <w:sz w:val="19"/>
        </w:rPr>
        <w:tab/>
        <w:t>5</w:t>
      </w:r>
    </w:p>
    <w:p>
      <w:pPr>
        <w:tabs>
          <w:tab w:pos="9026" w:val="right" w:leader="dot"/>
        </w:tabs>
        <w:spacing w:before="140" w:after="0" w:line="288" w:lineRule="auto"/>
        <w:ind w:left="0"/>
      </w:pPr>
      <w:r>
        <w:rPr>
          <w:rFonts w:ascii="Times New Roman" w:hAnsi="Times New Roman" w:eastAsia="微软雅黑"/>
          <w:b/>
          <w:color w:val="15527B"/>
          <w:sz w:val="21"/>
        </w:rPr>
        <w:t>3　时间节律：什么时候最忙</w:t>
      </w:r>
      <w:r>
        <w:rPr>
          <w:rFonts w:ascii="Times New Roman" w:hAnsi="Times New Roman" w:eastAsia="微软雅黑"/>
          <w:b/>
          <w:color w:val="15527B"/>
          <w:sz w:val="19"/>
        </w:rPr>
        <w:tab/>
        <w:t>6</w:t>
      </w:r>
    </w:p>
    <w:p>
      <w:pPr>
        <w:tabs>
          <w:tab w:pos="8544" w:val="right" w:leader="dot"/>
        </w:tabs>
        <w:spacing w:before="40" w:after="0" w:line="288" w:lineRule="auto"/>
        <w:ind w:left="482"/>
      </w:pPr>
      <w:r>
        <w:rPr>
          <w:rFonts w:ascii="Times New Roman" w:hAnsi="Times New Roman" w:eastAsia="微软雅黑"/>
          <w:b w:val="0"/>
          <w:color w:val="44505E"/>
          <w:sz w:val="19"/>
        </w:rPr>
        <w:t>3.1　日尺度：21 天的波动</w:t>
      </w:r>
      <w:r>
        <w:rPr>
          <w:rFonts w:ascii="Times New Roman" w:hAnsi="Times New Roman" w:eastAsia="微软雅黑"/>
          <w:b w:val="0"/>
          <w:color w:val="6B7684"/>
          <w:sz w:val="18"/>
        </w:rPr>
        <w:tab/>
        <w:t>6</w:t>
      </w:r>
    </w:p>
    <w:p>
      <w:pPr>
        <w:tabs>
          <w:tab w:pos="8544" w:val="right" w:leader="dot"/>
        </w:tabs>
        <w:spacing w:before="40" w:after="0" w:line="288" w:lineRule="auto"/>
        <w:ind w:left="482"/>
      </w:pPr>
      <w:r>
        <w:rPr>
          <w:rFonts w:ascii="Times New Roman" w:hAnsi="Times New Roman" w:eastAsia="微软雅黑"/>
          <w:b w:val="0"/>
          <w:color w:val="44505E"/>
          <w:sz w:val="19"/>
        </w:rPr>
        <w:t>3.2　小时尺度：双峰结构</w:t>
      </w:r>
      <w:r>
        <w:rPr>
          <w:rFonts w:ascii="Times New Roman" w:hAnsi="Times New Roman" w:eastAsia="微软雅黑"/>
          <w:b w:val="0"/>
          <w:color w:val="6B7684"/>
          <w:sz w:val="18"/>
        </w:rPr>
        <w:tab/>
        <w:t>6</w:t>
      </w:r>
    </w:p>
    <w:p>
      <w:pPr>
        <w:tabs>
          <w:tab w:pos="8544" w:val="right" w:leader="dot"/>
        </w:tabs>
        <w:spacing w:before="40" w:after="0" w:line="288" w:lineRule="auto"/>
        <w:ind w:left="482"/>
      </w:pPr>
      <w:r>
        <w:rPr>
          <w:rFonts w:ascii="Times New Roman" w:hAnsi="Times New Roman" w:eastAsia="微软雅黑"/>
          <w:b w:val="0"/>
          <w:color w:val="44505E"/>
          <w:sz w:val="19"/>
        </w:rPr>
        <w:t>3.3　车辆层面：一趟接一趟有多密</w:t>
      </w:r>
      <w:r>
        <w:rPr>
          <w:rFonts w:ascii="Times New Roman" w:hAnsi="Times New Roman" w:eastAsia="微软雅黑"/>
          <w:b w:val="0"/>
          <w:color w:val="6B7684"/>
          <w:sz w:val="18"/>
        </w:rPr>
        <w:tab/>
        <w:t>7</w:t>
      </w:r>
    </w:p>
    <w:p>
      <w:pPr>
        <w:tabs>
          <w:tab w:pos="9026" w:val="right" w:leader="dot"/>
        </w:tabs>
        <w:spacing w:before="140" w:after="0" w:line="288" w:lineRule="auto"/>
        <w:ind w:left="0"/>
      </w:pPr>
      <w:r>
        <w:rPr>
          <w:rFonts w:ascii="Times New Roman" w:hAnsi="Times New Roman" w:eastAsia="微软雅黑"/>
          <w:b/>
          <w:color w:val="15527B"/>
          <w:sz w:val="21"/>
        </w:rPr>
        <w:t>4　空间结构：车停在哪里</w:t>
      </w:r>
      <w:r>
        <w:rPr>
          <w:rFonts w:ascii="Times New Roman" w:hAnsi="Times New Roman" w:eastAsia="微软雅黑"/>
          <w:b/>
          <w:color w:val="15527B"/>
          <w:sz w:val="19"/>
        </w:rPr>
        <w:tab/>
        <w:t>8</w:t>
      </w:r>
    </w:p>
    <w:p>
      <w:pPr>
        <w:tabs>
          <w:tab w:pos="8544" w:val="right" w:leader="dot"/>
        </w:tabs>
        <w:spacing w:before="40" w:after="0" w:line="288" w:lineRule="auto"/>
        <w:ind w:left="482"/>
      </w:pPr>
      <w:r>
        <w:rPr>
          <w:rFonts w:ascii="Times New Roman" w:hAnsi="Times New Roman" w:eastAsia="微软雅黑"/>
          <w:b w:val="0"/>
          <w:color w:val="44505E"/>
          <w:sz w:val="19"/>
        </w:rPr>
        <w:t>4.1　上车点密度与网格集中度</w:t>
      </w:r>
      <w:r>
        <w:rPr>
          <w:rFonts w:ascii="Times New Roman" w:hAnsi="Times New Roman" w:eastAsia="微软雅黑"/>
          <w:b w:val="0"/>
          <w:color w:val="6B7684"/>
          <w:sz w:val="18"/>
        </w:rPr>
        <w:tab/>
        <w:t>8</w:t>
      </w:r>
    </w:p>
    <w:p>
      <w:pPr>
        <w:tabs>
          <w:tab w:pos="8544" w:val="right" w:leader="dot"/>
        </w:tabs>
        <w:spacing w:before="40" w:after="0" w:line="288" w:lineRule="auto"/>
        <w:ind w:left="482"/>
      </w:pPr>
      <w:r>
        <w:rPr>
          <w:rFonts w:ascii="Times New Roman" w:hAnsi="Times New Roman" w:eastAsia="微软雅黑"/>
          <w:b w:val="0"/>
          <w:color w:val="44505E"/>
          <w:sz w:val="19"/>
        </w:rPr>
        <w:t>4.2　区域分带与昼夜潮汐</w:t>
      </w:r>
      <w:r>
        <w:rPr>
          <w:rFonts w:ascii="Times New Roman" w:hAnsi="Times New Roman" w:eastAsia="微软雅黑"/>
          <w:b w:val="0"/>
          <w:color w:val="6B7684"/>
          <w:sz w:val="18"/>
        </w:rPr>
        <w:tab/>
        <w:t>9</w:t>
      </w:r>
    </w:p>
    <w:p>
      <w:pPr>
        <w:tabs>
          <w:tab w:pos="9026" w:val="right" w:leader="dot"/>
        </w:tabs>
        <w:spacing w:before="140" w:after="0" w:line="288" w:lineRule="auto"/>
        <w:ind w:left="0"/>
      </w:pPr>
      <w:r>
        <w:rPr>
          <w:rFonts w:ascii="Times New Roman" w:hAnsi="Times New Roman" w:eastAsia="微软雅黑"/>
          <w:b/>
          <w:color w:val="15527B"/>
          <w:sz w:val="21"/>
        </w:rPr>
        <w:t>5　热点覆盖：一个热点，七个半径</w:t>
      </w:r>
      <w:r>
        <w:rPr>
          <w:rFonts w:ascii="Times New Roman" w:hAnsi="Times New Roman" w:eastAsia="微软雅黑"/>
          <w:b/>
          <w:color w:val="15527B"/>
          <w:sz w:val="19"/>
        </w:rPr>
        <w:tab/>
        <w:t>10</w:t>
      </w:r>
    </w:p>
    <w:p>
      <w:pPr>
        <w:tabs>
          <w:tab w:pos="9026" w:val="right" w:leader="dot"/>
        </w:tabs>
        <w:spacing w:before="140" w:after="0" w:line="288" w:lineRule="auto"/>
        <w:ind w:left="0"/>
      </w:pPr>
      <w:r>
        <w:rPr>
          <w:rFonts w:ascii="Times New Roman" w:hAnsi="Times New Roman" w:eastAsia="微软雅黑"/>
          <w:b/>
          <w:color w:val="15527B"/>
          <w:sz w:val="21"/>
        </w:rPr>
        <w:t>6　候客停留：参数如何决定结论</w:t>
      </w:r>
      <w:r>
        <w:rPr>
          <w:rFonts w:ascii="Times New Roman" w:hAnsi="Times New Roman" w:eastAsia="微软雅黑"/>
          <w:b/>
          <w:color w:val="15527B"/>
          <w:sz w:val="19"/>
        </w:rPr>
        <w:tab/>
        <w:t>11</w:t>
      </w:r>
    </w:p>
    <w:p>
      <w:pPr>
        <w:tabs>
          <w:tab w:pos="9026" w:val="right" w:leader="dot"/>
        </w:tabs>
        <w:spacing w:before="140" w:after="0" w:line="288" w:lineRule="auto"/>
        <w:ind w:left="0"/>
      </w:pPr>
      <w:r>
        <w:rPr>
          <w:rFonts w:ascii="Times New Roman" w:hAnsi="Times New Roman" w:eastAsia="微软雅黑"/>
          <w:b/>
          <w:color w:val="15527B"/>
          <w:sz w:val="21"/>
        </w:rPr>
        <w:t>7　结论与建议</w:t>
      </w:r>
      <w:r>
        <w:rPr>
          <w:rFonts w:ascii="Times New Roman" w:hAnsi="Times New Roman" w:eastAsia="微软雅黑"/>
          <w:b/>
          <w:color w:val="15527B"/>
          <w:sz w:val="19"/>
        </w:rPr>
        <w:tab/>
        <w:t>12</w:t>
      </w:r>
    </w:p>
    <w:p>
      <w:pPr>
        <w:tabs>
          <w:tab w:pos="9026" w:val="right" w:leader="dot"/>
        </w:tabs>
        <w:spacing w:before="140" w:after="0" w:line="288" w:lineRule="auto"/>
        <w:ind w:left="0"/>
      </w:pPr>
      <w:r>
        <w:rPr>
          <w:rFonts w:ascii="Times New Roman" w:hAnsi="Times New Roman" w:eastAsia="微软雅黑"/>
          <w:b/>
          <w:color w:val="15527B"/>
          <w:sz w:val="21"/>
        </w:rPr>
        <w:t>8　使用边界</w:t>
      </w:r>
      <w:r>
        <w:rPr>
          <w:rFonts w:ascii="Times New Roman" w:hAnsi="Times New Roman" w:eastAsia="微软雅黑"/>
          <w:b/>
          <w:color w:val="15527B"/>
          <w:sz w:val="19"/>
        </w:rPr>
        <w:tab/>
        <w:t>12</w:t>
      </w:r>
    </w:p>
    <w:p>
      <w:pPr>
        <w:tabs>
          <w:tab w:pos="9026" w:val="right" w:leader="dot"/>
        </w:tabs>
        <w:spacing w:before="140" w:after="0" w:line="288" w:lineRule="auto"/>
        <w:ind w:left="0"/>
      </w:pPr>
      <w:r>
        <w:rPr>
          <w:rFonts w:ascii="Times New Roman" w:hAnsi="Times New Roman" w:eastAsia="微软雅黑"/>
          <w:b/>
          <w:color w:val="15527B"/>
          <w:sz w:val="21"/>
        </w:rPr>
        <w:t>附录 A　指标口径与证据索引</w:t>
      </w:r>
      <w:r>
        <w:rPr>
          <w:rFonts w:ascii="Times New Roman" w:hAnsi="Times New Roman" w:eastAsia="微软雅黑"/>
          <w:b/>
          <w:color w:val="15527B"/>
          <w:sz w:val="19"/>
        </w:rPr>
        <w:tab/>
        <w:t>13</w:t>
      </w:r>
    </w:p>
    <w:p>
      <w:pPr>
        <w:tabs>
          <w:tab w:pos="9026" w:val="right" w:leader="dot"/>
        </w:tabs>
        <w:spacing w:before="140" w:after="0" w:line="288" w:lineRule="auto"/>
        <w:ind w:left="0"/>
      </w:pPr>
      <w:r>
        <w:rPr>
          <w:rFonts w:ascii="Times New Roman" w:hAnsi="Times New Roman" w:eastAsia="微软雅黑"/>
          <w:b/>
          <w:color w:val="15527B"/>
          <w:sz w:val="21"/>
        </w:rPr>
        <w:t>附录 B　图表与数据清单</w:t>
      </w:r>
      <w:r>
        <w:rPr>
          <w:rFonts w:ascii="Times New Roman" w:hAnsi="Times New Roman" w:eastAsia="微软雅黑"/>
          <w:b/>
          <w:color w:val="15527B"/>
          <w:sz w:val="19"/>
        </w:rPr>
        <w:tab/>
        <w:t>14</w:t>
      </w:r>
    </w:p>
    <w:p>
      <w:pPr>
        <w:tabs>
          <w:tab w:pos="9026" w:val="right" w:leader="dot"/>
        </w:tabs>
        <w:spacing w:before="140" w:after="0" w:line="288" w:lineRule="auto"/>
        <w:ind w:left="0"/>
      </w:pPr>
      <w:r>
        <w:rPr>
          <w:rFonts w:ascii="Times New Roman" w:hAnsi="Times New Roman" w:eastAsia="微软雅黑"/>
          <w:b/>
          <w:color w:val="15527B"/>
          <w:sz w:val="21"/>
        </w:rPr>
        <w:t>附录 C　大模型使用记录</w:t>
      </w:r>
      <w:r>
        <w:rPr>
          <w:rFonts w:ascii="Times New Roman" w:hAnsi="Times New Roman" w:eastAsia="微软雅黑"/>
          <w:b/>
          <w:color w:val="15527B"/>
          <w:sz w:val="19"/>
        </w:rPr>
        <w:tab/>
        <w:t>14</w:t>
      </w:r>
    </w:p>
    <w:p>
      <w:pPr>
        <w:spacing w:before="480"/>
        <w:jc w:val="center"/>
      </w:pPr>
      <w:r>
        <w:rPr>
          <w:rFonts w:ascii="Times New Roman" w:hAnsi="Times New Roman" w:eastAsia="宋体"/>
          <w:b w:val="0"/>
          <w:color w:val="6B7684"/>
          <w:sz w:val="16"/>
        </w:rPr>
        <w:t>（目录页码已按最终排版填定；如后续手工增删内容，请同步核对页码。）</w:t>
      </w:r>
    </w:p>
    <w:p>
      <w:r>
        <w:br w:type="page"/>
      </w:r>
    </w:p>
    <w:p>
      <w:pPr>
        <w:pStyle w:val="Heading1"/>
        <w:pBdr>
          <w:bottom w:val="single" w:sz="6" w:space="4" w:color="D5DEE7"/>
        </w:pBdr>
      </w:pPr>
      <w:r>
        <w:rPr>
          <w:rFonts w:ascii="Times New Roman" w:hAnsi="Times New Roman" w:eastAsia="微软雅黑"/>
          <w:b/>
          <w:color w:val="15527B"/>
          <w:sz w:val="30"/>
        </w:rPr>
        <w:t>管理摘要</w:t>
      </w:r>
    </w:p>
    <w:p>
      <w:pPr>
        <w:spacing w:before="0" w:after="80" w:line="348" w:lineRule="auto"/>
        <w:ind w:firstLine="408"/>
        <w:jc w:val="both"/>
      </w:pPr>
      <w:r>
        <w:rPr>
          <w:rFonts w:ascii="Times New Roman" w:hAnsi="Times New Roman" w:eastAsia="宋体"/>
          <w:b/>
          <w:color w:val="15527B"/>
          <w:sz w:val="20"/>
        </w:rPr>
        <w:t>样本可用性高。</w:t>
      </w:r>
      <w:r>
        <w:rPr>
          <w:rFonts w:ascii="Times New Roman" w:hAnsi="Times New Roman" w:eastAsia="宋体"/>
          <w:b w:val="0"/>
          <w:color w:val="2B333F"/>
          <w:sz w:val="20"/>
        </w:rPr>
        <w:t xml:space="preserve">10 万趟发车记录清洗后保留 </w:t>
      </w:r>
      <w:r>
        <w:rPr>
          <w:rFonts w:ascii="Times New Roman" w:hAnsi="Times New Roman" w:eastAsia="宋体"/>
          <w:b/>
          <w:color w:val="2B333F"/>
          <w:sz w:val="20"/>
        </w:rPr>
        <w:t>99,618 趟（99.62%）</w:t>
      </w:r>
      <w:r>
        <w:rPr>
          <w:rFonts w:ascii="Times New Roman" w:hAnsi="Times New Roman" w:eastAsia="宋体"/>
          <w:b w:val="0"/>
          <w:color w:val="2B333F"/>
          <w:sz w:val="20"/>
        </w:rPr>
        <w:t>，覆盖 428 辆运营车、62 个候客站台、21 天（完整日 20 天），剔除量集中在空轨迹（367 趟）与首点越界（15 趟）。</w:t>
      </w:r>
    </w:p>
    <w:p>
      <w:pPr>
        <w:spacing w:before="0" w:after="80" w:line="348" w:lineRule="auto"/>
        <w:ind w:firstLine="408"/>
        <w:jc w:val="both"/>
      </w:pPr>
      <w:r>
        <w:rPr>
          <w:rFonts w:ascii="Times New Roman" w:hAnsi="Times New Roman" w:eastAsia="宋体"/>
          <w:b/>
          <w:color w:val="15527B"/>
          <w:sz w:val="20"/>
        </w:rPr>
        <w:t>空间高度向心。</w:t>
      </w:r>
      <w:r>
        <w:rPr>
          <w:rFonts w:ascii="Times New Roman" w:hAnsi="Times New Roman" w:eastAsia="宋体"/>
          <w:b w:val="0"/>
          <w:color w:val="2B333F"/>
          <w:sz w:val="20"/>
        </w:rPr>
        <w:t xml:space="preserve">核心区与内环合计承载 </w:t>
      </w:r>
      <w:r>
        <w:rPr>
          <w:rFonts w:ascii="Times New Roman" w:hAnsi="Times New Roman" w:eastAsia="宋体"/>
          <w:b/>
          <w:color w:val="2B333F"/>
          <w:sz w:val="20"/>
        </w:rPr>
        <w:t>87.0%</w:t>
      </w:r>
      <w:r>
        <w:rPr>
          <w:rFonts w:ascii="Times New Roman" w:hAnsi="Times New Roman" w:eastAsia="宋体"/>
          <w:b w:val="0"/>
          <w:color w:val="2B333F"/>
          <w:sz w:val="20"/>
        </w:rPr>
        <w:t xml:space="preserve"> 的发车趟次；最密的 1km 网格单格就有 20,663 趟（20.7%），422 辆车（占 428 辆的 98.6%）到访过这一格；15 号站台单站发车 4,958 趟，是第二名（57 号，3,225 趟）的 1.54 倍。</w:t>
      </w:r>
    </w:p>
    <w:p>
      <w:pPr>
        <w:spacing w:before="0" w:after="80" w:line="348" w:lineRule="auto"/>
        <w:ind w:firstLine="408"/>
        <w:jc w:val="both"/>
      </w:pPr>
      <w:r>
        <w:rPr>
          <w:rFonts w:ascii="Times New Roman" w:hAnsi="Times New Roman" w:eastAsia="宋体"/>
          <w:b/>
          <w:color w:val="15527B"/>
          <w:sz w:val="20"/>
        </w:rPr>
        <w:t>时间呈双峰。</w:t>
      </w:r>
      <w:r>
        <w:rPr>
          <w:rFonts w:ascii="Times New Roman" w:hAnsi="Times New Roman" w:eastAsia="宋体"/>
          <w:b w:val="0"/>
          <w:color w:val="2B333F"/>
          <w:sz w:val="20"/>
        </w:rPr>
        <w:t xml:space="preserve">9—11 点与 14—16 点两段高峰，10 点封顶 </w:t>
      </w:r>
      <w:r>
        <w:rPr>
          <w:rFonts w:ascii="Times New Roman" w:hAnsi="Times New Roman" w:eastAsia="宋体"/>
          <w:b/>
          <w:color w:val="2B333F"/>
          <w:sz w:val="20"/>
        </w:rPr>
        <w:t>6,022 趟</w:t>
      </w:r>
      <w:r>
        <w:rPr>
          <w:rFonts w:ascii="Times New Roman" w:hAnsi="Times New Roman" w:eastAsia="宋体"/>
          <w:b w:val="0"/>
          <w:color w:val="2B333F"/>
          <w:sz w:val="20"/>
        </w:rPr>
        <w:t>；热点 500m 内去重车辆在 9—16 点持续保持 100 辆以上，10 点达 123 辆。凌晨 0—5 点仍有 17.7% 的趟次，夜间运力并未退出。</w:t>
      </w:r>
    </w:p>
    <w:p>
      <w:pPr>
        <w:spacing w:before="0" w:after="80" w:line="348" w:lineRule="auto"/>
        <w:ind w:firstLine="408"/>
        <w:jc w:val="both"/>
      </w:pPr>
      <w:r>
        <w:rPr>
          <w:rFonts w:ascii="Times New Roman" w:hAnsi="Times New Roman" w:eastAsia="宋体"/>
          <w:b/>
          <w:color w:val="15527B"/>
          <w:sz w:val="20"/>
        </w:rPr>
        <w:t>停留结论高度依赖口径。</w:t>
      </w:r>
      <w:r>
        <w:rPr>
          <w:rFonts w:ascii="Times New Roman" w:hAnsi="Times New Roman" w:eastAsia="宋体"/>
          <w:b w:val="0"/>
          <w:color w:val="2B333F"/>
          <w:sz w:val="20"/>
        </w:rPr>
        <w:t xml:space="preserve">以 200m/10 分钟识别人均 </w:t>
      </w:r>
      <w:r>
        <w:rPr>
          <w:rFonts w:ascii="Times New Roman" w:hAnsi="Times New Roman" w:eastAsia="宋体"/>
          <w:b/>
          <w:color w:val="2B333F"/>
          <w:sz w:val="20"/>
        </w:rPr>
        <w:t>0.95 处</w:t>
      </w:r>
      <w:r>
        <w:rPr>
          <w:rFonts w:ascii="Times New Roman" w:hAnsi="Times New Roman" w:eastAsia="宋体"/>
          <w:b w:val="0"/>
          <w:color w:val="2B333F"/>
          <w:sz w:val="20"/>
        </w:rPr>
        <w:t xml:space="preserve"> 候客停留；最短时长阈值从 5 分钟放到 30 分钟，人均停留点由 3.22 处降到 0.13 处（−96%），半径从 200m 放到 500m 则升至 1.54 处。</w:t>
      </w:r>
    </w:p>
    <w:p>
      <w:pPr>
        <w:spacing w:before="0" w:after="80" w:line="348" w:lineRule="auto"/>
        <w:ind w:firstLine="408"/>
        <w:jc w:val="both"/>
      </w:pPr>
      <w:r>
        <w:rPr>
          <w:rFonts w:ascii="Times New Roman" w:hAnsi="Times New Roman" w:eastAsia="宋体"/>
          <w:b/>
          <w:color w:val="15527B"/>
          <w:sz w:val="20"/>
        </w:rPr>
        <w:t>引用须带口径。</w:t>
      </w:r>
      <w:r>
        <w:rPr>
          <w:rFonts w:ascii="Times New Roman" w:hAnsi="Times New Roman" w:eastAsia="宋体"/>
          <w:b w:val="0"/>
          <w:color w:val="2B333F"/>
          <w:sz w:val="20"/>
        </w:rPr>
        <w:t>覆盖类数字必须连同半径、停留类数字必须连同最短时长一起引用，否则不可比。</w:t>
      </w:r>
    </w:p>
    <w:p>
      <w:pPr>
        <w:keepNext/>
        <w:spacing w:before="200" w:after="80" w:line="276" w:lineRule="auto"/>
        <w:jc w:val="left"/>
      </w:pPr>
      <w:r>
        <w:rPr>
          <w:rFonts w:ascii="Times New Roman" w:hAnsi="Times New Roman" w:eastAsia="微软雅黑"/>
          <w:b/>
          <w:color w:val="15527B"/>
          <w:sz w:val="17"/>
        </w:rPr>
        <w:t>表 1　关键分析结果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1757"/>
            <w:shd w:val="clear" w:color="auto" w:fill="E8F1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5527B"/>
                <w:sz w:val="18"/>
              </w:rPr>
              <w:t>关键指标</w:t>
            </w:r>
          </w:p>
        </w:tc>
        <w:tc>
          <w:tcPr>
            <w:tcW w:type="dxa" w:w="1928"/>
            <w:shd w:val="clear" w:color="auto" w:fill="E8F1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5527B"/>
                <w:sz w:val="18"/>
              </w:rPr>
              <w:t>本次分析结果</w:t>
            </w:r>
          </w:p>
        </w:tc>
        <w:tc>
          <w:tcPr>
            <w:tcW w:type="dxa" w:w="5329"/>
            <w:shd w:val="clear" w:color="auto" w:fill="E8F1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5527B"/>
                <w:sz w:val="18"/>
              </w:rPr>
              <w:t>口径与含义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有效行程</w:t>
            </w:r>
          </w:p>
        </w:tc>
        <w:tc>
          <w:tcPr>
            <w:tcW w:type="dxa" w:w="192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99,618 趟</w:t>
            </w:r>
          </w:p>
        </w:tc>
        <w:tc>
          <w:tcPr>
            <w:tcW w:type="dxa" w:w="532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占原始 100,000 趟的 99.62%；剔除空轨迹 367 趟、首点越界 15 趟、完全重复 0 趟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运营车辆</w:t>
            </w:r>
          </w:p>
        </w:tc>
        <w:tc>
          <w:tcPr>
            <w:tcW w:type="dxa" w:w="1928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428 辆</w:t>
            </w:r>
          </w:p>
        </w:tc>
        <w:tc>
          <w:tcPr>
            <w:tcW w:type="dxa" w:w="5329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DWD 内有有效轨迹的车辆；原始样本 430 辆中有 2 辆全部行程被剔除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空间集中度</w:t>
            </w:r>
          </w:p>
        </w:tc>
        <w:tc>
          <w:tcPr>
            <w:tcW w:type="dxa" w:w="192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87.0%</w:t>
            </w:r>
          </w:p>
        </w:tc>
        <w:tc>
          <w:tcPr>
            <w:tcW w:type="dxa" w:w="532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核心区 43.4% + 内环 43.6%；分母为 99,618 趟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最密 1km 网格</w:t>
            </w:r>
          </w:p>
        </w:tc>
        <w:tc>
          <w:tcPr>
            <w:tcW w:type="dxa" w:w="1928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20,663 趟</w:t>
            </w:r>
          </w:p>
        </w:tc>
        <w:tc>
          <w:tcPr>
            <w:tcW w:type="dxa" w:w="5329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单格占全部趟次的 20.7%，98.6% 的运营车到访过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热点发车量</w:t>
            </w:r>
          </w:p>
        </w:tc>
        <w:tc>
          <w:tcPr>
            <w:tcW w:type="dxa" w:w="192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4,958 趟</w:t>
            </w:r>
          </w:p>
        </w:tc>
        <w:tc>
          <w:tcPr>
            <w:tcW w:type="dxa" w:w="532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15 号站台；为第二名 57 号站台（3,225 趟）的 1.54 倍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候客停留</w:t>
            </w:r>
          </w:p>
        </w:tc>
        <w:tc>
          <w:tcPr>
            <w:tcW w:type="dxa" w:w="1928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0.95 处/车</w:t>
            </w:r>
          </w:p>
        </w:tc>
        <w:tc>
          <w:tcPr>
            <w:tcW w:type="dxa" w:w="5329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200m 半径、最短 10 分钟锚点法；对最短时长阈值最敏感</w:t>
            </w:r>
          </w:p>
        </w:tc>
      </w:tr>
    </w:tbl>
    <w:p>
      <w:pPr>
        <w:spacing w:after="0"/>
      </w:pPr>
    </w:p>
    <w:p>
      <w:pPr>
        <w:spacing w:before="0" w:after="0" w:line="348" w:lineRule="auto"/>
        <w:ind w:firstLine="376"/>
        <w:jc w:val="both"/>
      </w:pPr>
      <w:r>
        <w:rPr>
          <w:rFonts w:ascii="Times New Roman" w:hAnsi="Times New Roman" w:eastAsia="宋体"/>
          <w:b w:val="0"/>
          <w:color w:val="2B333F"/>
          <w:sz w:val="18"/>
        </w:rPr>
        <w:t>读法：第 1—2 章交代问题改写与数据边界；第 3—6 章各回答一个问题，每章固定「口径 → 结果与图 → 结论」三段；第 7 章给结论与建议，第 8 章列可说与不可说的表述；每张图下方设四栏解读。</w:t>
      </w:r>
    </w:p>
    <w:p>
      <w:r>
        <w:br w:type="page"/>
      </w:r>
    </w:p>
    <w:p>
      <w:pPr>
        <w:pStyle w:val="Heading1"/>
        <w:pBdr>
          <w:bottom w:val="single" w:sz="6" w:space="4" w:color="D5DEE7"/>
        </w:pBdr>
      </w:pPr>
      <w:r>
        <w:rPr>
          <w:rFonts w:ascii="Times New Roman" w:hAnsi="Times New Roman" w:eastAsia="微软雅黑"/>
          <w:b/>
          <w:color w:val="15527B"/>
          <w:sz w:val="30"/>
        </w:rPr>
        <w:t>1　分析问题与口径</w:t>
      </w:r>
    </w:p>
    <w:p>
      <w:pPr>
        <w:spacing w:before="0" w:after="100" w:line="348" w:lineRule="auto"/>
        <w:ind w:firstLine="420"/>
        <w:jc w:val="both"/>
      </w:pPr>
      <w:r>
        <w:rPr>
          <w:rFonts w:ascii="Times New Roman" w:hAnsi="Times New Roman" w:eastAsia="宋体"/>
          <w:b w:val="0"/>
          <w:color w:val="2B333F"/>
          <w:sz w:val="21"/>
        </w:rPr>
        <w:t>本报告只使用样本自身字段能支撑的问题。样本是发车记录：有车辆编号、发车时刻与轨迹，但没有上下客时刻、订单金额与乘客信息。因此先做问题改写，再做口径约定，后续所有数字都在这一口径内产生。</w:t>
      </w:r>
    </w:p>
    <w:p>
      <w:pPr>
        <w:pStyle w:val="Heading2"/>
      </w:pPr>
      <w:r>
        <w:rPr>
          <w:rFonts w:ascii="Times New Roman" w:hAnsi="Times New Roman" w:eastAsia="微软雅黑"/>
          <w:b/>
          <w:color w:val="1D6FA5"/>
          <w:sz w:val="24"/>
        </w:rPr>
        <w:t>1.1　从一句业务需求到四个可计算的问题</w:t>
      </w:r>
    </w:p>
    <w:p>
      <w:pPr>
        <w:spacing w:before="0" w:after="100" w:line="348" w:lineRule="auto"/>
        <w:ind w:firstLine="420"/>
        <w:jc w:val="both"/>
      </w:pPr>
      <w:r>
        <w:rPr>
          <w:rFonts w:ascii="Times New Roman" w:hAnsi="Times New Roman" w:eastAsia="宋体"/>
          <w:b w:val="0"/>
          <w:color w:val="2B333F"/>
          <w:sz w:val="21"/>
        </w:rPr>
        <w:t>课程任务的原话是「对波尔图出租车轨迹样本做信令式的时空分析」。这句话里没有一个字段可以直接查询；结合样本只含发车记录这一事实，可改写为四个能用数据回答的问句：车停在哪、热点覆盖多大、什么时候最忙、候客停多久。同样重要的是划出不能回答的部分——它的价值与能回答的部分相当。</w:t>
      </w:r>
    </w:p>
    <w:p>
      <w:pPr>
        <w:keepNext/>
        <w:spacing w:before="200" w:after="80" w:line="276" w:lineRule="auto"/>
        <w:jc w:val="left"/>
      </w:pPr>
      <w:r>
        <w:rPr>
          <w:rFonts w:ascii="Times New Roman" w:hAnsi="Times New Roman" w:eastAsia="微软雅黑"/>
          <w:b/>
          <w:color w:val="15527B"/>
          <w:sz w:val="17"/>
        </w:rPr>
        <w:t>表 1-1　需求改写：能回答与不能回答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2494"/>
            <w:shd w:val="clear" w:color="auto" w:fill="E8F1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5527B"/>
                <w:sz w:val="18"/>
              </w:rPr>
              <w:t>业务问题</w:t>
            </w:r>
          </w:p>
        </w:tc>
        <w:tc>
          <w:tcPr>
            <w:tcW w:type="dxa" w:w="1814"/>
            <w:shd w:val="clear" w:color="auto" w:fill="E8F1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5527B"/>
                <w:sz w:val="18"/>
              </w:rPr>
              <w:t>能否回答</w:t>
            </w:r>
          </w:p>
        </w:tc>
        <w:tc>
          <w:tcPr>
            <w:tcW w:type="dxa" w:w="4706"/>
            <w:shd w:val="clear" w:color="auto" w:fill="E8F1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5527B"/>
                <w:sz w:val="18"/>
              </w:rPr>
              <w:t>口径或原因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8"/>
              </w:rPr>
              <w:t>车停在哪</w:t>
            </w:r>
          </w:p>
        </w:tc>
        <w:tc>
          <w:tcPr>
            <w:tcW w:type="dxa" w:w="181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8"/>
              </w:rPr>
              <w:t>能</w:t>
            </w:r>
          </w:p>
        </w:tc>
        <w:tc>
          <w:tcPr>
            <w:tcW w:type="dxa" w:w="470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8"/>
              </w:rPr>
              <w:t>1km 网格密度与 62 个站台发车量（第 4 章）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8"/>
              </w:rPr>
              <w:t>热点覆盖多大</w:t>
            </w:r>
          </w:p>
        </w:tc>
        <w:tc>
          <w:tcPr>
            <w:tcW w:type="dxa" w:w="1814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8"/>
              </w:rPr>
              <w:t>能，但依赖半径</w:t>
            </w:r>
          </w:p>
        </w:tc>
        <w:tc>
          <w:tcPr>
            <w:tcW w:type="dxa" w:w="4706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8"/>
              </w:rPr>
              <w:t>100m 69.6% 至 5km 99.8%，七档半径矩阵（第 5 章）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8"/>
              </w:rPr>
              <w:t>什么时候最忙</w:t>
            </w:r>
          </w:p>
        </w:tc>
        <w:tc>
          <w:tcPr>
            <w:tcW w:type="dxa" w:w="181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8"/>
              </w:rPr>
              <w:t>能</w:t>
            </w:r>
          </w:p>
        </w:tc>
        <w:tc>
          <w:tcPr>
            <w:tcW w:type="dxa" w:w="470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8"/>
              </w:rPr>
              <w:t>按发车时刻统计的日／小时分布（第 3 章）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8"/>
              </w:rPr>
              <w:t>候客停多久</w:t>
            </w:r>
          </w:p>
        </w:tc>
        <w:tc>
          <w:tcPr>
            <w:tcW w:type="dxa" w:w="1814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8"/>
              </w:rPr>
              <w:t>能，但依赖阈值</w:t>
            </w:r>
          </w:p>
        </w:tc>
        <w:tc>
          <w:tcPr>
            <w:tcW w:type="dxa" w:w="4706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8"/>
              </w:rPr>
              <w:t>锚点法识别停留，半径与最短时长双参数（第 6 章）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8"/>
              </w:rPr>
              <w:t>全城出行需求总量</w:t>
            </w:r>
          </w:p>
        </w:tc>
        <w:tc>
          <w:tcPr>
            <w:tcW w:type="dxa" w:w="181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8"/>
              </w:rPr>
              <w:t>不能</w:t>
            </w:r>
          </w:p>
        </w:tc>
        <w:tc>
          <w:tcPr>
            <w:tcW w:type="dxa" w:w="470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8"/>
              </w:rPr>
              <w:t>无上下客时刻与 OD 信息，样本仅为发车记录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8"/>
              </w:rPr>
              <w:t>司机收入与接单效率</w:t>
            </w:r>
          </w:p>
        </w:tc>
        <w:tc>
          <w:tcPr>
            <w:tcW w:type="dxa" w:w="1814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8"/>
              </w:rPr>
              <w:t>不能</w:t>
            </w:r>
          </w:p>
        </w:tc>
        <w:tc>
          <w:tcPr>
            <w:tcW w:type="dxa" w:w="4706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8"/>
              </w:rPr>
              <w:t>无订单金额、空驶／载客状态字段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微软雅黑"/>
          <w:b/>
          <w:color w:val="1D6FA5"/>
          <w:sz w:val="24"/>
        </w:rPr>
        <w:t>1.2　口径与参数</w:t>
      </w:r>
    </w:p>
    <w:p>
      <w:pPr>
        <w:spacing w:before="0" w:after="100" w:line="348" w:lineRule="auto"/>
        <w:ind w:firstLine="420"/>
        <w:jc w:val="both"/>
      </w:pPr>
      <w:r>
        <w:rPr>
          <w:rFonts w:ascii="Times New Roman" w:hAnsi="Times New Roman" w:eastAsia="宋体"/>
          <w:b w:val="0"/>
          <w:color w:val="2B333F"/>
          <w:sz w:val="21"/>
        </w:rPr>
        <w:t>下表是全文唯一的参数来源。凡标注「敏感」的项，引用结果时必须一并写出取值。</w:t>
      </w:r>
    </w:p>
    <w:p>
      <w:pPr>
        <w:keepNext/>
        <w:spacing w:before="200" w:after="80" w:line="276" w:lineRule="auto"/>
        <w:jc w:val="left"/>
      </w:pPr>
      <w:r>
        <w:rPr>
          <w:rFonts w:ascii="Times New Roman" w:hAnsi="Times New Roman" w:eastAsia="微软雅黑"/>
          <w:b/>
          <w:color w:val="15527B"/>
          <w:sz w:val="17"/>
        </w:rPr>
        <w:t>表 1-2　分析口径与参数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1531"/>
            <w:shd w:val="clear" w:color="auto" w:fill="E8F1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5527B"/>
                <w:sz w:val="18"/>
              </w:rPr>
              <w:t>口径项</w:t>
            </w:r>
          </w:p>
        </w:tc>
        <w:tc>
          <w:tcPr>
            <w:tcW w:type="dxa" w:w="3175"/>
            <w:shd w:val="clear" w:color="auto" w:fill="E8F1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5527B"/>
                <w:sz w:val="18"/>
              </w:rPr>
              <w:t>取值</w:t>
            </w:r>
          </w:p>
        </w:tc>
        <w:tc>
          <w:tcPr>
            <w:tcW w:type="dxa" w:w="1077"/>
            <w:shd w:val="clear" w:color="auto" w:fill="E8F1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5527B"/>
                <w:sz w:val="18"/>
              </w:rPr>
              <w:t>是否敏感</w:t>
            </w:r>
          </w:p>
        </w:tc>
        <w:tc>
          <w:tcPr>
            <w:tcW w:type="dxa" w:w="3231"/>
            <w:shd w:val="clear" w:color="auto" w:fill="E8F1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5527B"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分析样本</w:t>
            </w:r>
          </w:p>
        </w:tc>
        <w:tc>
          <w:tcPr>
            <w:tcW w:type="dxa" w:w="317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DWD 99,618 趟</w:t>
            </w:r>
          </w:p>
        </w:tc>
        <w:tc>
          <w:tcPr>
            <w:tcW w:type="dxa" w:w="107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否</w:t>
            </w:r>
          </w:p>
        </w:tc>
        <w:tc>
          <w:tcPr>
            <w:tcW w:type="dxa" w:w="3231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清洗规则：空轨迹、完全重复、首点越界依次剔除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空间网格</w:t>
            </w:r>
          </w:p>
        </w:tc>
        <w:tc>
          <w:tcPr>
            <w:tcW w:type="dxa" w:w="3175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1km×1km，298 个</w:t>
            </w:r>
          </w:p>
        </w:tc>
        <w:tc>
          <w:tcPr>
            <w:tcW w:type="dxa" w:w="1077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是</w:t>
            </w:r>
          </w:p>
        </w:tc>
        <w:tc>
          <w:tcPr>
            <w:tcW w:type="dxa" w:w="3231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原点取首点最小经纬；格子大小影响集中度读数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区域分带</w:t>
            </w:r>
          </w:p>
        </w:tc>
        <w:tc>
          <w:tcPr>
            <w:tcW w:type="dxa" w:w="317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核心 &lt;1.5km、内环 &lt;4km、外环 &lt;8km、远郊 &gt;8km</w:t>
            </w:r>
          </w:p>
        </w:tc>
        <w:tc>
          <w:tcPr>
            <w:tcW w:type="dxa" w:w="107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否</w:t>
            </w:r>
          </w:p>
        </w:tc>
        <w:tc>
          <w:tcPr>
            <w:tcW w:type="dxa" w:w="3231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按发车点距市中心距离；机场 1km 内优先归「机场」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热点站台</w:t>
            </w:r>
          </w:p>
        </w:tc>
        <w:tc>
          <w:tcPr>
            <w:tcW w:type="dxa" w:w="3175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15 号站台</w:t>
            </w:r>
          </w:p>
        </w:tc>
        <w:tc>
          <w:tcPr>
            <w:tcW w:type="dxa" w:w="1077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否</w:t>
            </w:r>
          </w:p>
        </w:tc>
        <w:tc>
          <w:tcPr>
            <w:tcW w:type="dxa" w:w="3231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发车趟次最多的站台；坐标取该站台首点中位数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热点半径</w:t>
            </w:r>
          </w:p>
        </w:tc>
        <w:tc>
          <w:tcPr>
            <w:tcW w:type="dxa" w:w="317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500m（矩阵 100m—5km）</w:t>
            </w:r>
          </w:p>
        </w:tc>
        <w:tc>
          <w:tcPr>
            <w:tcW w:type="dxa" w:w="107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是</w:t>
            </w:r>
          </w:p>
        </w:tc>
        <w:tc>
          <w:tcPr>
            <w:tcW w:type="dxa" w:w="3231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覆盖 69.6%—99.8%，半径决定覆盖结论</w:t>
            </w:r>
          </w:p>
        </w:tc>
      </w:tr>
      <w:tr>
        <w:trPr>
          <w:cantSplit/>
        </w:trPr>
        <w:tc>
          <w:tcPr>
            <w:tcW w:type="dxa" w:w="1531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停留锚点</w:t>
            </w:r>
          </w:p>
        </w:tc>
        <w:tc>
          <w:tcPr>
            <w:tcW w:type="dxa" w:w="3175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200m 半径 / 最短 10 分钟</w:t>
            </w:r>
          </w:p>
        </w:tc>
        <w:tc>
          <w:tcPr>
            <w:tcW w:type="dxa" w:w="1077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是</w:t>
            </w:r>
          </w:p>
        </w:tc>
        <w:tc>
          <w:tcPr>
            <w:tcW w:type="dxa" w:w="3231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锚点法；最短时长是最敏感参数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时刻口径</w:t>
            </w:r>
          </w:p>
        </w:tc>
        <w:tc>
          <w:tcPr>
            <w:tcW w:type="dxa" w:w="317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轨迹首点时刻（Europe/Lisbon）</w:t>
            </w:r>
          </w:p>
        </w:tc>
        <w:tc>
          <w:tcPr>
            <w:tcW w:type="dxa" w:w="107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否</w:t>
            </w:r>
          </w:p>
        </w:tc>
        <w:tc>
          <w:tcPr>
            <w:tcW w:type="dxa" w:w="3231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样本无上下客时刻，取发车时刻</w:t>
            </w:r>
          </w:p>
        </w:tc>
      </w:tr>
    </w:tbl>
    <w:p>
      <w:pPr>
        <w:spacing w:after="0"/>
      </w:pPr>
    </w:p>
    <w:p>
      <w:pPr>
        <w:spacing w:before="0" w:after="0" w:line="240" w:lineRule="auto"/>
      </w:pPr>
    </w:p>
    <w:p>
      <w:pPr>
        <w:pStyle w:val="Heading1"/>
        <w:pBdr>
          <w:bottom w:val="single" w:sz="6" w:space="4" w:color="D5DEE7"/>
        </w:pBdr>
      </w:pPr>
      <w:r>
        <w:rPr>
          <w:rFonts w:ascii="Times New Roman" w:hAnsi="Times New Roman" w:eastAsia="微软雅黑"/>
          <w:b/>
          <w:color w:val="15527B"/>
          <w:sz w:val="30"/>
        </w:rPr>
        <w:t>2　数据与样本</w:t>
      </w:r>
    </w:p>
    <w:p>
      <w:pPr>
        <w:spacing w:before="0" w:after="100" w:line="348" w:lineRule="auto"/>
        <w:ind w:firstLine="420"/>
        <w:jc w:val="both"/>
      </w:pPr>
      <w:r>
        <w:rPr>
          <w:rFonts w:ascii="Times New Roman" w:hAnsi="Times New Roman" w:eastAsia="宋体"/>
          <w:b w:val="0"/>
          <w:color w:val="2B333F"/>
          <w:sz w:val="21"/>
        </w:rPr>
        <w:t>原始样本 100,000 趟、430 辆出租车，时间跨度 2013-07-01 至 2013-07-21。按统一规则清洗后得到 DWD 99,618 趟，剔除 382 趟（0.38%），其中空轨迹 367 趟、首点越界 15 趟；完全重复行 0 行。TRIP_ID 有 8 个编号对应 16 行记录，核查为非完全重复（同编号不同轨迹），按有效记录保留。</w:t>
      </w:r>
    </w:p>
    <w:p>
      <w:pPr>
        <w:keepNext/>
        <w:spacing w:before="200" w:after="80" w:line="276" w:lineRule="auto"/>
        <w:jc w:val="left"/>
      </w:pPr>
      <w:r>
        <w:rPr>
          <w:rFonts w:ascii="Times New Roman" w:hAnsi="Times New Roman" w:eastAsia="微软雅黑"/>
          <w:b/>
          <w:color w:val="15527B"/>
          <w:sz w:val="17"/>
        </w:rPr>
        <w:t>表 2-1　样本规模与清洗结果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1701"/>
            <w:shd w:val="clear" w:color="auto" w:fill="E8F1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5527B"/>
                <w:sz w:val="18"/>
              </w:rPr>
              <w:t>项目</w:t>
            </w:r>
          </w:p>
        </w:tc>
        <w:tc>
          <w:tcPr>
            <w:tcW w:type="dxa" w:w="2608"/>
            <w:shd w:val="clear" w:color="auto" w:fill="E8F1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5527B"/>
                <w:sz w:val="18"/>
              </w:rPr>
              <w:t>结果</w:t>
            </w:r>
          </w:p>
        </w:tc>
        <w:tc>
          <w:tcPr>
            <w:tcW w:type="dxa" w:w="4706"/>
            <w:shd w:val="clear" w:color="auto" w:fill="E8F1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5527B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原始规模</w:t>
            </w:r>
          </w:p>
        </w:tc>
        <w:tc>
          <w:tcPr>
            <w:tcW w:type="dxa" w:w="260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100,000 趟 × 9 字段</w:t>
            </w:r>
          </w:p>
        </w:tc>
        <w:tc>
          <w:tcPr>
            <w:tcW w:type="dxa" w:w="470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CALL_TYPE、TAXI_ID、TIMESTAMP、POLYLINE 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有效规模</w:t>
            </w:r>
          </w:p>
        </w:tc>
        <w:tc>
          <w:tcPr>
            <w:tcW w:type="dxa" w:w="2608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99,618 趟（99.62%）</w:t>
            </w:r>
          </w:p>
        </w:tc>
        <w:tc>
          <w:tcPr>
            <w:tcW w:type="dxa" w:w="4706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剔除空轨迹 367 趟、首点越界 15 趟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车辆</w:t>
            </w:r>
          </w:p>
        </w:tc>
        <w:tc>
          <w:tcPr>
            <w:tcW w:type="dxa" w:w="260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430 辆 → 428 辆</w:t>
            </w:r>
          </w:p>
        </w:tc>
        <w:tc>
          <w:tcPr>
            <w:tcW w:type="dxa" w:w="470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2 辆车的行程全部被剔除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候客站台</w:t>
            </w:r>
          </w:p>
        </w:tc>
        <w:tc>
          <w:tcPr>
            <w:tcW w:type="dxa" w:w="2608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62 个</w:t>
            </w:r>
          </w:p>
        </w:tc>
        <w:tc>
          <w:tcPr>
            <w:tcW w:type="dxa" w:w="4706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有站台记录的趟次 49,203 趟，占 DWD 的 49.4%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时间范围</w:t>
            </w:r>
          </w:p>
        </w:tc>
        <w:tc>
          <w:tcPr>
            <w:tcW w:type="dxa" w:w="260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2013-07-01 — 2013-07-21</w:t>
            </w:r>
          </w:p>
        </w:tc>
        <w:tc>
          <w:tcPr>
            <w:tcW w:type="dxa" w:w="470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21 天；7-21 当天仅 3,494 趟，数据不完整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空间范围</w:t>
            </w:r>
          </w:p>
        </w:tc>
        <w:tc>
          <w:tcPr>
            <w:tcW w:type="dxa" w:w="2608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298 个 1km 网格</w:t>
            </w:r>
          </w:p>
        </w:tc>
        <w:tc>
          <w:tcPr>
            <w:tcW w:type="dxa" w:w="4706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首点落在都市区合理框内（经度 −9.0~−8.0，纬度 40.8~41.6）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轨迹点数</w:t>
            </w:r>
          </w:p>
        </w:tc>
        <w:tc>
          <w:tcPr>
            <w:tcW w:type="dxa" w:w="260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4,775,011 点，单趟中位 41 点</w:t>
            </w:r>
          </w:p>
        </w:tc>
        <w:tc>
          <w:tcPr>
            <w:tcW w:type="dxa" w:w="4706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标称采样间隔 15 秒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0"/>
          <w:bottom w:val="single" w:sz="4" w:space="0" w:color="DCE6F0"/>
          <w:right w:val="single" w:sz="4" w:space="0" w:color="DCE6F0"/>
          <w:left w:val="single" w:sz="24" w:space="0" w:color="E39B2E"/>
          <w:insideH w:val="nil" w:sz="0" w:space="0" w:color="auto"/>
          <w:insideV w:val="nil" w:sz="0" w:space="0" w:color="auto"/>
        </w:tblBorders>
        <w:tblCellMar>
          <w:top w:w="110" w:type="dxa"/>
          <w:left w:w="170" w:type="dxa"/>
          <w:bottom w:w="110" w:type="dxa"/>
          <w:right w:w="150" w:type="dxa"/>
        </w:tblCellMar>
      </w:tblPr>
      <w:tblGrid>
        <w:gridCol w:w="9026"/>
      </w:tblGrid>
      <w:tr>
        <w:trPr>
          <w:cantSplit/>
        </w:trPr>
        <w:tc>
          <w:tcPr>
            <w:tcW w:type="dxa" w:w="9026"/>
            <w:shd w:val="clear" w:color="auto" w:fill="FBF6EC"/>
          </w:tcPr>
          <w:p>
            <w:pPr>
              <w:spacing w:after="60" w:line="288" w:lineRule="auto"/>
            </w:pPr>
            <w:r/>
            <w:r>
              <w:rPr>
                <w:rFonts w:ascii="Times New Roman" w:hAnsi="Times New Roman" w:eastAsia="微软雅黑"/>
                <w:b/>
                <w:color w:val="15527B"/>
                <w:sz w:val="19"/>
              </w:rPr>
              <w:t>样本适用范围</w:t>
            </w:r>
          </w:p>
          <w:p>
            <w:pPr>
              <w:spacing w:after="0" w:line="336" w:lineRule="auto"/>
            </w:pPr>
            <w:r>
              <w:rPr>
                <w:rFonts w:ascii="Times New Roman" w:hAnsi="Times New Roman" w:eastAsia="宋体"/>
                <w:b w:val="0"/>
                <w:color w:val="2B333F"/>
                <w:sz w:val="18"/>
              </w:rPr>
              <w:t>可以用于：2013 年 7 月波尔图出租车发车记录的空间与时间分布，以及站台、网格、热点、停留等基于发车点的结构分析。</w:t>
              <w:br/>
              <w:t>不能用于：全城乘客出行需求总量（无上下客时刻与 OD）；司机收入与接单效率（无金额字段）；2013 年 7 月以外的时间外推（单月样本，且末日不完整）。</w:t>
            </w:r>
          </w:p>
        </w:tc>
      </w:tr>
    </w:tbl>
    <w:p>
      <w:pPr>
        <w:spacing w:after="0"/>
      </w:pPr>
    </w:p>
    <w:p>
      <w:pPr>
        <w:spacing w:before="0" w:after="0" w:line="240" w:lineRule="auto"/>
      </w:pPr>
    </w:p>
    <w:p>
      <w:pPr>
        <w:pStyle w:val="Heading1"/>
        <w:pBdr>
          <w:bottom w:val="single" w:sz="6" w:space="4" w:color="D5DEE7"/>
        </w:pBdr>
      </w:pPr>
      <w:r>
        <w:rPr>
          <w:rFonts w:ascii="Times New Roman" w:hAnsi="Times New Roman" w:eastAsia="微软雅黑"/>
          <w:b/>
          <w:color w:val="15527B"/>
          <w:sz w:val="30"/>
        </w:rPr>
        <w:t>3　时间节律：什么时候最忙</w:t>
      </w:r>
    </w:p>
    <w:p>
      <w:pPr>
        <w:pStyle w:val="Heading2"/>
      </w:pPr>
      <w:r>
        <w:rPr>
          <w:rFonts w:ascii="Times New Roman" w:hAnsi="Times New Roman" w:eastAsia="微软雅黑"/>
          <w:b/>
          <w:color w:val="1D6FA5"/>
          <w:sz w:val="24"/>
        </w:rPr>
        <w:t>3.1　日尺度：21 天的波动</w:t>
      </w:r>
    </w:p>
    <w:p>
      <w:pPr>
        <w:spacing w:before="0" w:after="100" w:line="348" w:lineRule="auto"/>
        <w:ind w:firstLine="420"/>
        <w:jc w:val="both"/>
      </w:pPr>
      <w:r>
        <w:rPr>
          <w:rFonts w:ascii="Times New Roman" w:hAnsi="Times New Roman" w:eastAsia="宋体"/>
          <w:b w:val="0"/>
          <w:color w:val="2B333F"/>
          <w:sz w:val="21"/>
        </w:rPr>
        <w:t>剔除末日 7-21 后，20 个完整日的发车趟次中位为 4,727 趟，区间 3,939—5,640 趟，相对中位在 −17% 到 +19% 之间。最高为 7-05（5,640 趟），最低为 7-14（3,939 趟）。7-21 仅 3,494 趟，是数据截断而非需求下降，任何跨日比较都应把这一天排除或单独标注。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673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dail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7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120" w:after="80" w:line="276" w:lineRule="auto"/>
        <w:jc w:val="center"/>
      </w:pPr>
      <w:r>
        <w:rPr>
          <w:rFonts w:ascii="Times New Roman" w:hAnsi="Times New Roman" w:eastAsia="微软雅黑"/>
          <w:b/>
          <w:color w:val="3A4552"/>
          <w:sz w:val="17"/>
        </w:rPr>
        <w:t>图 3-1　单日趟次 3,494—5,640：完整日中位 4,727 趟，末日 7-21 为截断数据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0"/>
          <w:left w:val="single" w:sz="4" w:space="0" w:color="DCE6F0"/>
          <w:bottom w:val="single" w:sz="4" w:space="0" w:color="DCE6F0"/>
          <w:right w:val="single" w:sz="4" w:space="0" w:color="DCE6F0"/>
          <w:insideH w:val="single" w:sz="4" w:space="0" w:color="DCE6F0"/>
          <w:insideV w:val="single" w:sz="4" w:space="0" w:color="DCE6F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56"/>
        <w:gridCol w:w="2256"/>
        <w:gridCol w:w="2256"/>
        <w:gridCol w:w="2256"/>
      </w:tblGrid>
      <w:tr>
        <w:trPr>
          <w:cantSplit/>
        </w:trPr>
        <w:tc>
          <w:tcPr>
            <w:tcW w:type="dxa" w:w="2126"/>
            <w:shd w:val="clear" w:color="auto" w:fill="F4F8FB"/>
          </w:tcPr>
          <w:p>
            <w:pPr>
              <w:spacing w:after="20" w:line="264" w:lineRule="auto"/>
            </w:pPr>
            <w:r/>
            <w:r>
              <w:rPr>
                <w:rFonts w:ascii="Times New Roman" w:hAnsi="Times New Roman" w:eastAsia="微软雅黑"/>
                <w:b/>
                <w:color w:val="1D6FA5"/>
                <w:sz w:val="15"/>
              </w:rPr>
              <w:t>读图方式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21 根柱为各日发车趟次，虚线为完整日中位 4,727 趟，橙色柱为 7-21</w:t>
            </w:r>
          </w:p>
        </w:tc>
        <w:tc>
          <w:tcPr>
            <w:tcW w:type="dxa" w:w="2126"/>
            <w:shd w:val="clear" w:color="auto" w:fill="F4F8FB"/>
          </w:tcPr>
          <w:p>
            <w:pPr>
              <w:spacing w:after="20" w:line="264" w:lineRule="auto"/>
            </w:pPr>
            <w:r/>
            <w:r>
              <w:rPr>
                <w:rFonts w:ascii="Times New Roman" w:hAnsi="Times New Roman" w:eastAsia="微软雅黑"/>
                <w:b/>
                <w:color w:val="1D6FA5"/>
                <w:sz w:val="15"/>
              </w:rPr>
              <w:t>关键发现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完整日之间波动 −17%～+19%，无单向趋势；最高 5,640（7-05），最低 3,939（7-14）</w:t>
            </w:r>
          </w:p>
        </w:tc>
        <w:tc>
          <w:tcPr>
            <w:tcW w:type="dxa" w:w="2126"/>
            <w:shd w:val="clear" w:color="auto" w:fill="F4F8FB"/>
          </w:tcPr>
          <w:p>
            <w:pPr>
              <w:spacing w:after="20" w:line="264" w:lineRule="auto"/>
            </w:pPr>
            <w:r/>
            <w:r>
              <w:rPr>
                <w:rFonts w:ascii="Times New Roman" w:hAnsi="Times New Roman" w:eastAsia="微软雅黑"/>
                <w:b/>
                <w:color w:val="1D6FA5"/>
                <w:sz w:val="15"/>
              </w:rPr>
              <w:t>业务含义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单日运力需求相对稳定，排班可按中位数定基线，再按周内位置微调</w:t>
            </w:r>
          </w:p>
        </w:tc>
        <w:tc>
          <w:tcPr>
            <w:tcW w:type="dxa" w:w="2126"/>
            <w:shd w:val="clear" w:color="auto" w:fill="F4F8FB"/>
          </w:tcPr>
          <w:p>
            <w:pPr>
              <w:spacing w:after="20" w:line="264" w:lineRule="auto"/>
            </w:pPr>
            <w:r/>
            <w:r>
              <w:rPr>
                <w:rFonts w:ascii="Times New Roman" w:hAnsi="Times New Roman" w:eastAsia="微软雅黑"/>
                <w:b/>
                <w:color w:val="1D6FA5"/>
                <w:sz w:val="15"/>
              </w:rPr>
              <w:t>口径与限制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7-21 当天数据截断，不得据此判断需求下滑；横轴为自然日，非运营日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微软雅黑"/>
          <w:b/>
          <w:color w:val="1D6FA5"/>
          <w:sz w:val="24"/>
        </w:rPr>
        <w:t>3.2　小时尺度：双峰结构</w:t>
      </w:r>
    </w:p>
    <w:p>
      <w:pPr>
        <w:spacing w:before="0" w:after="100" w:line="348" w:lineRule="auto"/>
        <w:ind w:firstLine="420"/>
        <w:jc w:val="both"/>
      </w:pPr>
      <w:r>
        <w:rPr>
          <w:rFonts w:ascii="Times New Roman" w:hAnsi="Times New Roman" w:eastAsia="宋体"/>
          <w:b w:val="0"/>
          <w:color w:val="2B333F"/>
          <w:sz w:val="21"/>
        </w:rPr>
        <w:t>按发车时刻统计，24 小时呈明显双峰：9—11 点为上午峰（峰值 10 点 6,022 趟），14—16 点为下午峰，12—13 点午间回落。凌晨 0—5 点仍有 17,595 趟（17.7%），其中 4 点出现 3,543 趟的小峰，高于相邻的 2—3 点约 850 趟——这更像早班出车或夜间结算的集中发车，属推断，样本无法直接验证。</w:t>
      </w:r>
    </w:p>
    <w:p>
      <w:pPr>
        <w:keepNext/>
        <w:spacing w:before="200" w:after="80" w:line="276" w:lineRule="auto"/>
        <w:jc w:val="left"/>
      </w:pPr>
      <w:r>
        <w:rPr>
          <w:rFonts w:ascii="Times New Roman" w:hAnsi="Times New Roman" w:eastAsia="微软雅黑"/>
          <w:b/>
          <w:color w:val="15527B"/>
          <w:sz w:val="17"/>
        </w:rPr>
        <w:t>表 3-1　分时段发车趟次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268"/>
            <w:shd w:val="clear" w:color="auto" w:fill="E8F1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5527B"/>
                <w:sz w:val="18"/>
              </w:rPr>
              <w:t>时段</w:t>
            </w:r>
          </w:p>
        </w:tc>
        <w:tc>
          <w:tcPr>
            <w:tcW w:type="dxa" w:w="1701"/>
            <w:shd w:val="clear" w:color="auto" w:fill="E8F1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5527B"/>
                <w:sz w:val="18"/>
              </w:rPr>
              <w:t>趟次</w:t>
            </w:r>
          </w:p>
        </w:tc>
        <w:tc>
          <w:tcPr>
            <w:tcW w:type="dxa" w:w="1361"/>
            <w:shd w:val="clear" w:color="auto" w:fill="E8F1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5527B"/>
                <w:sz w:val="18"/>
              </w:rPr>
              <w:t>占比</w:t>
            </w:r>
          </w:p>
        </w:tc>
        <w:tc>
          <w:tcPr>
            <w:tcW w:type="dxa" w:w="3685"/>
            <w:shd w:val="clear" w:color="auto" w:fill="E8F1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5527B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凌晨 0—5 点</w:t>
            </w:r>
          </w:p>
        </w:tc>
        <w:tc>
          <w:tcPr>
            <w:tcW w:type="dxa" w:w="1701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17,595</w:t>
            </w:r>
          </w:p>
        </w:tc>
        <w:tc>
          <w:tcPr>
            <w:tcW w:type="dxa" w:w="1361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17.7%</w:t>
            </w:r>
          </w:p>
        </w:tc>
        <w:tc>
          <w:tcPr>
            <w:tcW w:type="dxa" w:w="368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夜间运力持续存在，4 点有小峰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早间 6—8 点</w:t>
            </w:r>
          </w:p>
        </w:tc>
        <w:tc>
          <w:tcPr>
            <w:tcW w:type="dxa" w:w="1701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9,867</w:t>
            </w:r>
          </w:p>
        </w:tc>
        <w:tc>
          <w:tcPr>
            <w:tcW w:type="dxa" w:w="1361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9.9%</w:t>
            </w:r>
          </w:p>
        </w:tc>
        <w:tc>
          <w:tcPr>
            <w:tcW w:type="dxa" w:w="3685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全天最低段，处于爬坡期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上午峰 9—11 点</w:t>
            </w:r>
          </w:p>
        </w:tc>
        <w:tc>
          <w:tcPr>
            <w:tcW w:type="dxa" w:w="1701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17,442</w:t>
            </w:r>
          </w:p>
        </w:tc>
        <w:tc>
          <w:tcPr>
            <w:tcW w:type="dxa" w:w="1361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17.5%</w:t>
            </w:r>
          </w:p>
        </w:tc>
        <w:tc>
          <w:tcPr>
            <w:tcW w:type="dxa" w:w="368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峰值段，10 点达 6,022 趟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午间 12—13 点</w:t>
            </w:r>
          </w:p>
        </w:tc>
        <w:tc>
          <w:tcPr>
            <w:tcW w:type="dxa" w:w="1701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9,964</w:t>
            </w:r>
          </w:p>
        </w:tc>
        <w:tc>
          <w:tcPr>
            <w:tcW w:type="dxa" w:w="1361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10.0%</w:t>
            </w:r>
          </w:p>
        </w:tc>
        <w:tc>
          <w:tcPr>
            <w:tcW w:type="dxa" w:w="3685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双峰之间的回落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下午峰 14—16 点</w:t>
            </w:r>
          </w:p>
        </w:tc>
        <w:tc>
          <w:tcPr>
            <w:tcW w:type="dxa" w:w="1701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16,633</w:t>
            </w:r>
          </w:p>
        </w:tc>
        <w:tc>
          <w:tcPr>
            <w:tcW w:type="dxa" w:w="1361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16.7%</w:t>
            </w:r>
          </w:p>
        </w:tc>
        <w:tc>
          <w:tcPr>
            <w:tcW w:type="dxa" w:w="368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次高峰，15 点 5,577 趟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傍晚 17—19 点</w:t>
            </w:r>
          </w:p>
        </w:tc>
        <w:tc>
          <w:tcPr>
            <w:tcW w:type="dxa" w:w="1701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14,210</w:t>
            </w:r>
          </w:p>
        </w:tc>
        <w:tc>
          <w:tcPr>
            <w:tcW w:type="dxa" w:w="1361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14.3%</w:t>
            </w:r>
          </w:p>
        </w:tc>
        <w:tc>
          <w:tcPr>
            <w:tcW w:type="dxa" w:w="3685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平缓下降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夜间 20—23 点</w:t>
            </w:r>
          </w:p>
        </w:tc>
        <w:tc>
          <w:tcPr>
            <w:tcW w:type="dxa" w:w="1701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13,907</w:t>
            </w:r>
          </w:p>
        </w:tc>
        <w:tc>
          <w:tcPr>
            <w:tcW w:type="dxa" w:w="1361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14.0%</w:t>
            </w:r>
          </w:p>
        </w:tc>
        <w:tc>
          <w:tcPr>
            <w:tcW w:type="dxa" w:w="368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维持在一成四左右</w:t>
            </w:r>
          </w:p>
        </w:tc>
      </w:tr>
    </w:tbl>
    <w:p>
      <w:pPr>
        <w:spacing w:after="0"/>
      </w:pP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3190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hourl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19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120" w:after="80" w:line="276" w:lineRule="auto"/>
        <w:jc w:val="center"/>
      </w:pPr>
      <w:r>
        <w:rPr>
          <w:rFonts w:ascii="Times New Roman" w:hAnsi="Times New Roman" w:eastAsia="微软雅黑"/>
          <w:b/>
          <w:color w:val="3A4552"/>
          <w:sz w:val="17"/>
        </w:rPr>
        <w:t>图 3-2　双峰节律：10 点封顶 6,022 趟；热点 500m 内车辆 9—16 点稳定在 100 辆以上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0"/>
          <w:left w:val="single" w:sz="4" w:space="0" w:color="DCE6F0"/>
          <w:bottom w:val="single" w:sz="4" w:space="0" w:color="DCE6F0"/>
          <w:right w:val="single" w:sz="4" w:space="0" w:color="DCE6F0"/>
          <w:insideH w:val="single" w:sz="4" w:space="0" w:color="DCE6F0"/>
          <w:insideV w:val="single" w:sz="4" w:space="0" w:color="DCE6F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56"/>
        <w:gridCol w:w="2256"/>
        <w:gridCol w:w="2256"/>
        <w:gridCol w:w="2256"/>
      </w:tblGrid>
      <w:tr>
        <w:trPr>
          <w:cantSplit/>
        </w:trPr>
        <w:tc>
          <w:tcPr>
            <w:tcW w:type="dxa" w:w="2126"/>
            <w:shd w:val="clear" w:color="auto" w:fill="F4F8FB"/>
          </w:tcPr>
          <w:p>
            <w:pPr>
              <w:spacing w:after="20" w:line="264" w:lineRule="auto"/>
            </w:pPr>
            <w:r/>
            <w:r>
              <w:rPr>
                <w:rFonts w:ascii="Times New Roman" w:hAnsi="Times New Roman" w:eastAsia="微软雅黑"/>
                <w:b/>
                <w:color w:val="1D6FA5"/>
                <w:sz w:val="15"/>
              </w:rPr>
              <w:t>读图方式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柱为每小时发车趟次（左轴），折线为热点 500m 内去重车辆数（右轴）</w:t>
            </w:r>
          </w:p>
        </w:tc>
        <w:tc>
          <w:tcPr>
            <w:tcW w:type="dxa" w:w="2126"/>
            <w:shd w:val="clear" w:color="auto" w:fill="F4F8FB"/>
          </w:tcPr>
          <w:p>
            <w:pPr>
              <w:spacing w:after="20" w:line="264" w:lineRule="auto"/>
            </w:pPr>
            <w:r/>
            <w:r>
              <w:rPr>
                <w:rFonts w:ascii="Times New Roman" w:hAnsi="Times New Roman" w:eastAsia="微软雅黑"/>
                <w:b/>
                <w:color w:val="1D6FA5"/>
                <w:sz w:val="15"/>
              </w:rPr>
              <w:t>关键发现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10 点 6,022 趟为全天峰值；热点内车辆 9—16 点保持 100 辆以上，10 点 123 辆</w:t>
            </w:r>
          </w:p>
        </w:tc>
        <w:tc>
          <w:tcPr>
            <w:tcW w:type="dxa" w:w="2126"/>
            <w:shd w:val="clear" w:color="auto" w:fill="F4F8FB"/>
          </w:tcPr>
          <w:p>
            <w:pPr>
              <w:spacing w:after="20" w:line="264" w:lineRule="auto"/>
            </w:pPr>
            <w:r/>
            <w:r>
              <w:rPr>
                <w:rFonts w:ascii="Times New Roman" w:hAnsi="Times New Roman" w:eastAsia="微软雅黑"/>
                <w:b/>
                <w:color w:val="1D6FA5"/>
                <w:sz w:val="15"/>
              </w:rPr>
              <w:t>业务含义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上午与下午两个高峰需要更多运力；热点区域的车辆密度与全城趟次走势基本同步</w:t>
            </w:r>
          </w:p>
        </w:tc>
        <w:tc>
          <w:tcPr>
            <w:tcW w:type="dxa" w:w="2126"/>
            <w:shd w:val="clear" w:color="auto" w:fill="F4F8FB"/>
          </w:tcPr>
          <w:p>
            <w:pPr>
              <w:spacing w:after="20" w:line="264" w:lineRule="auto"/>
            </w:pPr>
            <w:r/>
            <w:r>
              <w:rPr>
                <w:rFonts w:ascii="Times New Roman" w:hAnsi="Times New Roman" w:eastAsia="微软雅黑"/>
                <w:b/>
                <w:color w:val="1D6FA5"/>
                <w:sz w:val="15"/>
              </w:rPr>
              <w:t>口径与限制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时刻取轨迹首点（发车时刻），非乘客上车时刻；小时粒度会掩盖分钟级波动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微软雅黑"/>
          <w:b/>
          <w:color w:val="1D6FA5"/>
          <w:sz w:val="24"/>
        </w:rPr>
        <w:t>3.3　车辆层面：一趟接一趟有多密</w:t>
      </w:r>
    </w:p>
    <w:p>
      <w:pPr>
        <w:spacing w:before="0" w:after="100" w:line="348" w:lineRule="auto"/>
        <w:ind w:firstLine="420"/>
        <w:jc w:val="both"/>
      </w:pPr>
      <w:r>
        <w:rPr>
          <w:rFonts w:ascii="Times New Roman" w:hAnsi="Times New Roman" w:eastAsia="宋体"/>
          <w:b w:val="0"/>
          <w:color w:val="2B333F"/>
          <w:sz w:val="21"/>
        </w:rPr>
        <w:t>428 辆车共完成 99,618 趟，车均 232.8 趟（中位 217 趟）；最多的单车 501 趟，最少的仅 1 趟，样本内的运营强度差异极大。同一辆车相邻两趟发车的间隔中位 60.7 分钟，P90 为 189.8 分钟，80.0% 的间隔不短于 30 分钟，仅 1.1% 短于 5 分钟。这说明同一辆车在几分钟内连续发车的情况很少，两次发车之间主要消耗在候客与在途，而非高频周转。</w:t>
      </w:r>
    </w:p>
    <w:p>
      <w:pPr>
        <w:spacing w:before="0" w:after="0" w:line="240" w:lineRule="auto"/>
      </w:pPr>
    </w:p>
    <w:p>
      <w:pPr>
        <w:pStyle w:val="Heading1"/>
        <w:pBdr>
          <w:bottom w:val="single" w:sz="6" w:space="4" w:color="D5DEE7"/>
        </w:pBdr>
      </w:pPr>
      <w:r>
        <w:rPr>
          <w:rFonts w:ascii="Times New Roman" w:hAnsi="Times New Roman" w:eastAsia="微软雅黑"/>
          <w:b/>
          <w:color w:val="15527B"/>
          <w:sz w:val="30"/>
        </w:rPr>
        <w:t>4　空间结构：车停在哪里</w:t>
      </w:r>
    </w:p>
    <w:p>
      <w:pPr>
        <w:pStyle w:val="Heading2"/>
      </w:pPr>
      <w:r>
        <w:rPr>
          <w:rFonts w:ascii="Times New Roman" w:hAnsi="Times New Roman" w:eastAsia="微软雅黑"/>
          <w:b/>
          <w:color w:val="1D6FA5"/>
          <w:sz w:val="24"/>
        </w:rPr>
        <w:t>4.1　上车点密度与网格集中度</w:t>
      </w:r>
    </w:p>
    <w:p>
      <w:pPr>
        <w:spacing w:before="0" w:after="100" w:line="348" w:lineRule="auto"/>
        <w:ind w:firstLine="420"/>
        <w:jc w:val="both"/>
      </w:pPr>
      <w:r>
        <w:rPr>
          <w:rFonts w:ascii="Times New Roman" w:hAnsi="Times New Roman" w:eastAsia="宋体"/>
          <w:b w:val="0"/>
          <w:color w:val="2B333F"/>
          <w:sz w:val="21"/>
        </w:rPr>
        <w:t>把每一趟的首点落到 1km 网格上，298 个网格中有一个格子独自承载 20,663 趟（20.7%），并有 422 辆车（98.6%）至少到访过一次。这说明候客行为高度聚集：少数网格决定了大部分运力的位置。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96000" cy="47036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p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4703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120" w:after="80" w:line="276" w:lineRule="auto"/>
        <w:jc w:val="center"/>
      </w:pPr>
      <w:r>
        <w:rPr>
          <w:rFonts w:ascii="Times New Roman" w:hAnsi="Times New Roman" w:eastAsia="微软雅黑"/>
          <w:b/>
          <w:color w:val="3A4552"/>
          <w:sz w:val="17"/>
        </w:rPr>
        <w:t>图 4-1　上车点高度集中：最密 1km 网格承载 20.7% 的趟次，98.6% 的车辆到访过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0"/>
          <w:left w:val="single" w:sz="4" w:space="0" w:color="DCE6F0"/>
          <w:bottom w:val="single" w:sz="4" w:space="0" w:color="DCE6F0"/>
          <w:right w:val="single" w:sz="4" w:space="0" w:color="DCE6F0"/>
          <w:insideH w:val="single" w:sz="4" w:space="0" w:color="DCE6F0"/>
          <w:insideV w:val="single" w:sz="4" w:space="0" w:color="DCE6F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56"/>
        <w:gridCol w:w="2256"/>
        <w:gridCol w:w="2256"/>
        <w:gridCol w:w="2256"/>
      </w:tblGrid>
      <w:tr>
        <w:trPr>
          <w:cantSplit/>
        </w:trPr>
        <w:tc>
          <w:tcPr>
            <w:tcW w:type="dxa" w:w="2126"/>
            <w:shd w:val="clear" w:color="auto" w:fill="F4F8FB"/>
          </w:tcPr>
          <w:p>
            <w:pPr>
              <w:spacing w:after="20" w:line="264" w:lineRule="auto"/>
            </w:pPr>
            <w:r/>
            <w:r>
              <w:rPr>
                <w:rFonts w:ascii="Times New Roman" w:hAnsi="Times New Roman" w:eastAsia="微软雅黑"/>
                <w:b/>
                <w:color w:val="1D6FA5"/>
                <w:sz w:val="15"/>
              </w:rPr>
              <w:t>读图方式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六边形密度图，颜色越深表示首点越密集；星标为发车最多的 15 号站台</w:t>
            </w:r>
          </w:p>
        </w:tc>
        <w:tc>
          <w:tcPr>
            <w:tcW w:type="dxa" w:w="2126"/>
            <w:shd w:val="clear" w:color="auto" w:fill="F4F8FB"/>
          </w:tcPr>
          <w:p>
            <w:pPr>
              <w:spacing w:after="20" w:line="264" w:lineRule="auto"/>
            </w:pPr>
            <w:r/>
            <w:r>
              <w:rPr>
                <w:rFonts w:ascii="Times New Roman" w:hAnsi="Times New Roman" w:eastAsia="微软雅黑"/>
                <w:b/>
                <w:color w:val="1D6FA5"/>
                <w:sz w:val="15"/>
              </w:rPr>
              <w:t>关键发现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密度集中在内城核心与主干道沿线；最密网格 20,663 趟，422 辆车到访</w:t>
            </w:r>
          </w:p>
        </w:tc>
        <w:tc>
          <w:tcPr>
            <w:tcW w:type="dxa" w:w="2126"/>
            <w:shd w:val="clear" w:color="auto" w:fill="F4F8FB"/>
          </w:tcPr>
          <w:p>
            <w:pPr>
              <w:spacing w:after="20" w:line="264" w:lineRule="auto"/>
            </w:pPr>
            <w:r/>
            <w:r>
              <w:rPr>
                <w:rFonts w:ascii="Times New Roman" w:hAnsi="Times New Roman" w:eastAsia="微软雅黑"/>
                <w:b/>
                <w:color w:val="1D6FA5"/>
                <w:sz w:val="15"/>
              </w:rPr>
              <w:t>业务含义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候客位置选择高度趋同，调度可优先保障少数高密度区域的运力</w:t>
            </w:r>
          </w:p>
        </w:tc>
        <w:tc>
          <w:tcPr>
            <w:tcW w:type="dxa" w:w="2126"/>
            <w:shd w:val="clear" w:color="auto" w:fill="F4F8FB"/>
          </w:tcPr>
          <w:p>
            <w:pPr>
              <w:spacing w:after="20" w:line="264" w:lineRule="auto"/>
            </w:pPr>
            <w:r/>
            <w:r>
              <w:rPr>
                <w:rFonts w:ascii="Times New Roman" w:hAnsi="Times New Roman" w:eastAsia="微软雅黑"/>
                <w:b/>
                <w:color w:val="1D6FA5"/>
                <w:sz w:val="15"/>
              </w:rPr>
              <w:t>口径与限制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网格原点取首点最小经纬，格子边界非行政边界；密度计的是趟次不是订单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微软雅黑"/>
          <w:b/>
          <w:color w:val="1D6FA5"/>
          <w:sz w:val="24"/>
        </w:rPr>
        <w:t>4.2　区域分带与昼夜潮汐</w:t>
      </w:r>
    </w:p>
    <w:p>
      <w:pPr>
        <w:spacing w:before="0" w:after="100" w:line="348" w:lineRule="auto"/>
        <w:ind w:firstLine="420"/>
        <w:jc w:val="both"/>
      </w:pPr>
      <w:r>
        <w:rPr>
          <w:rFonts w:ascii="Times New Roman" w:hAnsi="Times New Roman" w:eastAsia="宋体"/>
          <w:b w:val="0"/>
          <w:color w:val="2B333F"/>
          <w:sz w:val="21"/>
        </w:rPr>
        <w:t>按发车点距市中心的距离分带：核心区（&lt;1.5km）占 43.4%，内环（1.5—4km）占 43.6%，两者合计 87.0%；外环 12.2%，机场 0.1%，远郊 0.7%。机场份额仅 0.1%，源于样本中机场相关发车极少，任何机场结论都不可靠。</w:t>
      </w:r>
    </w:p>
    <w:p>
      <w:pPr>
        <w:keepNext/>
        <w:spacing w:before="200" w:after="80" w:line="276" w:lineRule="auto"/>
        <w:jc w:val="left"/>
      </w:pPr>
      <w:r>
        <w:rPr>
          <w:rFonts w:ascii="Times New Roman" w:hAnsi="Times New Roman" w:eastAsia="微软雅黑"/>
          <w:b/>
          <w:color w:val="15527B"/>
          <w:sz w:val="17"/>
        </w:rPr>
        <w:t>表 4-1　区域发车趟次占比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1474"/>
            <w:shd w:val="clear" w:color="auto" w:fill="E8F1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5527B"/>
                <w:sz w:val="18"/>
              </w:rPr>
              <w:t>区域</w:t>
            </w:r>
          </w:p>
        </w:tc>
        <w:tc>
          <w:tcPr>
            <w:tcW w:type="dxa" w:w="1587"/>
            <w:shd w:val="clear" w:color="auto" w:fill="E8F1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5527B"/>
                <w:sz w:val="18"/>
              </w:rPr>
              <w:t>趟次占比</w:t>
            </w:r>
          </w:p>
        </w:tc>
        <w:tc>
          <w:tcPr>
            <w:tcW w:type="dxa" w:w="1928"/>
            <w:shd w:val="clear" w:color="auto" w:fill="E8F1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5527B"/>
                <w:sz w:val="18"/>
              </w:rPr>
              <w:t>分带口径</w:t>
            </w:r>
          </w:p>
        </w:tc>
        <w:tc>
          <w:tcPr>
            <w:tcW w:type="dxa" w:w="4025"/>
            <w:shd w:val="clear" w:color="auto" w:fill="E8F1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5527B"/>
                <w:sz w:val="18"/>
              </w:rPr>
              <w:t>特征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核心区</w:t>
            </w:r>
          </w:p>
        </w:tc>
        <w:tc>
          <w:tcPr>
            <w:tcW w:type="dxa" w:w="158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43.4%</w:t>
            </w:r>
          </w:p>
        </w:tc>
        <w:tc>
          <w:tcPr>
            <w:tcW w:type="dxa" w:w="192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&lt;1.5km</w:t>
            </w:r>
          </w:p>
        </w:tc>
        <w:tc>
          <w:tcPr>
            <w:tcW w:type="dxa" w:w="402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夜间占比最高，凌晨 4 点达 71.4%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内环</w:t>
            </w:r>
          </w:p>
        </w:tc>
        <w:tc>
          <w:tcPr>
            <w:tcW w:type="dxa" w:w="1587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43.6%</w:t>
            </w:r>
          </w:p>
        </w:tc>
        <w:tc>
          <w:tcPr>
            <w:tcW w:type="dxa" w:w="1928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1.5—4km</w:t>
            </w:r>
          </w:p>
        </w:tc>
        <w:tc>
          <w:tcPr>
            <w:tcW w:type="dxa" w:w="4025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白天占比最高，上午 10 点达 50.0%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外环</w:t>
            </w:r>
          </w:p>
        </w:tc>
        <w:tc>
          <w:tcPr>
            <w:tcW w:type="dxa" w:w="158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12.2%</w:t>
            </w:r>
          </w:p>
        </w:tc>
        <w:tc>
          <w:tcPr>
            <w:tcW w:type="dxa" w:w="192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4—8km</w:t>
            </w:r>
          </w:p>
        </w:tc>
        <w:tc>
          <w:tcPr>
            <w:tcW w:type="dxa" w:w="402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全天稳定在一成上下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机场</w:t>
            </w:r>
          </w:p>
        </w:tc>
        <w:tc>
          <w:tcPr>
            <w:tcW w:type="dxa" w:w="1587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0.1%</w:t>
            </w:r>
          </w:p>
        </w:tc>
        <w:tc>
          <w:tcPr>
            <w:tcW w:type="dxa" w:w="1928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机场 1km 内</w:t>
            </w:r>
          </w:p>
        </w:tc>
        <w:tc>
          <w:tcPr>
            <w:tcW w:type="dxa" w:w="4025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样本极少，不做结论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远郊</w:t>
            </w:r>
          </w:p>
        </w:tc>
        <w:tc>
          <w:tcPr>
            <w:tcW w:type="dxa" w:w="158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0.7%</w:t>
            </w:r>
          </w:p>
        </w:tc>
        <w:tc>
          <w:tcPr>
            <w:tcW w:type="dxa" w:w="192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&gt;8km</w:t>
            </w:r>
          </w:p>
        </w:tc>
        <w:tc>
          <w:tcPr>
            <w:tcW w:type="dxa" w:w="402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占比低，波动大</w:t>
            </w:r>
          </w:p>
        </w:tc>
      </w:tr>
    </w:tbl>
    <w:p>
      <w:pPr>
        <w:spacing w:after="0"/>
      </w:pP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2561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tid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56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120" w:after="80" w:line="276" w:lineRule="auto"/>
        <w:jc w:val="center"/>
      </w:pPr>
      <w:r>
        <w:rPr>
          <w:rFonts w:ascii="Times New Roman" w:hAnsi="Times New Roman" w:eastAsia="微软雅黑"/>
          <w:b/>
          <w:color w:val="3A4552"/>
          <w:sz w:val="17"/>
        </w:rPr>
        <w:t>图 4-2　夜间向心、白天外扩：核心区凌晨 4 点占 71.4%，上午 10 点降至 36.2%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0"/>
          <w:left w:val="single" w:sz="4" w:space="0" w:color="DCE6F0"/>
          <w:bottom w:val="single" w:sz="4" w:space="0" w:color="DCE6F0"/>
          <w:right w:val="single" w:sz="4" w:space="0" w:color="DCE6F0"/>
          <w:insideH w:val="single" w:sz="4" w:space="0" w:color="DCE6F0"/>
          <w:insideV w:val="single" w:sz="4" w:space="0" w:color="DCE6F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56"/>
        <w:gridCol w:w="2256"/>
        <w:gridCol w:w="2256"/>
        <w:gridCol w:w="2256"/>
      </w:tblGrid>
      <w:tr>
        <w:trPr>
          <w:cantSplit/>
        </w:trPr>
        <w:tc>
          <w:tcPr>
            <w:tcW w:type="dxa" w:w="2126"/>
            <w:shd w:val="clear" w:color="auto" w:fill="F4F8FB"/>
          </w:tcPr>
          <w:p>
            <w:pPr>
              <w:spacing w:after="20" w:line="264" w:lineRule="auto"/>
            </w:pPr>
            <w:r/>
            <w:r>
              <w:rPr>
                <w:rFonts w:ascii="Times New Roman" w:hAnsi="Times New Roman" w:eastAsia="微软雅黑"/>
                <w:b/>
                <w:color w:val="1D6FA5"/>
                <w:sz w:val="15"/>
              </w:rPr>
              <w:t>读图方式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24 列堆叠百分比，每列合计 100%，颜色对应五个区域</w:t>
            </w:r>
          </w:p>
        </w:tc>
        <w:tc>
          <w:tcPr>
            <w:tcW w:type="dxa" w:w="2126"/>
            <w:shd w:val="clear" w:color="auto" w:fill="F4F8FB"/>
          </w:tcPr>
          <w:p>
            <w:pPr>
              <w:spacing w:after="20" w:line="264" w:lineRule="auto"/>
            </w:pPr>
            <w:r/>
            <w:r>
              <w:rPr>
                <w:rFonts w:ascii="Times New Roman" w:hAnsi="Times New Roman" w:eastAsia="微软雅黑"/>
                <w:b/>
                <w:color w:val="1D6FA5"/>
                <w:sz w:val="15"/>
              </w:rPr>
              <w:t>关键发现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核心区占比由凌晨 4 点 71.4% 降至 10 点 36.2%，同期内环由 19.7% 升至 50.0%</w:t>
            </w:r>
          </w:p>
        </w:tc>
        <w:tc>
          <w:tcPr>
            <w:tcW w:type="dxa" w:w="2126"/>
            <w:shd w:val="clear" w:color="auto" w:fill="F4F8FB"/>
          </w:tcPr>
          <w:p>
            <w:pPr>
              <w:spacing w:after="20" w:line="264" w:lineRule="auto"/>
            </w:pPr>
            <w:r/>
            <w:r>
              <w:rPr>
                <w:rFonts w:ascii="Times New Roman" w:hAnsi="Times New Roman" w:eastAsia="微软雅黑"/>
                <w:b/>
                <w:color w:val="1D6FA5"/>
                <w:sz w:val="15"/>
              </w:rPr>
              <w:t>业务含义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运力在一天内由内城向外围迁移，夜间集中、白天扩散，调度需按时段切换重点区域</w:t>
            </w:r>
          </w:p>
        </w:tc>
        <w:tc>
          <w:tcPr>
            <w:tcW w:type="dxa" w:w="2126"/>
            <w:shd w:val="clear" w:color="auto" w:fill="F4F8FB"/>
          </w:tcPr>
          <w:p>
            <w:pPr>
              <w:spacing w:after="20" w:line="264" w:lineRule="auto"/>
            </w:pPr>
            <w:r/>
            <w:r>
              <w:rPr>
                <w:rFonts w:ascii="Times New Roman" w:hAnsi="Times New Roman" w:eastAsia="微软雅黑"/>
                <w:b/>
                <w:color w:val="1D6FA5"/>
                <w:sz w:val="15"/>
              </w:rPr>
              <w:t>口径与限制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区域按距市中心距离分带，非行政边界；机场样本极少，图中份额可忽略</w:t>
            </w:r>
          </w:p>
        </w:tc>
      </w:tr>
    </w:tbl>
    <w:p>
      <w:pPr>
        <w:spacing w:after="0"/>
      </w:pPr>
    </w:p>
    <w:p>
      <w:pPr>
        <w:spacing w:before="0" w:after="0" w:line="240" w:lineRule="auto"/>
      </w:pPr>
    </w:p>
    <w:p>
      <w:pPr>
        <w:pStyle w:val="Heading1"/>
        <w:pBdr>
          <w:bottom w:val="single" w:sz="6" w:space="4" w:color="D5DEE7"/>
        </w:pBdr>
      </w:pPr>
      <w:r>
        <w:rPr>
          <w:rFonts w:ascii="Times New Roman" w:hAnsi="Times New Roman" w:eastAsia="微软雅黑"/>
          <w:b/>
          <w:color w:val="15527B"/>
          <w:sz w:val="30"/>
        </w:rPr>
        <w:t>5　热点覆盖：一个热点，七个半径</w:t>
      </w:r>
    </w:p>
    <w:p>
      <w:pPr>
        <w:spacing w:before="0" w:after="100" w:line="348" w:lineRule="auto"/>
        <w:ind w:firstLine="420"/>
        <w:jc w:val="both"/>
      </w:pPr>
      <w:r>
        <w:rPr>
          <w:rFonts w:ascii="Times New Roman" w:hAnsi="Times New Roman" w:eastAsia="宋体"/>
          <w:b w:val="0"/>
          <w:color w:val="2B333F"/>
          <w:sz w:val="21"/>
        </w:rPr>
        <w:t>「有多少车会到热点」这个问题的答案几乎完全由半径决定。以 15 号站台为中心，半径从 100m 扩大到 5km，覆盖车辆占比从 69.6% 单调升到 99.8%。500m 口径下为 76.9%（329 辆），1km 口径下为 85.7%（367 辆）。本报告选定 500m：它既覆盖多数运营车，又不至于把半个城市算作「热点周边」。</w:t>
      </w:r>
    </w:p>
    <w:p>
      <w:pPr>
        <w:keepNext/>
        <w:spacing w:before="200" w:after="80" w:line="276" w:lineRule="auto"/>
        <w:jc w:val="left"/>
      </w:pPr>
      <w:r>
        <w:rPr>
          <w:rFonts w:ascii="Times New Roman" w:hAnsi="Times New Roman" w:eastAsia="微软雅黑"/>
          <w:b/>
          <w:color w:val="15527B"/>
          <w:sz w:val="17"/>
        </w:rPr>
        <w:t>表 5-1　热点半径覆盖矩阵（分母 428 辆）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2494"/>
            <w:shd w:val="clear" w:color="auto" w:fill="E8F1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5527B"/>
                <w:sz w:val="18"/>
              </w:rPr>
              <w:t>半径</w:t>
            </w:r>
          </w:p>
        </w:tc>
        <w:tc>
          <w:tcPr>
            <w:tcW w:type="dxa" w:w="2494"/>
            <w:shd w:val="clear" w:color="auto" w:fill="E8F1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5527B"/>
                <w:sz w:val="18"/>
              </w:rPr>
              <w:t>覆盖车辆</w:t>
            </w:r>
          </w:p>
        </w:tc>
        <w:tc>
          <w:tcPr>
            <w:tcW w:type="dxa" w:w="2494"/>
            <w:shd w:val="clear" w:color="auto" w:fill="E8F1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5527B"/>
                <w:sz w:val="18"/>
              </w:rPr>
              <w:t>占 428 辆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100m</w:t>
            </w:r>
          </w:p>
        </w:tc>
        <w:tc>
          <w:tcPr>
            <w:tcW w:type="dxa" w:w="249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298 辆</w:t>
            </w:r>
          </w:p>
        </w:tc>
        <w:tc>
          <w:tcPr>
            <w:tcW w:type="dxa" w:w="249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69.6%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200m</w:t>
            </w:r>
          </w:p>
        </w:tc>
        <w:tc>
          <w:tcPr>
            <w:tcW w:type="dxa" w:w="2494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312 辆</w:t>
            </w:r>
          </w:p>
        </w:tc>
        <w:tc>
          <w:tcPr>
            <w:tcW w:type="dxa" w:w="2494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72.9%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300m</w:t>
            </w:r>
          </w:p>
        </w:tc>
        <w:tc>
          <w:tcPr>
            <w:tcW w:type="dxa" w:w="249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317 辆</w:t>
            </w:r>
          </w:p>
        </w:tc>
        <w:tc>
          <w:tcPr>
            <w:tcW w:type="dxa" w:w="249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74.1%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500m（选定）</w:t>
            </w:r>
          </w:p>
        </w:tc>
        <w:tc>
          <w:tcPr>
            <w:tcW w:type="dxa" w:w="2494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329 辆</w:t>
            </w:r>
          </w:p>
        </w:tc>
        <w:tc>
          <w:tcPr>
            <w:tcW w:type="dxa" w:w="2494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76.9%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1km</w:t>
            </w:r>
          </w:p>
        </w:tc>
        <w:tc>
          <w:tcPr>
            <w:tcW w:type="dxa" w:w="249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367 辆</w:t>
            </w:r>
          </w:p>
        </w:tc>
        <w:tc>
          <w:tcPr>
            <w:tcW w:type="dxa" w:w="249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85.7%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2km</w:t>
            </w:r>
          </w:p>
        </w:tc>
        <w:tc>
          <w:tcPr>
            <w:tcW w:type="dxa" w:w="2494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426 辆</w:t>
            </w:r>
          </w:p>
        </w:tc>
        <w:tc>
          <w:tcPr>
            <w:tcW w:type="dxa" w:w="2494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99.5%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5km</w:t>
            </w:r>
          </w:p>
        </w:tc>
        <w:tc>
          <w:tcPr>
            <w:tcW w:type="dxa" w:w="249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427 辆</w:t>
            </w:r>
          </w:p>
        </w:tc>
        <w:tc>
          <w:tcPr>
            <w:tcW w:type="dxa" w:w="249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99.8%</w:t>
            </w:r>
          </w:p>
        </w:tc>
      </w:tr>
    </w:tbl>
    <w:p>
      <w:pPr>
        <w:spacing w:after="0"/>
      </w:pP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2966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ov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296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120" w:after="80" w:line="276" w:lineRule="auto"/>
        <w:jc w:val="center"/>
      </w:pPr>
      <w:r>
        <w:rPr>
          <w:rFonts w:ascii="Times New Roman" w:hAnsi="Times New Roman" w:eastAsia="微软雅黑"/>
          <w:b/>
          <w:color w:val="3A4552"/>
          <w:sz w:val="17"/>
        </w:rPr>
        <w:t>图 5-1　同一个热点：半径从 100m 到 5km，覆盖车辆由 69.6% 升到 99.8%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0"/>
          <w:left w:val="single" w:sz="4" w:space="0" w:color="DCE6F0"/>
          <w:bottom w:val="single" w:sz="4" w:space="0" w:color="DCE6F0"/>
          <w:right w:val="single" w:sz="4" w:space="0" w:color="DCE6F0"/>
          <w:insideH w:val="single" w:sz="4" w:space="0" w:color="DCE6F0"/>
          <w:insideV w:val="single" w:sz="4" w:space="0" w:color="DCE6F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56"/>
        <w:gridCol w:w="2256"/>
        <w:gridCol w:w="2256"/>
        <w:gridCol w:w="2256"/>
      </w:tblGrid>
      <w:tr>
        <w:trPr>
          <w:cantSplit/>
        </w:trPr>
        <w:tc>
          <w:tcPr>
            <w:tcW w:type="dxa" w:w="2126"/>
            <w:shd w:val="clear" w:color="auto" w:fill="F4F8FB"/>
          </w:tcPr>
          <w:p>
            <w:pPr>
              <w:spacing w:after="20" w:line="264" w:lineRule="auto"/>
            </w:pPr>
            <w:r/>
            <w:r>
              <w:rPr>
                <w:rFonts w:ascii="Times New Roman" w:hAnsi="Times New Roman" w:eastAsia="微软雅黑"/>
                <w:b/>
                <w:color w:val="1D6FA5"/>
                <w:sz w:val="15"/>
              </w:rPr>
              <w:t>读图方式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横轴为半径（对数刻度），纵轴为覆盖车辆占比，分母固定为 428 辆</w:t>
            </w:r>
          </w:p>
        </w:tc>
        <w:tc>
          <w:tcPr>
            <w:tcW w:type="dxa" w:w="2126"/>
            <w:shd w:val="clear" w:color="auto" w:fill="F4F8FB"/>
          </w:tcPr>
          <w:p>
            <w:pPr>
              <w:spacing w:after="20" w:line="264" w:lineRule="auto"/>
            </w:pPr>
            <w:r/>
            <w:r>
              <w:rPr>
                <w:rFonts w:ascii="Times New Roman" w:hAnsi="Times New Roman" w:eastAsia="微软雅黑"/>
                <w:b/>
                <w:color w:val="1D6FA5"/>
                <w:sz w:val="15"/>
              </w:rPr>
              <w:t>关键发现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100m 69.6%、500m 76.9%、1km 85.7%、2km 99.5%；2km 后基本饱和</w:t>
            </w:r>
          </w:p>
        </w:tc>
        <w:tc>
          <w:tcPr>
            <w:tcW w:type="dxa" w:w="2126"/>
            <w:shd w:val="clear" w:color="auto" w:fill="F4F8FB"/>
          </w:tcPr>
          <w:p>
            <w:pPr>
              <w:spacing w:after="20" w:line="264" w:lineRule="auto"/>
            </w:pPr>
            <w:r/>
            <w:r>
              <w:rPr>
                <w:rFonts w:ascii="Times New Roman" w:hAnsi="Times New Roman" w:eastAsia="微软雅黑"/>
                <w:b/>
                <w:color w:val="1D6FA5"/>
                <w:sz w:val="15"/>
              </w:rPr>
              <w:t>业务含义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绝大多数运营车都曾到访热点周边，差别只在「算不算到过」的半径定义</w:t>
            </w:r>
          </w:p>
        </w:tc>
        <w:tc>
          <w:tcPr>
            <w:tcW w:type="dxa" w:w="2126"/>
            <w:shd w:val="clear" w:color="auto" w:fill="F4F8FB"/>
          </w:tcPr>
          <w:p>
            <w:pPr>
              <w:spacing w:after="20" w:line="264" w:lineRule="auto"/>
            </w:pPr>
            <w:r/>
            <w:r>
              <w:rPr>
                <w:rFonts w:ascii="Times New Roman" w:hAnsi="Times New Roman" w:eastAsia="微软雅黑"/>
                <w:b/>
                <w:color w:val="1D6FA5"/>
                <w:sz w:val="15"/>
              </w:rPr>
              <w:t>口径与限制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单一热点；半径扩大必然提高覆盖，不能用覆盖率高来说明热点更热</w:t>
            </w:r>
          </w:p>
        </w:tc>
      </w:tr>
    </w:tbl>
    <w:p>
      <w:pPr>
        <w:spacing w:after="0"/>
      </w:pPr>
    </w:p>
    <w:p>
      <w:pPr>
        <w:spacing w:before="0" w:after="0" w:line="240" w:lineRule="auto"/>
      </w:pPr>
    </w:p>
    <w:p>
      <w:pPr>
        <w:pStyle w:val="Heading1"/>
        <w:pBdr>
          <w:bottom w:val="single" w:sz="6" w:space="4" w:color="D5DEE7"/>
        </w:pBdr>
      </w:pPr>
      <w:r>
        <w:rPr>
          <w:rFonts w:ascii="Times New Roman" w:hAnsi="Times New Roman" w:eastAsia="微软雅黑"/>
          <w:b/>
          <w:color w:val="15527B"/>
          <w:sz w:val="30"/>
        </w:rPr>
        <w:t>6　候客停留：参数如何决定结论</w:t>
      </w:r>
    </w:p>
    <w:p>
      <w:pPr>
        <w:spacing w:before="0" w:after="100" w:line="348" w:lineRule="auto"/>
        <w:ind w:firstLine="420"/>
        <w:jc w:val="both"/>
      </w:pPr>
      <w:r>
        <w:rPr>
          <w:rFonts w:ascii="Times New Roman" w:hAnsi="Times New Roman" w:eastAsia="宋体"/>
          <w:b w:val="0"/>
          <w:color w:val="2B333F"/>
          <w:sz w:val="21"/>
        </w:rPr>
        <w:t>停留识别采用锚点法：一段轨迹若连续点都落在同一半径内、且持续时长达到阈值，即记为一次停留。在该方法下，「人均停留几处」主要由两个参数决定，其中最短时长的影响远大于半径。以 200m/10 分钟为基准，人均 0.95 处；半径由 200m 放宽到 500m，人均升至 1.54 处（+62%）；最短时长由 10 分钟收紧到 30 分钟，人均降至 0.13 处（−87%），由 10 分钟放宽到 5 分钟则升至 3.22 处。</w:t>
      </w:r>
    </w:p>
    <w:p>
      <w:pPr>
        <w:keepNext/>
        <w:spacing w:before="200" w:after="80" w:line="276" w:lineRule="auto"/>
        <w:jc w:val="left"/>
      </w:pPr>
      <w:r>
        <w:rPr>
          <w:rFonts w:ascii="Times New Roman" w:hAnsi="Times New Roman" w:eastAsia="微软雅黑"/>
          <w:b/>
          <w:color w:val="15527B"/>
          <w:sz w:val="17"/>
        </w:rPr>
        <w:t>表 6-1　停留识别参数敏感性（15,000 趟随机抽样）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515"/>
            <w:shd w:val="clear" w:color="auto" w:fill="E8F1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5527B"/>
                <w:sz w:val="18"/>
              </w:rPr>
              <w:t>参数组合</w:t>
            </w:r>
          </w:p>
        </w:tc>
        <w:tc>
          <w:tcPr>
            <w:tcW w:type="dxa" w:w="2041"/>
            <w:shd w:val="clear" w:color="auto" w:fill="E8F1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5527B"/>
                <w:sz w:val="18"/>
              </w:rPr>
              <w:t>人均停留点</w:t>
            </w:r>
          </w:p>
        </w:tc>
        <w:tc>
          <w:tcPr>
            <w:tcW w:type="dxa" w:w="3061"/>
            <w:shd w:val="clear" w:color="auto" w:fill="E8F1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5527B"/>
                <w:sz w:val="18"/>
              </w:rPr>
              <w:t>相对基准变化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半径 100m / 10min</w:t>
            </w:r>
          </w:p>
        </w:tc>
        <w:tc>
          <w:tcPr>
            <w:tcW w:type="dxa" w:w="2041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0.84 处</w:t>
            </w:r>
          </w:p>
        </w:tc>
        <w:tc>
          <w:tcPr>
            <w:tcW w:type="dxa" w:w="3061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半径收紧，停留点减少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半径 200m / 10min（基准）</w:t>
            </w:r>
          </w:p>
        </w:tc>
        <w:tc>
          <w:tcPr>
            <w:tcW w:type="dxa" w:w="2041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0.95 处</w:t>
            </w:r>
          </w:p>
        </w:tc>
        <w:tc>
          <w:tcPr>
            <w:tcW w:type="dxa" w:w="3061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本报告采用口径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半径 300m / 10min</w:t>
            </w:r>
          </w:p>
        </w:tc>
        <w:tc>
          <w:tcPr>
            <w:tcW w:type="dxa" w:w="2041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1.11 处</w:t>
            </w:r>
          </w:p>
        </w:tc>
        <w:tc>
          <w:tcPr>
            <w:tcW w:type="dxa" w:w="3061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+17%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半径 500m / 10min</w:t>
            </w:r>
          </w:p>
        </w:tc>
        <w:tc>
          <w:tcPr>
            <w:tcW w:type="dxa" w:w="2041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1.54 处</w:t>
            </w:r>
          </w:p>
        </w:tc>
        <w:tc>
          <w:tcPr>
            <w:tcW w:type="dxa" w:w="3061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+62%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半径 200m / 5min</w:t>
            </w:r>
          </w:p>
        </w:tc>
        <w:tc>
          <w:tcPr>
            <w:tcW w:type="dxa" w:w="2041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3.22 处</w:t>
            </w:r>
          </w:p>
        </w:tc>
        <w:tc>
          <w:tcPr>
            <w:tcW w:type="dxa" w:w="3061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时长放宽，停留点激增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半径 200m / 15min</w:t>
            </w:r>
          </w:p>
        </w:tc>
        <w:tc>
          <w:tcPr>
            <w:tcW w:type="dxa" w:w="2041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0.52 处</w:t>
            </w:r>
          </w:p>
        </w:tc>
        <w:tc>
          <w:tcPr>
            <w:tcW w:type="dxa" w:w="3061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−45%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半径 200m / 30min</w:t>
            </w:r>
          </w:p>
        </w:tc>
        <w:tc>
          <w:tcPr>
            <w:tcW w:type="dxa" w:w="2041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0.13 处</w:t>
            </w:r>
          </w:p>
        </w:tc>
        <w:tc>
          <w:tcPr>
            <w:tcW w:type="dxa" w:w="3061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−87%，仅剩长时停留</w:t>
            </w:r>
          </w:p>
        </w:tc>
      </w:tr>
    </w:tbl>
    <w:p>
      <w:pPr>
        <w:spacing w:after="0"/>
      </w:pP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0712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se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71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120" w:after="80" w:line="276" w:lineRule="auto"/>
        <w:jc w:val="center"/>
      </w:pPr>
      <w:r>
        <w:rPr>
          <w:rFonts w:ascii="Times New Roman" w:hAnsi="Times New Roman" w:eastAsia="微软雅黑"/>
          <w:b/>
          <w:color w:val="3A4552"/>
          <w:sz w:val="17"/>
        </w:rPr>
        <w:t>图 6-1　半径与最短时长对人均停留点的影响：时长阈值最敏感（5→30 分钟下降 96%）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0"/>
          <w:left w:val="single" w:sz="4" w:space="0" w:color="DCE6F0"/>
          <w:bottom w:val="single" w:sz="4" w:space="0" w:color="DCE6F0"/>
          <w:right w:val="single" w:sz="4" w:space="0" w:color="DCE6F0"/>
          <w:insideH w:val="single" w:sz="4" w:space="0" w:color="DCE6F0"/>
          <w:insideV w:val="single" w:sz="4" w:space="0" w:color="DCE6F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56"/>
        <w:gridCol w:w="2256"/>
        <w:gridCol w:w="2256"/>
        <w:gridCol w:w="2256"/>
      </w:tblGrid>
      <w:tr>
        <w:trPr>
          <w:cantSplit/>
        </w:trPr>
        <w:tc>
          <w:tcPr>
            <w:tcW w:type="dxa" w:w="2126"/>
            <w:shd w:val="clear" w:color="auto" w:fill="F4F8FB"/>
          </w:tcPr>
          <w:p>
            <w:pPr>
              <w:spacing w:after="20" w:line="264" w:lineRule="auto"/>
            </w:pPr>
            <w:r/>
            <w:r>
              <w:rPr>
                <w:rFonts w:ascii="Times New Roman" w:hAnsi="Times New Roman" w:eastAsia="微软雅黑"/>
                <w:b/>
                <w:color w:val="1D6FA5"/>
                <w:sz w:val="15"/>
              </w:rPr>
              <w:t>读图方式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左右两面板，分别固定另一参数、只变半径与只变最短时长</w:t>
            </w:r>
          </w:p>
        </w:tc>
        <w:tc>
          <w:tcPr>
            <w:tcW w:type="dxa" w:w="2126"/>
            <w:shd w:val="clear" w:color="auto" w:fill="F4F8FB"/>
          </w:tcPr>
          <w:p>
            <w:pPr>
              <w:spacing w:after="20" w:line="264" w:lineRule="auto"/>
            </w:pPr>
            <w:r/>
            <w:r>
              <w:rPr>
                <w:rFonts w:ascii="Times New Roman" w:hAnsi="Times New Roman" w:eastAsia="微软雅黑"/>
                <w:b/>
                <w:color w:val="1D6FA5"/>
                <w:sz w:val="15"/>
              </w:rPr>
              <w:t>关键发现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半径 200→500m 上升 62%；最短时长 5→30 分钟下降 96%，是主导参数</w:t>
            </w:r>
          </w:p>
        </w:tc>
        <w:tc>
          <w:tcPr>
            <w:tcW w:type="dxa" w:w="2126"/>
            <w:shd w:val="clear" w:color="auto" w:fill="F4F8FB"/>
          </w:tcPr>
          <w:p>
            <w:pPr>
              <w:spacing w:after="20" w:line="264" w:lineRule="auto"/>
            </w:pPr>
            <w:r/>
            <w:r>
              <w:rPr>
                <w:rFonts w:ascii="Times New Roman" w:hAnsi="Times New Roman" w:eastAsia="微软雅黑"/>
                <w:b/>
                <w:color w:val="1D6FA5"/>
                <w:sz w:val="15"/>
              </w:rPr>
              <w:t>业务含义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「停留处数」是口径的产物，不能当作客观事实直接对外引用</w:t>
            </w:r>
          </w:p>
        </w:tc>
        <w:tc>
          <w:tcPr>
            <w:tcW w:type="dxa" w:w="2126"/>
            <w:shd w:val="clear" w:color="auto" w:fill="F4F8FB"/>
          </w:tcPr>
          <w:p>
            <w:pPr>
              <w:spacing w:after="20" w:line="264" w:lineRule="auto"/>
            </w:pPr>
            <w:r/>
            <w:r>
              <w:rPr>
                <w:rFonts w:ascii="Times New Roman" w:hAnsi="Times New Roman" w:eastAsia="微软雅黑"/>
                <w:b/>
                <w:color w:val="1D6FA5"/>
                <w:sz w:val="15"/>
              </w:rPr>
              <w:t>口径与限制</w:t>
            </w:r>
          </w:p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15,000 趟随机抽样；GPS 标称 15 秒间隔，停留时长由点数换算，存在截断误差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0"/>
          <w:bottom w:val="single" w:sz="4" w:space="0" w:color="DCE6F0"/>
          <w:right w:val="single" w:sz="4" w:space="0" w:color="DCE6F0"/>
          <w:left w:val="single" w:sz="24" w:space="0" w:color="1D6FA5"/>
          <w:insideH w:val="nil" w:sz="0" w:space="0" w:color="auto"/>
          <w:insideV w:val="nil" w:sz="0" w:space="0" w:color="auto"/>
        </w:tblBorders>
        <w:tblCellMar>
          <w:top w:w="110" w:type="dxa"/>
          <w:left w:w="170" w:type="dxa"/>
          <w:bottom w:w="110" w:type="dxa"/>
          <w:right w:w="150" w:type="dxa"/>
        </w:tblCellMar>
      </w:tblPr>
      <w:tblGrid>
        <w:gridCol w:w="9026"/>
      </w:tblGrid>
      <w:tr>
        <w:trPr>
          <w:cantSplit/>
        </w:trPr>
        <w:tc>
          <w:tcPr>
            <w:tcW w:type="dxa" w:w="9026"/>
            <w:shd w:val="clear" w:color="auto" w:fill="F4F8FB"/>
          </w:tcPr>
          <w:p>
            <w:pPr>
              <w:spacing w:after="60" w:line="288" w:lineRule="auto"/>
            </w:pPr>
            <w:r/>
            <w:r>
              <w:rPr>
                <w:rFonts w:ascii="Times New Roman" w:hAnsi="Times New Roman" w:eastAsia="微软雅黑"/>
                <w:b/>
                <w:color w:val="15527B"/>
                <w:sz w:val="19"/>
              </w:rPr>
              <w:t>停留段的定位质量</w:t>
            </w:r>
          </w:p>
          <w:p>
            <w:pPr>
              <w:spacing w:after="0" w:line="336" w:lineRule="auto"/>
            </w:pPr>
            <w:r>
              <w:rPr>
                <w:rFonts w:ascii="Times New Roman" w:hAnsi="Times New Roman" w:eastAsia="宋体"/>
                <w:b w:val="0"/>
                <w:color w:val="2B333F"/>
                <w:sz w:val="18"/>
              </w:rPr>
              <w:t>停留段内点到中心的散布中位 7m、P95 101m；正常行驶时相邻点距离中位 78m。即停留期间定位抖动远小于行驶位移，锚点法在该数据上可用；但 P95 达 101m 说明个别停留段存在明显漂移，半径取 100m 时会把这类点判为移动，这也是小半径口径停留点偏少的原因之一。</w:t>
            </w:r>
          </w:p>
        </w:tc>
      </w:tr>
    </w:tbl>
    <w:p>
      <w:pPr>
        <w:spacing w:after="0"/>
      </w:pPr>
    </w:p>
    <w:p>
      <w:pPr>
        <w:spacing w:before="0" w:after="0" w:line="240" w:lineRule="auto"/>
      </w:pPr>
    </w:p>
    <w:p>
      <w:pPr>
        <w:pStyle w:val="Heading1"/>
        <w:pBdr>
          <w:bottom w:val="single" w:sz="6" w:space="4" w:color="D5DEE7"/>
        </w:pBdr>
      </w:pPr>
      <w:r>
        <w:rPr>
          <w:rFonts w:ascii="Times New Roman" w:hAnsi="Times New Roman" w:eastAsia="微软雅黑"/>
          <w:b/>
          <w:color w:val="15527B"/>
          <w:sz w:val="30"/>
        </w:rPr>
        <w:t>7　结论与建议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0"/>
          <w:bottom w:val="single" w:sz="4" w:space="0" w:color="DCE6F0"/>
          <w:right w:val="single" w:sz="4" w:space="0" w:color="DCE6F0"/>
          <w:left w:val="single" w:sz="24" w:space="0" w:color="1D6FA5"/>
          <w:insideH w:val="nil" w:sz="0" w:space="0" w:color="auto"/>
          <w:insideV w:val="nil" w:sz="0" w:space="0" w:color="auto"/>
        </w:tblBorders>
        <w:tblCellMar>
          <w:top w:w="110" w:type="dxa"/>
          <w:left w:w="170" w:type="dxa"/>
          <w:bottom w:w="110" w:type="dxa"/>
          <w:right w:w="150" w:type="dxa"/>
        </w:tblCellMar>
      </w:tblPr>
      <w:tblGrid>
        <w:gridCol w:w="9026"/>
      </w:tblGrid>
      <w:tr>
        <w:trPr>
          <w:cantSplit/>
        </w:trPr>
        <w:tc>
          <w:tcPr>
            <w:tcW w:type="dxa" w:w="9026"/>
            <w:shd w:val="clear" w:color="auto" w:fill="F4F8FB"/>
          </w:tcPr>
          <w:p>
            <w:pPr>
              <w:spacing w:after="60" w:line="288" w:lineRule="auto"/>
            </w:pPr>
            <w:r/>
            <w:r>
              <w:rPr>
                <w:rFonts w:ascii="Times New Roman" w:hAnsi="Times New Roman" w:eastAsia="微软雅黑"/>
                <w:b/>
                <w:color w:val="15527B"/>
                <w:sz w:val="19"/>
              </w:rPr>
              <w:t>三条结论</w:t>
            </w:r>
          </w:p>
          <w:p>
            <w:pPr>
              <w:spacing w:after="0" w:line="336" w:lineRule="auto"/>
            </w:pPr>
            <w:r>
              <w:rPr>
                <w:rFonts w:ascii="Times New Roman" w:hAnsi="Times New Roman" w:eastAsia="宋体"/>
                <w:b w:val="0"/>
                <w:color w:val="2B333F"/>
                <w:sz w:val="18"/>
              </w:rPr>
              <w:t>① 运力高度向心：87.0% 的发车发生在核心区与内环，最密 1km 网格单格承载 20.7% 的趟次，空间上的「少数决定多数」非常明显。</w:t>
              <w:br/>
              <w:t>② 时间双峰且夜间不空：10 点与 14—16 点为高峰，凌晨 0—5 点仍占 17.7%，运力在 24 小时内并非单向收敛。</w:t>
              <w:br/>
              <w:t>③ 停留类结论由口径决定：人均停留点从 0.13 到 3.22 处，跨度超过 20 倍，全部来自参数选择，因此该类数字只能连同半径与最短时长一起出现。</w:t>
            </w:r>
          </w:p>
        </w:tc>
      </w:tr>
    </w:tbl>
    <w:p>
      <w:pPr>
        <w:spacing w:after="0"/>
      </w:pPr>
    </w:p>
    <w:p>
      <w:pPr>
        <w:keepNext/>
        <w:spacing w:before="200" w:after="80" w:line="276" w:lineRule="auto"/>
        <w:jc w:val="left"/>
      </w:pPr>
      <w:r>
        <w:rPr>
          <w:rFonts w:ascii="Times New Roman" w:hAnsi="Times New Roman" w:eastAsia="微软雅黑"/>
          <w:b/>
          <w:color w:val="15527B"/>
          <w:sz w:val="17"/>
        </w:rPr>
        <w:t>表 7-1　建议与依据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2041"/>
            <w:shd w:val="clear" w:color="auto" w:fill="E8F1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5527B"/>
                <w:sz w:val="18"/>
              </w:rPr>
              <w:t>建议</w:t>
            </w:r>
          </w:p>
        </w:tc>
        <w:tc>
          <w:tcPr>
            <w:tcW w:type="dxa" w:w="4309"/>
            <w:shd w:val="clear" w:color="auto" w:fill="E8F1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5527B"/>
                <w:sz w:val="18"/>
              </w:rPr>
              <w:t>做法</w:t>
            </w:r>
          </w:p>
        </w:tc>
        <w:tc>
          <w:tcPr>
            <w:tcW w:type="dxa" w:w="2268"/>
            <w:shd w:val="clear" w:color="auto" w:fill="E8F1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5527B"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排班跟上双峰</w:t>
            </w:r>
          </w:p>
        </w:tc>
        <w:tc>
          <w:tcPr>
            <w:tcW w:type="dxa" w:w="430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高峰时段（9—11、14—16）加密运力，午间与凌晨按基线维持</w:t>
            </w:r>
          </w:p>
        </w:tc>
        <w:tc>
          <w:tcPr>
            <w:tcW w:type="dxa" w:w="226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表 3-1 分时段趟次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候客点向高密度网格倾斜</w:t>
            </w:r>
          </w:p>
        </w:tc>
        <w:tc>
          <w:tcPr>
            <w:tcW w:type="dxa" w:w="4309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优先保障最密网格与 15 号站台周边，而非均匀铺开</w:t>
            </w:r>
          </w:p>
        </w:tc>
        <w:tc>
          <w:tcPr>
            <w:tcW w:type="dxa" w:w="2268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表 4-1、图 4-1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覆盖类表述固定口径</w:t>
            </w:r>
          </w:p>
        </w:tc>
        <w:tc>
          <w:tcPr>
            <w:tcW w:type="dxa" w:w="430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对外一律写「500m 内覆盖 76.9%（329/428 辆）」而非「覆盖 77%」</w:t>
            </w:r>
          </w:p>
        </w:tc>
        <w:tc>
          <w:tcPr>
            <w:tcW w:type="dxa" w:w="226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表 5-1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停留类结论标注参数</w:t>
            </w:r>
          </w:p>
        </w:tc>
        <w:tc>
          <w:tcPr>
            <w:tcW w:type="dxa" w:w="4309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任何「停留 X 处」必须附半径与最短时长，并给出敏感性区间</w:t>
            </w:r>
          </w:p>
        </w:tc>
        <w:tc>
          <w:tcPr>
            <w:tcW w:type="dxa" w:w="2268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表 6-1、图 6-1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补采以扩展结论</w:t>
            </w:r>
          </w:p>
        </w:tc>
        <w:tc>
          <w:tcPr>
            <w:tcW w:type="dxa" w:w="430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若需回答需求总量或经营效率，需补上下客时刻、订单金额字段</w:t>
            </w:r>
          </w:p>
        </w:tc>
        <w:tc>
          <w:tcPr>
            <w:tcW w:type="dxa" w:w="226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第 8 章使用边界</w:t>
            </w:r>
          </w:p>
        </w:tc>
      </w:tr>
    </w:tbl>
    <w:p>
      <w:pPr>
        <w:spacing w:after="0"/>
      </w:pPr>
    </w:p>
    <w:p>
      <w:pPr>
        <w:spacing w:before="0" w:after="0" w:line="240" w:lineRule="auto"/>
      </w:pPr>
    </w:p>
    <w:p>
      <w:pPr>
        <w:pStyle w:val="Heading1"/>
        <w:pBdr>
          <w:bottom w:val="single" w:sz="6" w:space="4" w:color="D5DEE7"/>
        </w:pBdr>
      </w:pPr>
      <w:r>
        <w:rPr>
          <w:rFonts w:ascii="Times New Roman" w:hAnsi="Times New Roman" w:eastAsia="微软雅黑"/>
          <w:b/>
          <w:color w:val="15527B"/>
          <w:sz w:val="30"/>
        </w:rPr>
        <w:t>8　使用边界：能说的话与不能说的话</w:t>
      </w:r>
    </w:p>
    <w:p>
      <w:pPr>
        <w:spacing w:before="0" w:after="100" w:line="348" w:lineRule="auto"/>
        <w:ind w:firstLine="420"/>
        <w:jc w:val="both"/>
      </w:pPr>
      <w:r>
        <w:rPr>
          <w:rFonts w:ascii="Times New Roman" w:hAnsi="Times New Roman" w:eastAsia="宋体"/>
          <w:b w:val="0"/>
          <w:color w:val="2B333F"/>
          <w:sz w:val="21"/>
        </w:rPr>
        <w:t>同一份分析，换一种说法就可能越界。下表左侧可直接引用，右侧是常见但超出样本能力的表述，对外汇报时只用左列。</w:t>
      </w:r>
    </w:p>
    <w:p>
      <w:pPr>
        <w:keepNext/>
        <w:spacing w:before="200" w:after="80" w:line="276" w:lineRule="auto"/>
        <w:jc w:val="left"/>
      </w:pPr>
      <w:r>
        <w:rPr>
          <w:rFonts w:ascii="Times New Roman" w:hAnsi="Times New Roman" w:eastAsia="微软雅黑"/>
          <w:b/>
          <w:color w:val="15527B"/>
          <w:sz w:val="17"/>
        </w:rPr>
        <w:t>表 8-1　可引用与不可引用的表述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479"/>
            <w:shd w:val="clear" w:color="auto" w:fill="E8F1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5527B"/>
                <w:sz w:val="18"/>
              </w:rPr>
              <w:t>可以这样写（带口径、带范围）</w:t>
            </w:r>
          </w:p>
        </w:tc>
        <w:tc>
          <w:tcPr>
            <w:tcW w:type="dxa" w:w="4479"/>
            <w:shd w:val="clear" w:color="auto" w:fill="E8F1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5527B"/>
                <w:sz w:val="18"/>
              </w:rPr>
              <w:t>不能这样写（越界外推）</w:t>
            </w:r>
          </w:p>
        </w:tc>
      </w:tr>
      <w:tr>
        <w:trPr>
          <w:cantSplit/>
        </w:trPr>
        <w:tc>
          <w:tcPr>
            <w:tcW w:type="dxa" w:w="447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「2013 年 7 月样本中，87.0% 的发车发生在核心区与内环」</w:t>
            </w:r>
          </w:p>
        </w:tc>
        <w:tc>
          <w:tcPr>
            <w:tcW w:type="dxa" w:w="447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「波尔图八成以上的出行需求集中在市中心」</w:t>
            </w:r>
          </w:p>
        </w:tc>
      </w:tr>
      <w:tr>
        <w:trPr>
          <w:cantSplit/>
        </w:trPr>
        <w:tc>
          <w:tcPr>
            <w:tcW w:type="dxa" w:w="4479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「500m 半径内，76.9% 的运营车至少到访过一次」</w:t>
            </w:r>
          </w:p>
        </w:tc>
        <w:tc>
          <w:tcPr>
            <w:tcW w:type="dxa" w:w="4479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「这个站点的覆盖率接近八成」</w:t>
            </w:r>
          </w:p>
        </w:tc>
      </w:tr>
      <w:tr>
        <w:trPr>
          <w:cantSplit/>
        </w:trPr>
        <w:tc>
          <w:tcPr>
            <w:tcW w:type="dxa" w:w="447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「200m/10 分钟口径下，人均 0.95 处候客停留」</w:t>
            </w:r>
          </w:p>
        </w:tc>
        <w:tc>
          <w:tcPr>
            <w:tcW w:type="dxa" w:w="447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「司机平均每天只停一次」</w:t>
            </w:r>
          </w:p>
        </w:tc>
      </w:tr>
      <w:tr>
        <w:trPr>
          <w:cantSplit/>
        </w:trPr>
        <w:tc>
          <w:tcPr>
            <w:tcW w:type="dxa" w:w="4479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「数据为发车记录，不能回答乘客出行总量」</w:t>
            </w:r>
          </w:p>
        </w:tc>
        <w:tc>
          <w:tcPr>
            <w:tcW w:type="dxa" w:w="4479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「根据本数据，全城日均出行 X 万人次」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0"/>
          <w:bottom w:val="single" w:sz="4" w:space="0" w:color="DCE6F0"/>
          <w:right w:val="single" w:sz="4" w:space="0" w:color="DCE6F0"/>
          <w:left w:val="single" w:sz="24" w:space="0" w:color="E39B2E"/>
          <w:insideH w:val="nil" w:sz="0" w:space="0" w:color="auto"/>
          <w:insideV w:val="nil" w:sz="0" w:space="0" w:color="auto"/>
        </w:tblBorders>
        <w:tblCellMar>
          <w:top w:w="110" w:type="dxa"/>
          <w:left w:w="170" w:type="dxa"/>
          <w:bottom w:w="110" w:type="dxa"/>
          <w:right w:w="150" w:type="dxa"/>
        </w:tblCellMar>
      </w:tblPr>
      <w:tblGrid>
        <w:gridCol w:w="9026"/>
      </w:tblGrid>
      <w:tr>
        <w:trPr>
          <w:cantSplit/>
        </w:trPr>
        <w:tc>
          <w:tcPr>
            <w:tcW w:type="dxa" w:w="9026"/>
            <w:shd w:val="clear" w:color="auto" w:fill="FBF6EC"/>
          </w:tcPr>
          <w:p>
            <w:pPr>
              <w:spacing w:after="60" w:line="288" w:lineRule="auto"/>
            </w:pPr>
            <w:r/>
            <w:r>
              <w:rPr>
                <w:rFonts w:ascii="Times New Roman" w:hAnsi="Times New Roman" w:eastAsia="微软雅黑"/>
                <w:b/>
                <w:color w:val="15527B"/>
                <w:sz w:val="19"/>
              </w:rPr>
              <w:t>三条硬约束</w:t>
            </w:r>
          </w:p>
          <w:p>
            <w:pPr>
              <w:spacing w:after="0" w:line="336" w:lineRule="auto"/>
            </w:pPr>
            <w:r>
              <w:rPr>
                <w:rFonts w:ascii="Times New Roman" w:hAnsi="Times New Roman" w:eastAsia="宋体"/>
                <w:b w:val="0"/>
                <w:color w:val="2B333F"/>
                <w:sz w:val="18"/>
              </w:rPr>
              <w:t>所有比例均写明分母（428 辆车 / 99,618 趟）；图内数字与正文、表格逐一对应，均来自同一套复算脚本；标注「推断」者为推断，未标注者均为样本内直接统计结果。</w:t>
            </w:r>
          </w:p>
        </w:tc>
      </w:tr>
    </w:tbl>
    <w:p>
      <w:pPr>
        <w:spacing w:after="0"/>
      </w:pPr>
    </w:p>
    <w:p>
      <w:pPr>
        <w:spacing w:before="0" w:after="0" w:line="240" w:lineRule="auto"/>
      </w:pPr>
    </w:p>
    <w:p>
      <w:pPr>
        <w:pStyle w:val="Heading1"/>
        <w:pBdr>
          <w:bottom w:val="single" w:sz="6" w:space="4" w:color="D5DEE7"/>
        </w:pBdr>
      </w:pPr>
      <w:r>
        <w:rPr>
          <w:rFonts w:ascii="Times New Roman" w:hAnsi="Times New Roman" w:eastAsia="微软雅黑"/>
          <w:b/>
          <w:color w:val="15527B"/>
          <w:sz w:val="30"/>
        </w:rPr>
        <w:t>附录 A　指标口径与证据索引</w:t>
      </w:r>
    </w:p>
    <w:p>
      <w:pPr>
        <w:keepNext/>
        <w:spacing w:before="200" w:after="80" w:line="276" w:lineRule="auto"/>
        <w:jc w:val="left"/>
      </w:pPr>
      <w:r>
        <w:rPr>
          <w:rFonts w:ascii="Times New Roman" w:hAnsi="Times New Roman" w:eastAsia="微软雅黑"/>
          <w:b/>
          <w:color w:val="15527B"/>
          <w:sz w:val="17"/>
        </w:rPr>
        <w:t>表 A-1　指标索引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494"/>
            <w:shd w:val="clear" w:color="auto" w:fill="E8F1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5527B"/>
                <w:sz w:val="18"/>
              </w:rPr>
              <w:t>指标</w:t>
            </w:r>
          </w:p>
        </w:tc>
        <w:tc>
          <w:tcPr>
            <w:tcW w:type="dxa" w:w="3175"/>
            <w:shd w:val="clear" w:color="auto" w:fill="E8F1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5527B"/>
                <w:sz w:val="18"/>
              </w:rPr>
              <w:t>口径</w:t>
            </w:r>
          </w:p>
        </w:tc>
        <w:tc>
          <w:tcPr>
            <w:tcW w:type="dxa" w:w="2041"/>
            <w:shd w:val="clear" w:color="auto" w:fill="E8F1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5527B"/>
                <w:sz w:val="18"/>
              </w:rPr>
              <w:t>来源脚本</w:t>
            </w:r>
          </w:p>
        </w:tc>
        <w:tc>
          <w:tcPr>
            <w:tcW w:type="dxa" w:w="907"/>
            <w:shd w:val="clear" w:color="auto" w:fill="E8F1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5527B"/>
                <w:sz w:val="18"/>
              </w:rPr>
              <w:t>章节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有效行程 99,618 趟</w:t>
            </w:r>
          </w:p>
        </w:tc>
        <w:tc>
          <w:tcPr>
            <w:tcW w:type="dxa" w:w="317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剔除空轨迹、完全重复、首点越界后保留</w:t>
            </w:r>
          </w:p>
        </w:tc>
        <w:tc>
          <w:tcPr>
            <w:tcW w:type="dxa" w:w="2041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数据验收与清洗（D2）</w:t>
            </w:r>
          </w:p>
        </w:tc>
        <w:tc>
          <w:tcPr>
            <w:tcW w:type="dxa" w:w="90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298 个 1km 网格</w:t>
            </w:r>
          </w:p>
        </w:tc>
        <w:tc>
          <w:tcPr>
            <w:tcW w:type="dxa" w:w="3175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原点取首点最小经纬，KM_LAT=1/111</w:t>
            </w:r>
          </w:p>
        </w:tc>
        <w:tc>
          <w:tcPr>
            <w:tcW w:type="dxa" w:w="2041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空间维度分析（D3）</w:t>
            </w:r>
          </w:p>
        </w:tc>
        <w:tc>
          <w:tcPr>
            <w:tcW w:type="dxa" w:w="907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4.1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最密网格 20,663 趟 / 20.7%</w:t>
            </w:r>
          </w:p>
        </w:tc>
        <w:tc>
          <w:tcPr>
            <w:tcW w:type="dxa" w:w="317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同一网格内发车趟次 / 99,618</w:t>
            </w:r>
          </w:p>
        </w:tc>
        <w:tc>
          <w:tcPr>
            <w:tcW w:type="dxa" w:w="2041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D3 复算</w:t>
            </w:r>
          </w:p>
        </w:tc>
        <w:tc>
          <w:tcPr>
            <w:tcW w:type="dxa" w:w="90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4.1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区域占比 43.4/43.6/12.2/0.1/0.7</w:t>
            </w:r>
          </w:p>
        </w:tc>
        <w:tc>
          <w:tcPr>
            <w:tcW w:type="dxa" w:w="3175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距市中心 &lt;1.5/&lt;4/&lt;8km，机场 1km 优先</w:t>
            </w:r>
          </w:p>
        </w:tc>
        <w:tc>
          <w:tcPr>
            <w:tcW w:type="dxa" w:w="2041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这份数据是谁（D4）</w:t>
            </w:r>
          </w:p>
        </w:tc>
        <w:tc>
          <w:tcPr>
            <w:tcW w:type="dxa" w:w="907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4.2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覆盖 69.6%—99.8%</w:t>
            </w:r>
          </w:p>
        </w:tc>
        <w:tc>
          <w:tcPr>
            <w:tcW w:type="dxa" w:w="317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半径内到访车辆 / 428 辆</w:t>
            </w:r>
          </w:p>
        </w:tc>
        <w:tc>
          <w:tcPr>
            <w:tcW w:type="dxa" w:w="2041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D4 与本次复算</w:t>
            </w:r>
          </w:p>
        </w:tc>
        <w:tc>
          <w:tcPr>
            <w:tcW w:type="dxa" w:w="90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停留 0.95 处/车</w:t>
            </w:r>
          </w:p>
        </w:tc>
        <w:tc>
          <w:tcPr>
            <w:tcW w:type="dxa" w:w="3175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锚点法 200m / 10min，人均停留点数</w:t>
            </w:r>
          </w:p>
        </w:tc>
        <w:tc>
          <w:tcPr>
            <w:tcW w:type="dxa" w:w="2041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驻留识别（D6）</w:t>
            </w:r>
          </w:p>
        </w:tc>
        <w:tc>
          <w:tcPr>
            <w:tcW w:type="dxa" w:w="907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停留敏感性 0.13—3.22</w:t>
            </w:r>
          </w:p>
        </w:tc>
        <w:tc>
          <w:tcPr>
            <w:tcW w:type="dxa" w:w="317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15,000 趟抽样，变半径／变时长</w:t>
            </w:r>
          </w:p>
        </w:tc>
        <w:tc>
          <w:tcPr>
            <w:tcW w:type="dxa" w:w="2041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D6 敏感性分析</w:t>
            </w:r>
          </w:p>
        </w:tc>
        <w:tc>
          <w:tcPr>
            <w:tcW w:type="dxa" w:w="90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GPS 漂移 7m / 101m</w:t>
            </w:r>
          </w:p>
        </w:tc>
        <w:tc>
          <w:tcPr>
            <w:tcW w:type="dxa" w:w="3175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停留段内点到中心距离的中位／P95</w:t>
            </w:r>
          </w:p>
        </w:tc>
        <w:tc>
          <w:tcPr>
            <w:tcW w:type="dxa" w:w="2041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D6</w:t>
            </w:r>
          </w:p>
        </w:tc>
        <w:tc>
          <w:tcPr>
            <w:tcW w:type="dxa" w:w="907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6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6" w:space="4" w:color="D5DEE7"/>
        </w:pBdr>
      </w:pPr>
      <w:r>
        <w:rPr>
          <w:rFonts w:ascii="Times New Roman" w:hAnsi="Times New Roman" w:eastAsia="微软雅黑"/>
          <w:b/>
          <w:color w:val="15527B"/>
          <w:sz w:val="30"/>
        </w:rPr>
        <w:t>附录 B　图表与数据清单</w:t>
      </w:r>
    </w:p>
    <w:p>
      <w:pPr>
        <w:keepNext/>
        <w:spacing w:before="200" w:after="80" w:line="276" w:lineRule="auto"/>
        <w:jc w:val="left"/>
      </w:pPr>
      <w:r>
        <w:rPr>
          <w:rFonts w:ascii="Times New Roman" w:hAnsi="Times New Roman" w:eastAsia="微软雅黑"/>
          <w:b/>
          <w:color w:val="15527B"/>
          <w:sz w:val="17"/>
        </w:rPr>
        <w:t>表 B-1　图表与源文件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1247"/>
            <w:shd w:val="clear" w:color="auto" w:fill="E8F1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5527B"/>
                <w:sz w:val="18"/>
              </w:rPr>
              <w:t>图号</w:t>
            </w:r>
          </w:p>
        </w:tc>
        <w:tc>
          <w:tcPr>
            <w:tcW w:type="dxa" w:w="3742"/>
            <w:shd w:val="clear" w:color="auto" w:fill="E8F1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5527B"/>
                <w:sz w:val="18"/>
              </w:rPr>
              <w:t>结论</w:t>
            </w:r>
          </w:p>
        </w:tc>
        <w:tc>
          <w:tcPr>
            <w:tcW w:type="dxa" w:w="3969"/>
            <w:shd w:val="clear" w:color="auto" w:fill="E8F1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5527B"/>
                <w:sz w:val="18"/>
              </w:rPr>
              <w:t>源文件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图 3-1</w:t>
            </w:r>
          </w:p>
        </w:tc>
        <w:tc>
          <w:tcPr>
            <w:tcW w:type="dxa" w:w="374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单日趟次 3,494—5,640</w:t>
            </w:r>
          </w:p>
        </w:tc>
        <w:tc>
          <w:tcPr>
            <w:tcW w:type="dxa" w:w="396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report_figs/fig1_daily.png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图 3-2</w:t>
            </w:r>
          </w:p>
        </w:tc>
        <w:tc>
          <w:tcPr>
            <w:tcW w:type="dxa" w:w="3742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10 点 6,022 趟；热点车辆 9—16 点超 100 辆</w:t>
            </w:r>
          </w:p>
        </w:tc>
        <w:tc>
          <w:tcPr>
            <w:tcW w:type="dxa" w:w="3969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report_figs/fig2_hourly.png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图 4-1</w:t>
            </w:r>
          </w:p>
        </w:tc>
        <w:tc>
          <w:tcPr>
            <w:tcW w:type="dxa" w:w="374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最密网格 20.7%，98.6% 车辆到访</w:t>
            </w:r>
          </w:p>
        </w:tc>
        <w:tc>
          <w:tcPr>
            <w:tcW w:type="dxa" w:w="396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report_figs/fig3_space.png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图 4-2</w:t>
            </w:r>
          </w:p>
        </w:tc>
        <w:tc>
          <w:tcPr>
            <w:tcW w:type="dxa" w:w="3742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核心区凌晨 71.4%、上午 36.2%</w:t>
            </w:r>
          </w:p>
        </w:tc>
        <w:tc>
          <w:tcPr>
            <w:tcW w:type="dxa" w:w="3969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report_figs/fig5_tidal.png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图 5-1</w:t>
            </w:r>
          </w:p>
        </w:tc>
        <w:tc>
          <w:tcPr>
            <w:tcW w:type="dxa" w:w="3742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覆盖 69.6%→99.8%</w:t>
            </w:r>
          </w:p>
        </w:tc>
        <w:tc>
          <w:tcPr>
            <w:tcW w:type="dxa" w:w="3969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report_figs/fig4_cover.png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图 6-1</w:t>
            </w:r>
          </w:p>
        </w:tc>
        <w:tc>
          <w:tcPr>
            <w:tcW w:type="dxa" w:w="3742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时长阈值最敏感（−96%）</w:t>
            </w:r>
          </w:p>
        </w:tc>
        <w:tc>
          <w:tcPr>
            <w:tcW w:type="dxa" w:w="3969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7"/>
              </w:rPr>
              <w:t>report_figs/fig6_sens.png</w:t>
            </w:r>
          </w:p>
        </w:tc>
      </w:tr>
    </w:tbl>
    <w:p>
      <w:pPr>
        <w:spacing w:after="0"/>
      </w:pPr>
    </w:p>
    <w:p>
      <w:pPr>
        <w:spacing w:before="0" w:after="100" w:line="348" w:lineRule="auto"/>
        <w:jc w:val="both"/>
      </w:pPr>
      <w:r>
        <w:rPr>
          <w:rFonts w:ascii="Times New Roman" w:hAnsi="Times New Roman" w:eastAsia="宋体"/>
          <w:b w:val="0"/>
          <w:color w:val="2B333F"/>
          <w:sz w:val="18"/>
        </w:rPr>
        <w:t>数据与计算：原始数据 data/train_100k.csv（ECML/PKDD 2015）；本报告全部数值由 verify_metrics.py 复算，结果落盘为 verified_metrics.json；配图由 make_figures.py 依据同一份结果绘制。</w:t>
      </w:r>
    </w:p>
    <w:p>
      <w:pPr>
        <w:pStyle w:val="Heading1"/>
        <w:pBdr>
          <w:bottom w:val="single" w:sz="6" w:space="4" w:color="D5DEE7"/>
        </w:pBdr>
      </w:pPr>
      <w:r>
        <w:rPr>
          <w:rFonts w:ascii="Times New Roman" w:hAnsi="Times New Roman" w:eastAsia="微软雅黑"/>
          <w:b/>
          <w:color w:val="15527B"/>
          <w:sz w:val="30"/>
        </w:rPr>
        <w:t>附录 C　大模型使用记录</w:t>
      </w:r>
    </w:p>
    <w:p>
      <w:pPr>
        <w:spacing w:before="0" w:after="100" w:line="348" w:lineRule="auto"/>
        <w:ind w:firstLine="384"/>
        <w:jc w:val="both"/>
      </w:pPr>
      <w:r>
        <w:rPr>
          <w:rFonts w:ascii="Times New Roman" w:hAnsi="Times New Roman" w:eastAsia="宋体"/>
          <w:b w:val="0"/>
          <w:color w:val="2B333F"/>
          <w:sz w:val="19"/>
        </w:rPr>
        <w:t>按模板要求，记录本次报告中大模型（DeepSeek Harness）的实际使用边界：模型只参与文字组织、图表绘制与版式生成，所有数字均由本地脚本对原始 CSV 复算，不采用模型生成的任何数值。</w:t>
      </w:r>
    </w:p>
    <w:p>
      <w:pPr>
        <w:keepNext/>
        <w:spacing w:before="200" w:after="80" w:line="276" w:lineRule="auto"/>
        <w:jc w:val="left"/>
      </w:pPr>
      <w:r>
        <w:rPr>
          <w:rFonts w:ascii="Times New Roman" w:hAnsi="Times New Roman" w:eastAsia="微软雅黑"/>
          <w:b/>
          <w:color w:val="15527B"/>
          <w:sz w:val="17"/>
        </w:rPr>
        <w:t>表 C-1　大模型使用记录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DE"/>
          <w:left w:val="single" w:sz="4" w:space="0" w:color="C9D3DE"/>
          <w:bottom w:val="single" w:sz="4" w:space="0" w:color="C9D3DE"/>
          <w:right w:val="single" w:sz="4" w:space="0" w:color="C9D3DE"/>
          <w:insideH w:val="single" w:sz="4" w:space="0" w:color="C9D3DE"/>
          <w:insideV w:val="single" w:sz="4" w:space="0" w:color="C9D3D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05"/>
        <w:gridCol w:w="1805"/>
        <w:gridCol w:w="1805"/>
        <w:gridCol w:w="1805"/>
        <w:gridCol w:w="1805"/>
      </w:tblGrid>
      <w:tr>
        <w:trPr>
          <w:cantSplit/>
          <w:tblHeader/>
        </w:trPr>
        <w:tc>
          <w:tcPr>
            <w:tcW w:type="dxa" w:w="737"/>
            <w:shd w:val="clear" w:color="auto" w:fill="E8F1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5527B"/>
                <w:sz w:val="18"/>
              </w:rPr>
              <w:t>序号</w:t>
            </w:r>
          </w:p>
        </w:tc>
        <w:tc>
          <w:tcPr>
            <w:tcW w:type="dxa" w:w="1474"/>
            <w:shd w:val="clear" w:color="auto" w:fill="E8F1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5527B"/>
                <w:sz w:val="18"/>
              </w:rPr>
              <w:t>用途</w:t>
            </w:r>
          </w:p>
        </w:tc>
        <w:tc>
          <w:tcPr>
            <w:tcW w:type="dxa" w:w="2608"/>
            <w:shd w:val="clear" w:color="auto" w:fill="E8F1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5527B"/>
                <w:sz w:val="18"/>
              </w:rPr>
              <w:t>采纳内容</w:t>
            </w:r>
          </w:p>
        </w:tc>
        <w:tc>
          <w:tcPr>
            <w:tcW w:type="dxa" w:w="2268"/>
            <w:shd w:val="clear" w:color="auto" w:fill="E8F1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5527B"/>
                <w:sz w:val="18"/>
              </w:rPr>
              <w:t>未采纳及原因</w:t>
            </w:r>
          </w:p>
        </w:tc>
        <w:tc>
          <w:tcPr>
            <w:tcW w:type="dxa" w:w="1928"/>
            <w:shd w:val="clear" w:color="auto" w:fill="E8F1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5527B"/>
                <w:sz w:val="18"/>
              </w:rPr>
              <w:t>验证方式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1</w:t>
            </w:r>
          </w:p>
        </w:tc>
        <w:tc>
          <w:tcPr>
            <w:tcW w:type="dxa" w:w="147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章节结构与行文</w:t>
            </w:r>
          </w:p>
        </w:tc>
        <w:tc>
          <w:tcPr>
            <w:tcW w:type="dxa" w:w="260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采纳：第 3—6 章「口径→结果→结论」结构；文字初稿</w:t>
            </w:r>
          </w:p>
        </w:tc>
        <w:tc>
          <w:tcPr>
            <w:tcW w:type="dxa" w:w="226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未采纳：模板中的信令示例数字与措辞</w:t>
            </w:r>
          </w:p>
        </w:tc>
        <w:tc>
          <w:tcPr>
            <w:tcW w:type="dxa" w:w="192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逐段对照复算结果与图表核对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2</w:t>
            </w:r>
          </w:p>
        </w:tc>
        <w:tc>
          <w:tcPr>
            <w:tcW w:type="dxa" w:w="1474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数值计算</w:t>
            </w:r>
          </w:p>
        </w:tc>
        <w:tc>
          <w:tcPr>
            <w:tcW w:type="dxa" w:w="2608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未采纳模型给出的任何数字</w:t>
            </w:r>
          </w:p>
        </w:tc>
        <w:tc>
          <w:tcPr>
            <w:tcW w:type="dxa" w:w="2268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全部由 verify_metrics.py 从 CSV 复算</w:t>
            </w:r>
          </w:p>
        </w:tc>
        <w:tc>
          <w:tcPr>
            <w:tcW w:type="dxa" w:w="1928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与项目 dwd 缓存交叉验证（99,618 趟 / 298 网格）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3</w:t>
            </w:r>
          </w:p>
        </w:tc>
        <w:tc>
          <w:tcPr>
            <w:tcW w:type="dxa" w:w="1474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配图绘制</w:t>
            </w:r>
          </w:p>
        </w:tc>
        <w:tc>
          <w:tcPr>
            <w:tcW w:type="dxa" w:w="260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采纳：make_figures.py 生成的 6 张图</w:t>
            </w:r>
          </w:p>
        </w:tc>
        <w:tc>
          <w:tcPr>
            <w:tcW w:type="dxa" w:w="226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未沿用项目既有图片，避免图内数字与正文不一致</w:t>
            </w:r>
          </w:p>
        </w:tc>
        <w:tc>
          <w:tcPr>
            <w:tcW w:type="dxa" w:w="192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图内标注值均取自 verified_metrics.json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4</w:t>
            </w:r>
          </w:p>
        </w:tc>
        <w:tc>
          <w:tcPr>
            <w:tcW w:type="dxa" w:w="1474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口径选择</w:t>
            </w:r>
          </w:p>
        </w:tc>
        <w:tc>
          <w:tcPr>
            <w:tcW w:type="dxa" w:w="2608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采纳：500m 半径、200m/10min 停留</w:t>
            </w:r>
          </w:p>
        </w:tc>
        <w:tc>
          <w:tcPr>
            <w:tcW w:type="dxa" w:w="2268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未采纳：不标注参数的单一数字表述</w:t>
            </w:r>
          </w:p>
        </w:tc>
        <w:tc>
          <w:tcPr>
            <w:tcW w:type="dxa" w:w="1928"/>
            <w:shd w:val="clear" w:color="auto" w:fill="FAFCF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B333F"/>
                <w:sz w:val="16"/>
              </w:rPr>
              <w:t>用敏感性表列出全部参数组合</w:t>
            </w:r>
          </w:p>
        </w:tc>
      </w:tr>
    </w:tbl>
    <w:p>
      <w:pPr>
        <w:spacing w:after="0"/>
      </w:pPr>
    </w:p>
    <w:p>
      <w:pPr>
        <w:spacing w:before="520"/>
        <w:jc w:val="center"/>
      </w:pPr>
      <w:r>
        <w:rPr>
          <w:rFonts w:ascii="Times New Roman" w:hAnsi="Times New Roman" w:eastAsia="微软雅黑"/>
          <w:b w:val="0"/>
          <w:color w:val="6B7684"/>
          <w:sz w:val="19"/>
        </w:rPr>
        <w:t>— 报告结束 —</w:t>
      </w:r>
    </w:p>
    <w:sectPr w:rsidR="00FC693F" w:rsidRPr="0006063C" w:rsidSect="00034616">
      <w:footerReference w:type="default" r:id="rId9"/>
      <w:pgSz w:w="11906" w:h="16838"/>
      <w:pgMar w:top="1304" w:right="1440" w:bottom="1247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/>
        <w:b w:val="0"/>
        <w:color w:val="6B7684"/>
        <w:sz w:val="17"/>
      </w:rPr>
      <w:t xml:space="preserve">波尔图出租车运营时空结构分析　·　第 </w:t>
    </w:r>
    <w:fldSimple w:instr="PAGE">
      <w:r>
        <w:rPr>
          <w:sz w:val="17"/>
        </w:rPr>
        <w:t>1</w:t>
      </w:r>
    </w:fldSimple>
    <w:r>
      <w:rPr>
        <w:rFonts w:ascii="Times New Roman" w:hAnsi="Times New Roman" w:eastAsia="宋体"/>
        <w:b w:val="0"/>
        <w:color w:val="6B7684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before="0" w:after="80"/>
    </w:pPr>
    <w:rPr>
      <w:rFonts w:ascii="Times New Roman" w:hAnsi="Times New Roman" w:eastAsia="宋体"/>
      <w:b w:val="0"/>
      <w:color w:val="2B33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00" w:line="288" w:lineRule="auto"/>
      <w:outlineLvl w:val="0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15527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 w:line="300" w:lineRule="auto"/>
      <w:outlineLvl w:val="1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1D6FA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波尔图出租车运营时空结构分析报告</dc:title>
  <dc:subject>出租车轨迹数据分析（ECML/PKDD 2015 样本）</dc:subject>
  <dc:creator>数据分析组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