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BB73C">
      <w:pPr>
        <w:spacing w:before="0" w:after="40" w:line="240" w:lineRule="auto"/>
        <w:jc w:val="right"/>
      </w:pPr>
      <w:r>
        <w:rPr>
          <w:rFonts w:ascii="Times New Roman" w:hAnsi="Times New Roman" w:eastAsia="宋体"/>
          <w:b w:val="0"/>
          <w:color w:val="000000"/>
          <w:sz w:val="22"/>
        </w:rPr>
        <w:t>文档编号：TAXI-DQ-2026-001</w:t>
      </w:r>
    </w:p>
    <w:p w14:paraId="216CAE5D">
      <w:pPr>
        <w:spacing w:before="0" w:after="600" w:line="240" w:lineRule="auto"/>
        <w:jc w:val="right"/>
      </w:pPr>
      <w:r>
        <w:rPr>
          <w:rFonts w:ascii="Times New Roman" w:hAnsi="Times New Roman" w:eastAsia="宋体"/>
          <w:b w:val="0"/>
          <w:color w:val="000000"/>
          <w:sz w:val="22"/>
        </w:rPr>
        <w:t>密　　级：内部</w:t>
      </w:r>
    </w:p>
    <w:p w14:paraId="08C5BA8D">
      <w:pPr>
        <w:spacing w:before="0" w:after="200" w:line="440" w:lineRule="exact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DATA QUALITY ASSESSMENT REPORT</w:t>
      </w:r>
    </w:p>
    <w:p w14:paraId="232A0B08">
      <w:pPr>
        <w:spacing w:before="0" w:after="80" w:line="440" w:lineRule="exact"/>
        <w:jc w:val="center"/>
      </w:pPr>
      <w:r>
        <w:rPr>
          <w:rFonts w:ascii="Times New Roman" w:hAnsi="Times New Roman" w:eastAsia="宋体"/>
          <w:b/>
          <w:color w:val="000000"/>
          <w:sz w:val="52"/>
        </w:rPr>
        <w:t>波尔图出租车轨迹数据</w:t>
      </w:r>
    </w:p>
    <w:p w14:paraId="247C3947">
      <w:pPr>
        <w:spacing w:before="0" w:after="240" w:line="440" w:lineRule="exact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数据质量分析报告</w:t>
      </w:r>
    </w:p>
    <w:p w14:paraId="35C71A67">
      <w:pPr>
        <w:spacing w:before="0" w:after="60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Data Quality Assessment of Porto Taxi Trajectory Sample (train_100k, ECML/PKDD 2015)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21E0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02E381D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数据集名称</w:t>
            </w:r>
          </w:p>
        </w:tc>
        <w:tc>
          <w:tcPr>
            <w:tcW w:w="6690" w:type="dxa"/>
            <w:shd w:val="clear" w:color="auto" w:fill="1F3864"/>
            <w:vAlign w:val="center"/>
          </w:tcPr>
          <w:p w14:paraId="6796761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波尔图出租车轨迹样本（train_100k，公开脱敏）</w:t>
            </w:r>
          </w:p>
        </w:tc>
      </w:tr>
      <w:tr w14:paraId="4150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C08D8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数据时间</w:t>
            </w:r>
          </w:p>
        </w:tc>
        <w:tc>
          <w:tcPr>
            <w:tcW w:w="6690" w:type="dxa"/>
            <w:vAlign w:val="center"/>
          </w:tcPr>
          <w:p w14:paraId="2F39C3A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2013-07-01 至 07-21（葡萄牙里斯本夏令时）</w:t>
            </w:r>
          </w:p>
        </w:tc>
      </w:tr>
      <w:tr w14:paraId="0CAF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02D8B6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评估对象</w:t>
            </w:r>
          </w:p>
        </w:tc>
        <w:tc>
          <w:tcPr>
            <w:tcW w:w="6690" w:type="dxa"/>
            <w:vAlign w:val="center"/>
          </w:tcPr>
          <w:p w14:paraId="5E06A1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 原始文件及加工结果（DWD/DIM/ADS）</w:t>
            </w:r>
          </w:p>
        </w:tc>
      </w:tr>
      <w:tr w14:paraId="4140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4CA4CB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报告版本</w:t>
            </w:r>
          </w:p>
        </w:tc>
        <w:tc>
          <w:tcPr>
            <w:tcW w:w="6690" w:type="dxa"/>
            <w:vAlign w:val="center"/>
          </w:tcPr>
          <w:p w14:paraId="134DE12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 w14:paraId="590B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D7D6A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编制单位</w:t>
            </w:r>
          </w:p>
        </w:tc>
        <w:tc>
          <w:tcPr>
            <w:tcW w:w="6690" w:type="dxa"/>
            <w:vAlign w:val="center"/>
          </w:tcPr>
          <w:p w14:paraId="455FCAF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  <w:tr w14:paraId="1146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999B8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编制日期</w:t>
            </w:r>
          </w:p>
        </w:tc>
        <w:tc>
          <w:tcPr>
            <w:tcW w:w="6690" w:type="dxa"/>
            <w:vAlign w:val="center"/>
          </w:tcPr>
          <w:p w14:paraId="6A0C824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 年 10 月 19 日</w:t>
            </w:r>
          </w:p>
        </w:tc>
      </w:tr>
    </w:tbl>
    <w:p w14:paraId="4D66B0EE">
      <w:pPr>
        <w:spacing w:before="0" w:after="600" w:line="360" w:lineRule="auto"/>
        <w:jc w:val="both"/>
      </w:pPr>
    </w:p>
    <w:p w14:paraId="4CB2A1C3">
      <w:pPr>
        <w:spacing w:before="0" w:after="40" w:line="440" w:lineRule="exact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数据分析组</w:t>
      </w:r>
    </w:p>
    <w:p w14:paraId="1323A9E0">
      <w:pPr>
        <w:spacing w:before="0" w:after="0" w:line="440" w:lineRule="exact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二〇二六年十月</w:t>
      </w:r>
    </w:p>
    <w:p w14:paraId="3D249B33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B790D80">
      <w:pPr>
        <w:keepNext/>
        <w:spacing w:before="280" w:after="120" w:line="440" w:lineRule="exact"/>
      </w:pPr>
      <w:r>
        <w:rPr>
          <w:rFonts w:ascii="Times New Roman" w:hAnsi="Times New Roman" w:eastAsia="黑体"/>
          <w:b/>
          <w:color w:val="000000"/>
          <w:sz w:val="32"/>
        </w:rPr>
        <w:t>文 档 信 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9F6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563AA0C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6690" w:type="dxa"/>
            <w:shd w:val="clear" w:color="auto" w:fill="1F3864"/>
            <w:vAlign w:val="center"/>
          </w:tcPr>
          <w:p w14:paraId="00A276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 w14:paraId="32D7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12CFD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w="6690" w:type="dxa"/>
            <w:vAlign w:val="center"/>
          </w:tcPr>
          <w:p w14:paraId="6748177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波尔图出租车轨迹数据质量分析报告</w:t>
            </w:r>
          </w:p>
        </w:tc>
      </w:tr>
      <w:tr w14:paraId="4A0A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1AB67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文档编号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05E5095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TAXI-DQ-2026-001</w:t>
            </w:r>
          </w:p>
        </w:tc>
      </w:tr>
      <w:tr w14:paraId="5393F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6A82D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 本 号</w:t>
            </w:r>
          </w:p>
        </w:tc>
        <w:tc>
          <w:tcPr>
            <w:tcW w:w="6690" w:type="dxa"/>
            <w:vAlign w:val="center"/>
          </w:tcPr>
          <w:p w14:paraId="29EFEC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 w14:paraId="0BDB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8A7A8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　　级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25C56EA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</w:t>
            </w:r>
          </w:p>
        </w:tc>
      </w:tr>
      <w:tr w14:paraId="61D0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56B133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评估数据</w:t>
            </w:r>
          </w:p>
        </w:tc>
        <w:tc>
          <w:tcPr>
            <w:tcW w:w="6690" w:type="dxa"/>
            <w:vAlign w:val="center"/>
          </w:tcPr>
          <w:p w14:paraId="256D61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train_100k.csv（ECML/PKDD 2015 出租车轨迹 100k 子集）</w:t>
            </w:r>
          </w:p>
        </w:tc>
      </w:tr>
      <w:tr w14:paraId="44C5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A0B8A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　　制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1E19C8D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  <w:tr w14:paraId="6F65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CAD3D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　　核</w:t>
            </w:r>
          </w:p>
        </w:tc>
        <w:tc>
          <w:tcPr>
            <w:tcW w:w="6690" w:type="dxa"/>
            <w:vAlign w:val="center"/>
          </w:tcPr>
          <w:p w14:paraId="09359551">
            <w:pPr>
              <w:spacing w:before="40" w:after="40" w:line="240" w:lineRule="auto"/>
              <w:jc w:val="left"/>
            </w:pPr>
          </w:p>
        </w:tc>
      </w:tr>
      <w:tr w14:paraId="29D2E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7DEA50C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　　准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4EE86EC9">
            <w:pPr>
              <w:spacing w:before="40" w:after="40" w:line="240" w:lineRule="auto"/>
              <w:jc w:val="left"/>
            </w:pPr>
          </w:p>
        </w:tc>
      </w:tr>
      <w:tr w14:paraId="6E5F7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C4E196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发布日期</w:t>
            </w:r>
          </w:p>
        </w:tc>
        <w:tc>
          <w:tcPr>
            <w:tcW w:w="6690" w:type="dxa"/>
            <w:vAlign w:val="center"/>
          </w:tcPr>
          <w:p w14:paraId="1939873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2026-10-19</w:t>
            </w:r>
          </w:p>
        </w:tc>
      </w:tr>
    </w:tbl>
    <w:p w14:paraId="329F0783">
      <w:pPr>
        <w:spacing w:before="0" w:after="120" w:line="360" w:lineRule="auto"/>
        <w:jc w:val="both"/>
      </w:pPr>
    </w:p>
    <w:p w14:paraId="5545C590">
      <w:pPr>
        <w:keepNext/>
        <w:spacing w:before="220" w:after="100" w:line="440" w:lineRule="exact"/>
      </w:pPr>
      <w:r>
        <w:rPr>
          <w:rFonts w:ascii="Times New Roman" w:hAnsi="Times New Roman" w:eastAsia="黑体"/>
          <w:b/>
          <w:color w:val="000000"/>
          <w:sz w:val="28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E85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C79C09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版本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73DFAC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w="5216" w:type="dxa"/>
            <w:shd w:val="clear" w:color="auto" w:fill="1F3864"/>
            <w:vAlign w:val="center"/>
          </w:tcPr>
          <w:p w14:paraId="5E7A98E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修订说明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082DCA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修订人</w:t>
            </w:r>
          </w:p>
        </w:tc>
      </w:tr>
      <w:tr w14:paraId="1D58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E94C2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w="1361" w:type="dxa"/>
            <w:vAlign w:val="center"/>
          </w:tcPr>
          <w:p w14:paraId="2990DD2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2026-10-19</w:t>
            </w:r>
          </w:p>
        </w:tc>
        <w:tc>
          <w:tcPr>
            <w:tcW w:w="5216" w:type="dxa"/>
            <w:vAlign w:val="center"/>
          </w:tcPr>
          <w:p w14:paraId="1BCB9C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首次发布。汇总 D1—D6 全部 16 项质量检查、清洗与流水线结果、样本代表性评估及图表复核结论。</w:t>
            </w:r>
          </w:p>
        </w:tc>
        <w:tc>
          <w:tcPr>
            <w:tcW w:w="1474" w:type="dxa"/>
            <w:vAlign w:val="center"/>
          </w:tcPr>
          <w:p w14:paraId="563B4E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</w:tbl>
    <w:p w14:paraId="1A944074">
      <w:pPr>
        <w:spacing w:before="0" w:after="120" w:line="360" w:lineRule="auto"/>
        <w:jc w:val="both"/>
      </w:pPr>
    </w:p>
    <w:p w14:paraId="7EDA9A89">
      <w:pPr>
        <w:keepNext/>
        <w:spacing w:before="220" w:after="100" w:line="440" w:lineRule="exact"/>
      </w:pPr>
      <w:r>
        <w:rPr>
          <w:rFonts w:ascii="Times New Roman" w:hAnsi="Times New Roman" w:eastAsia="黑体"/>
          <w:b/>
          <w:color w:val="000000"/>
          <w:sz w:val="28"/>
        </w:rPr>
        <w:t>阅读说明</w:t>
      </w:r>
    </w:p>
    <w:p w14:paraId="264FA2C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本报告中的数字均由脚本（compute_dq.py 及 D1—D6）从 train_100k.csv 计算得出，并通过代码把图表数值读回与中间结果核对；如正文与源图表存在出入，以正文和表格为准（图表复核见附录 C）。</w:t>
      </w:r>
    </w:p>
    <w:p w14:paraId="42D5BF2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质量状态分为“通过”“警告”“不通过”三级，判定标准见 1.3 节；检查编号 DQ-01 至 DQ-16 与稽核表一一对应。</w:t>
      </w:r>
    </w:p>
    <w:p w14:paraId="654DCF5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时间均为葡萄牙里斯本本地时间（数据时段为 7 月，夏令时 UTC+1）。百分比一般取整数或保留一位小数，小于 1% 的比例保留到第一位有效数字，不写作“0.0%”。</w:t>
      </w:r>
    </w:p>
    <w:p w14:paraId="2233E75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数据中的车辆、行程标识均为公开数据集的编号，不涉及个人隐私；本报告仅限项目组内部使用，未经许可不得外传。</w:t>
      </w:r>
    </w:p>
    <w:p w14:paraId="26A47CAE">
      <w:r>
        <w:br w:type="page"/>
      </w:r>
    </w:p>
    <w:p w14:paraId="5DCAF993">
      <w:pPr>
        <w:keepNext/>
        <w:spacing w:before="280" w:after="120" w:line="440" w:lineRule="exact"/>
      </w:pPr>
      <w:r>
        <w:rPr>
          <w:rFonts w:ascii="Times New Roman" w:hAnsi="Times New Roman" w:eastAsia="黑体"/>
          <w:b/>
          <w:color w:val="000000"/>
          <w:sz w:val="32"/>
        </w:rPr>
        <w:t>目　　录</w:t>
      </w:r>
    </w:p>
    <w:p w14:paraId="6C30EE4B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sz w:val="21"/>
        </w:rPr>
        <w:fldChar w:fldCharType="begin"/>
      </w:r>
      <w:r>
        <w:instrText xml:space="preserve"> TOC \o "1-2" \h \z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rPr>
          <w:rFonts w:ascii="Times New Roman" w:hAnsi="Times New Roman" w:eastAsia="宋体"/>
          <w:b/>
          <w:sz w:val="21"/>
        </w:rPr>
        <w:t>1　报告概述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5AD2CF9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1.1　编制目的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59C8BAD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1.2　评估范围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32D846F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1.3　评估依据与方法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</w:t>
      </w:r>
    </w:p>
    <w:p w14:paraId="5D1761B7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1.4　数据处理流程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66420DDF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2　评估结论摘要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379962BA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2.1　总体结论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4AF4B47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2.2　主要发现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5</w:t>
      </w:r>
    </w:p>
    <w:p w14:paraId="3231C71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2.3　数据适用性结论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322D8743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2.4　优先事项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19FC3D2D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3　数据概况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032C969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3.1　字段画像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73D0787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3.2　时间覆盖（DQ-01）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 w14:paraId="6F0FD03C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4　核心明细表质量评估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 w14:paraId="713B3BB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4.1　完整性（DQ-02、DQ-03、DQ-04）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 w14:paraId="1310165D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4.2　规范性（DQ-05、DQ-06、DQ-07）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9</w:t>
      </w:r>
    </w:p>
    <w:p w14:paraId="0E3F0B9F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4.3　唯一性（DQ-08、DQ-09）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532AA845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4.4　一致性（DQ-10、DQ-11）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2EC8D36C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5　数据清洗与处理结果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3D51A11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5.1　清洗规则与执行结果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3BFDA76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5.2　明细表设计与数据合规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12</w:t>
      </w:r>
    </w:p>
    <w:p w14:paraId="28E92CC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5.3　流水线化与可复现性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5C5FD464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6　维度与参考数据质量评估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1D125BA2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6.1　站台工参与关联（DQ-10）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55351A0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6.2　地理覆盖范围（DQ-14）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14</w:t>
      </w:r>
    </w:p>
    <w:p w14:paraId="28E26655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6.3　站台定位与密度（DQ-12、DQ-13）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 w14:paraId="4F26AFF1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7　样本代表性评估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 w14:paraId="50C9ECB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7.1　热点识别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 w14:paraId="723747E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7.2　距离阈值敏感性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 w14:paraId="7C030B5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7.3　时间规律：热点小时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 w14:paraId="563C512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7.4　城市潮汐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19</w:t>
      </w:r>
    </w:p>
    <w:p w14:paraId="79813E4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7.5　样本口径（DQ-15）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4B1973F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7.6　机场长尾（DQ-16）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73EB61C8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8　数据适用性评估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4374A11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8.1　观测与处理性能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5276E34B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8.2　适用范围与限制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23</w:t>
      </w:r>
    </w:p>
    <w:p w14:paraId="0FD2A45F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9　问题清单与整改建议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7CAD64CD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9.1　问题清单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24C91A8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9.2　需数据提供方确认的事项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327D1EF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9.3　持续质量监控建议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03883629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10　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25</w:t>
      </w:r>
    </w:p>
    <w:p w14:paraId="0A5A2244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A　数据质量检查明细表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26</w:t>
      </w:r>
    </w:p>
    <w:p w14:paraId="1086765A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B　字段可信度字典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27</w:t>
      </w:r>
    </w:p>
    <w:p w14:paraId="7B64B220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C　图表索引与复核说明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28</w:t>
      </w:r>
    </w:p>
    <w:p w14:paraId="041DA91E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D　术语与缩写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29</w:t>
      </w:r>
      <w:r>
        <w:rPr>
          <w:rFonts w:ascii="Times New Roman" w:hAnsi="Times New Roman" w:eastAsia="宋体"/>
          <w:sz w:val="21"/>
        </w:rPr>
        <w:fldChar w:fldCharType="end"/>
      </w:r>
    </w:p>
    <w:p w14:paraId="64A79B79">
      <w:r>
        <w:br w:type="page"/>
      </w:r>
    </w:p>
    <w:p w14:paraId="74EA4DF1">
      <w:pPr>
        <w:sectPr>
          <w:footerReference r:id="rId5" w:type="default"/>
          <w:pgSz w:w="11906" w:h="16838"/>
          <w:pgMar w:top="1417" w:right="1417" w:bottom="1417" w:left="1417" w:header="720" w:footer="720" w:gutter="0"/>
          <w:pgNumType w:fmt="upperRoman" w:start="1"/>
          <w:cols w:space="720" w:num="1"/>
          <w:docGrid w:linePitch="360" w:charSpace="0"/>
        </w:sectPr>
      </w:pPr>
    </w:p>
    <w:p w14:paraId="46FC17E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　报告概述</w:t>
      </w:r>
    </w:p>
    <w:p w14:paraId="304B517B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　编制目的</w:t>
      </w:r>
    </w:p>
    <w:p w14:paraId="4D0010B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公开数据集 train_100k 记录了葡萄牙波尔图出租车 2013 年 7 月上中旬的 10 万趟载客轨迹。在开展轨迹挖掘、候客停留识别和运营规律分析之前，必须先回答三个问题：数据能不能用、能用在什么范围、使用之前要做哪些处理。</w:t>
      </w:r>
    </w:p>
    <w:p w14:paraId="3B8D37A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组按照“先验收、后分析”的原则开展系统性质量评估，目的有三：一是从完整性、规范性、唯一性、一致性、准确性、时效性和代表性七个维度逐项识别问题，并给出可复核的量化证据；二是记录每个问题的处理决定和清洗结果，确保后续分析口径可追溯、结果可复现；三是明确数据的适用边界，为“能回答什么、不能回答什么”提供依据。</w:t>
      </w:r>
    </w:p>
    <w:p w14:paraId="4E479DF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　评估范围</w:t>
      </w:r>
    </w:p>
    <w:p w14:paraId="2BE5EBF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评估对象为原始文件 train_100k.csv，以及评估过程中加工产生的明细层（DWD）、维度层（DIM）和应用层（ADS）结果，详见表 1-1。原始数据的时间跨度为 2013 年 7 月 1 日至 7 月 21 日。</w:t>
      </w:r>
    </w:p>
    <w:p w14:paraId="18A72F99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1-1　评估对象一览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356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3864"/>
            <w:vAlign w:val="center"/>
          </w:tcPr>
          <w:p w14:paraId="2D07551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对象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4667FE2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数据层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08833DF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规模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53A80C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内容说明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C3DEE9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评估重点</w:t>
            </w:r>
          </w:p>
        </w:tc>
      </w:tr>
      <w:tr w14:paraId="0664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37DF3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</w:t>
            </w:r>
          </w:p>
        </w:tc>
        <w:tc>
          <w:tcPr>
            <w:tcW w:w="907" w:type="dxa"/>
            <w:vAlign w:val="center"/>
          </w:tcPr>
          <w:p w14:paraId="2F79D84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ODS</w:t>
            </w:r>
          </w:p>
        </w:tc>
        <w:tc>
          <w:tcPr>
            <w:tcW w:w="1587" w:type="dxa"/>
            <w:vAlign w:val="center"/>
          </w:tcPr>
          <w:p w14:paraId="48132D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100,000 行 × 9 列</w:t>
            </w:r>
          </w:p>
        </w:tc>
        <w:tc>
          <w:tcPr>
            <w:tcW w:w="2948" w:type="dxa"/>
            <w:vAlign w:val="center"/>
          </w:tcPr>
          <w:p w14:paraId="120A832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行程记录：一趟载客行程的叫车类型、起点编号、时间与 GPS 轨迹</w:t>
            </w:r>
          </w:p>
        </w:tc>
        <w:tc>
          <w:tcPr>
            <w:tcW w:w="2041" w:type="dxa"/>
            <w:vAlign w:val="center"/>
          </w:tcPr>
          <w:p w14:paraId="0E6E666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七个维度全面评估</w:t>
            </w:r>
          </w:p>
        </w:tc>
      </w:tr>
      <w:tr w14:paraId="55D3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295F87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dwd_trip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10063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7CD5A40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 趟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3EA650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清洗后的行程明细（含起终点、网格、区域）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448D1C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清洗结果核对</w:t>
            </w:r>
          </w:p>
        </w:tc>
      </w:tr>
      <w:tr w14:paraId="3AE7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147DF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dim_stand</w:t>
            </w:r>
          </w:p>
        </w:tc>
        <w:tc>
          <w:tcPr>
            <w:tcW w:w="907" w:type="dxa"/>
            <w:vAlign w:val="center"/>
          </w:tcPr>
          <w:p w14:paraId="6E69DC6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DIM</w:t>
            </w:r>
          </w:p>
        </w:tc>
        <w:tc>
          <w:tcPr>
            <w:tcW w:w="1587" w:type="dxa"/>
            <w:vAlign w:val="center"/>
          </w:tcPr>
          <w:p w14:paraId="25BE85B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个</w:t>
            </w:r>
          </w:p>
        </w:tc>
        <w:tc>
          <w:tcPr>
            <w:tcW w:w="2948" w:type="dxa"/>
            <w:vAlign w:val="center"/>
          </w:tcPr>
          <w:p w14:paraId="79392E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候客站台维表（由发车首点反推坐标）</w:t>
            </w:r>
          </w:p>
        </w:tc>
        <w:tc>
          <w:tcPr>
            <w:tcW w:w="2041" w:type="dxa"/>
            <w:vAlign w:val="center"/>
          </w:tcPr>
          <w:p w14:paraId="6C4C3BE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定位准确性</w:t>
            </w:r>
          </w:p>
        </w:tc>
      </w:tr>
      <w:tr w14:paraId="1A7E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37BB5E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ads 聚合结果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FE3E86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ADS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491E55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224F5C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网格、区域、潮汐、停留等非个人粒度结果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0DC31A8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样本代表性</w:t>
            </w:r>
          </w:p>
        </w:tc>
      </w:tr>
    </w:tbl>
    <w:p w14:paraId="25D68FEC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　评估依据与方法</w:t>
      </w:r>
    </w:p>
    <w:p w14:paraId="626A46A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评估维度参考 GB/T 36344—2018《信息技术 数据质量评价指标》及 DAMA 数据管理知识体系中的通用质量维度，并结合出租车轨迹数据的特点评估“代表性”。各维度定义与本次检查内容见表 1-2。</w:t>
      </w:r>
    </w:p>
    <w:p w14:paraId="2854C519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1-2　质量维度定义与检查内容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2A3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BD9B9B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维度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095B161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定义</w:t>
            </w:r>
          </w:p>
        </w:tc>
        <w:tc>
          <w:tcPr>
            <w:tcW w:w="4309" w:type="dxa"/>
            <w:shd w:val="clear" w:color="auto" w:fill="1F3864"/>
            <w:vAlign w:val="center"/>
          </w:tcPr>
          <w:p w14:paraId="348B914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本次检查内容（编号）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7AA316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项数</w:t>
            </w:r>
          </w:p>
        </w:tc>
      </w:tr>
      <w:tr w14:paraId="0E3F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92218A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完整性</w:t>
            </w:r>
          </w:p>
        </w:tc>
        <w:tc>
          <w:tcPr>
            <w:tcW w:w="2494" w:type="dxa"/>
            <w:vAlign w:val="center"/>
          </w:tcPr>
          <w:p w14:paraId="4C3FCF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应有的数据是否存在、是否为空</w:t>
            </w:r>
          </w:p>
        </w:tc>
        <w:tc>
          <w:tcPr>
            <w:tcW w:w="4309" w:type="dxa"/>
            <w:vAlign w:val="center"/>
          </w:tcPr>
          <w:p w14:paraId="5B6676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结构性字段缺失（DQ-02）、空轨迹（DQ-03）、关键列缺失（DQ-04）</w:t>
            </w:r>
          </w:p>
        </w:tc>
        <w:tc>
          <w:tcPr>
            <w:tcW w:w="680" w:type="dxa"/>
            <w:vAlign w:val="center"/>
          </w:tcPr>
          <w:p w14:paraId="2848BF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09C4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3ED0FD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CFEB08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格式、编码、单位是否符合约定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0984162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枚举取值（DQ-05）、格式合法（DQ-06）、坐标范围（DQ-07）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646422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2919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7928E6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唯一性</w:t>
            </w:r>
          </w:p>
        </w:tc>
        <w:tc>
          <w:tcPr>
            <w:tcW w:w="2494" w:type="dxa"/>
            <w:vAlign w:val="center"/>
          </w:tcPr>
          <w:p w14:paraId="3395CA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记录与主键是否唯一</w:t>
            </w:r>
          </w:p>
        </w:tc>
        <w:tc>
          <w:tcPr>
            <w:tcW w:w="4309" w:type="dxa"/>
            <w:vAlign w:val="center"/>
          </w:tcPr>
          <w:p w14:paraId="01A4D97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完全重复（DQ-08）、行程主键（DQ-09）</w:t>
            </w:r>
          </w:p>
        </w:tc>
        <w:tc>
          <w:tcPr>
            <w:tcW w:w="680" w:type="dxa"/>
            <w:vAlign w:val="center"/>
          </w:tcPr>
          <w:p w14:paraId="451883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0888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1C3E346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7086FA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相关字段、相关表之间是否吻合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30BCA7F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站台关联（DQ-10）、GPS 采样与跳点（DQ-11）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5BCD35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141F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92D0B6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准确性</w:t>
            </w:r>
          </w:p>
        </w:tc>
        <w:tc>
          <w:tcPr>
            <w:tcW w:w="2494" w:type="dxa"/>
            <w:vAlign w:val="center"/>
          </w:tcPr>
          <w:p w14:paraId="42212AF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数据是否真实反映客观对象</w:t>
            </w:r>
          </w:p>
        </w:tc>
        <w:tc>
          <w:tcPr>
            <w:tcW w:w="4309" w:type="dxa"/>
            <w:vAlign w:val="center"/>
          </w:tcPr>
          <w:p w14:paraId="15FE3D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站台定位（DQ-12）、网格与区域归属（DQ-13）</w:t>
            </w:r>
          </w:p>
        </w:tc>
        <w:tc>
          <w:tcPr>
            <w:tcW w:w="680" w:type="dxa"/>
            <w:vAlign w:val="center"/>
          </w:tcPr>
          <w:p w14:paraId="46971A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5B18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07A0F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时效性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92C7D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时间覆盖是否满足分析需要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2DEE4EB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各日数据完整度（DQ-01）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18A7E0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379D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B5BB97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代表性</w:t>
            </w:r>
          </w:p>
        </w:tc>
        <w:tc>
          <w:tcPr>
            <w:tcW w:w="2494" w:type="dxa"/>
            <w:vAlign w:val="center"/>
          </w:tcPr>
          <w:p w14:paraId="3BD6074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样本能否代表目标总体</w:t>
            </w:r>
          </w:p>
        </w:tc>
        <w:tc>
          <w:tcPr>
            <w:tcW w:w="4309" w:type="dxa"/>
            <w:vAlign w:val="center"/>
          </w:tcPr>
          <w:p w14:paraId="701BAB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地理覆盖（DQ-14）、样本口径（DQ-15）、机场长尾（DQ-16）</w:t>
            </w:r>
          </w:p>
        </w:tc>
        <w:tc>
          <w:tcPr>
            <w:tcW w:w="680" w:type="dxa"/>
            <w:vAlign w:val="center"/>
          </w:tcPr>
          <w:p w14:paraId="76C33CE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1CA9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6CAFB14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F4B29B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7637E79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6AD087D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</w:tr>
    </w:tbl>
    <w:p w14:paraId="4A2C5AC7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1-3　质量状态判定标准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501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3635C2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状态</w:t>
            </w:r>
          </w:p>
        </w:tc>
        <w:tc>
          <w:tcPr>
            <w:tcW w:w="4082" w:type="dxa"/>
            <w:shd w:val="clear" w:color="auto" w:fill="1F3864"/>
            <w:vAlign w:val="center"/>
          </w:tcPr>
          <w:p w14:paraId="7E93F76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判定标准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325CC6D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处理要求</w:t>
            </w:r>
          </w:p>
        </w:tc>
      </w:tr>
      <w:tr w14:paraId="73A9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7C3C2C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w="4082" w:type="dxa"/>
            <w:vAlign w:val="center"/>
          </w:tcPr>
          <w:p w14:paraId="39DA7F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结果符合预期，或偏差对分析结论的影响可以忽略</w:t>
            </w:r>
          </w:p>
        </w:tc>
        <w:tc>
          <w:tcPr>
            <w:tcW w:w="3402" w:type="dxa"/>
            <w:vAlign w:val="center"/>
          </w:tcPr>
          <w:p w14:paraId="4E19C4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按既定规则处理，无需额外确认</w:t>
            </w:r>
          </w:p>
        </w:tc>
      </w:tr>
      <w:tr w14:paraId="0A0A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319709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警告</w:t>
            </w:r>
          </w:p>
        </w:tc>
        <w:tc>
          <w:tcPr>
            <w:tcW w:w="4082" w:type="dxa"/>
            <w:shd w:val="clear" w:color="auto" w:fill="F2F2F2"/>
            <w:vAlign w:val="center"/>
          </w:tcPr>
          <w:p w14:paraId="42476D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存在问题，但可通过清洗、限定口径或加注说明后继续使用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1DF36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执行处理决定，并在交付物中披露</w:t>
            </w:r>
          </w:p>
        </w:tc>
      </w:tr>
      <w:tr w14:paraId="7B4A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7F0F8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  <w:tc>
          <w:tcPr>
            <w:tcW w:w="4082" w:type="dxa"/>
            <w:vAlign w:val="center"/>
          </w:tcPr>
          <w:p w14:paraId="66E9E4F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数据不能按原样使用，需替换口径、弃用或待提供方确认</w:t>
            </w:r>
          </w:p>
        </w:tc>
        <w:tc>
          <w:tcPr>
            <w:tcW w:w="3402" w:type="dxa"/>
            <w:vAlign w:val="center"/>
          </w:tcPr>
          <w:p w14:paraId="26B5C68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停止按原样使用，采用替代方案并跟踪整改</w:t>
            </w:r>
          </w:p>
        </w:tc>
      </w:tr>
    </w:tbl>
    <w:p w14:paraId="1B2E7393">
      <w:pPr>
        <w:spacing w:before="8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每项检查遵循“提出假设、用数据验证、量化证据、登记决定”四个步骤，结果统一登记稽核表，图表从结果读取并经代码核对，避免手工抄录误差。</w:t>
      </w:r>
    </w:p>
    <w:p w14:paraId="5D1E145F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1.4　数据处理流程</w:t>
      </w:r>
    </w:p>
    <w:p w14:paraId="640F9D4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数据按“原始层—明细层 / 维度层—应用层”分层流转，原始层保持交付原样不改值，明细层存放清洗后的行程，维度层存放站台等被反复引用的描述信息，应用层存放非个人粒度的聚合结果（图 1-1）。</w:t>
      </w:r>
    </w:p>
    <w:p w14:paraId="2617F4B2">
      <w:pPr>
        <w:keepNext/>
        <w:spacing w:before="120"/>
        <w:jc w:val="center"/>
      </w:pPr>
      <w:r>
        <w:drawing>
          <wp:inline distT="0" distB="0" distL="114300" distR="114300">
            <wp:extent cx="5579745" cy="282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4507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1-1　数据分层流转与质量控制节点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02FB3FB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311E8D5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7683845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从左到右为原始层、清洗与校验、明细/维度层、应用层；底部横条为质量稽核与运行日志。</w:t>
            </w:r>
          </w:p>
          <w:p w14:paraId="4F8BBD44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原始层 100,000 行 × 9 列；清洗后 dwd_trip 99,618 趟；dim_stand 62 个站台。</w:t>
            </w:r>
          </w:p>
          <w:p w14:paraId="309E712D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通过——分层边界清晰，各层行数可逐层核对。</w:t>
            </w:r>
          </w:p>
          <w:p w14:paraId="3DB05C9E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后续统计统一以 dwd_trip 为口径，不再回原始层取数。</w:t>
            </w:r>
          </w:p>
        </w:tc>
      </w:tr>
    </w:tbl>
    <w:p w14:paraId="3F1AE72A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　评估结论摘要</w:t>
      </w:r>
    </w:p>
    <w:p w14:paraId="32AABCC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　总体结论</w:t>
      </w:r>
    </w:p>
    <w:p w14:paraId="4DC1924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本次共执行 16 项质量检查，其中通过 9 项、警告 6 项、不通过 1 项（图 2-1）。综合判断，该数据集“可以使用，但有前提条件”。</w:t>
      </w:r>
    </w:p>
    <w:p w14:paraId="4B6AAA35">
      <w:pPr>
        <w:keepNext/>
        <w:spacing w:before="120"/>
        <w:jc w:val="center"/>
      </w:pPr>
      <w:r>
        <w:drawing>
          <wp:inline distT="0" distB="0" distL="114300" distR="114300">
            <wp:extent cx="5579745" cy="2423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08E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2-1　各质量维度检查结果汇总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B22A57C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5EC86BF4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AE4D0CE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横轴为质量维度、纵轴为检查项数，颜色区分通过/警告/不通过。</w:t>
            </w:r>
          </w:p>
          <w:p w14:paraId="56F7D27D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共 16 项检查：通过 9 项、警告 6 项、不通过 1 项。</w:t>
            </w:r>
          </w:p>
          <w:p w14:paraId="395CA50F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总体可用——仅空轨迹一项不通过。</w:t>
            </w:r>
          </w:p>
          <w:p w14:paraId="2CF60170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使用时必须执行 2.3 的适用边界与前提条件。</w:t>
            </w:r>
          </w:p>
        </w:tc>
      </w:tr>
    </w:tbl>
    <w:p w14:paraId="73A2AD5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记录层面的问题比例很低：空轨迹 367 趟、首点越界 15 趟，无完全重复行，合计仅 382 趟（0.38%）。经清洗后 99.6% 的行程进入明细层，B 型行程与站台的关联率达 98.78%，相邻 GPS 点距离中位 92.3 米，足以支撑空间分析。风险集中在两点：一是两个起点字段按叫车类型存在高比例的结构性缺失，必须按类型分别使用；二是该样本仅覆盖运营出租车的载客轨迹、且为 100k 子集，不能代表全部城市出行。关键指标见表 2-1。</w:t>
      </w:r>
    </w:p>
    <w:p w14:paraId="48096C8B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2-1　关键质量指标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5F4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681F21B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3DA261A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数值</w:t>
            </w:r>
          </w:p>
        </w:tc>
        <w:tc>
          <w:tcPr>
            <w:tcW w:w="4195" w:type="dxa"/>
            <w:shd w:val="clear" w:color="auto" w:fill="1F3864"/>
            <w:vAlign w:val="center"/>
          </w:tcPr>
          <w:p w14:paraId="02CCFD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31E5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20700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原始行程记录</w:t>
            </w:r>
          </w:p>
        </w:tc>
        <w:tc>
          <w:tcPr>
            <w:tcW w:w="2608" w:type="dxa"/>
            <w:vAlign w:val="center"/>
          </w:tcPr>
          <w:p w14:paraId="2C36F51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100,000 趟</w:t>
            </w:r>
          </w:p>
        </w:tc>
        <w:tc>
          <w:tcPr>
            <w:tcW w:w="4195" w:type="dxa"/>
            <w:vAlign w:val="center"/>
          </w:tcPr>
          <w:p w14:paraId="56AB9BF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train_100k，时间跨度 2013-07-01 至 07-21</w:t>
            </w:r>
          </w:p>
        </w:tc>
      </w:tr>
      <w:tr w14:paraId="499A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B21495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清洗后有效行程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5AB1D3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 趟（99.6%）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53CA0CE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dwd_trip</w:t>
            </w:r>
          </w:p>
        </w:tc>
      </w:tr>
      <w:tr w14:paraId="26E92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7425E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清洗剔除记录</w:t>
            </w:r>
          </w:p>
        </w:tc>
        <w:tc>
          <w:tcPr>
            <w:tcW w:w="2608" w:type="dxa"/>
            <w:vAlign w:val="center"/>
          </w:tcPr>
          <w:p w14:paraId="1E51D5B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趟（0.38%）</w:t>
            </w:r>
          </w:p>
        </w:tc>
        <w:tc>
          <w:tcPr>
            <w:tcW w:w="4195" w:type="dxa"/>
            <w:vAlign w:val="center"/>
          </w:tcPr>
          <w:p w14:paraId="76A460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空轨迹 367、首点越界 15</w:t>
            </w:r>
          </w:p>
        </w:tc>
      </w:tr>
      <w:tr w14:paraId="2A22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99EDC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覆盖车辆数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10EB2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辆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22D40E3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完整数据集为 442 辆，本子集出现 430 辆</w:t>
            </w:r>
          </w:p>
        </w:tc>
      </w:tr>
      <w:tr w14:paraId="32D9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EA3B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型站台关联率</w:t>
            </w:r>
          </w:p>
        </w:tc>
        <w:tc>
          <w:tcPr>
            <w:tcW w:w="2608" w:type="dxa"/>
            <w:vAlign w:val="center"/>
          </w:tcPr>
          <w:p w14:paraId="5F70D7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98.78%</w:t>
            </w:r>
          </w:p>
        </w:tc>
        <w:tc>
          <w:tcPr>
            <w:tcW w:w="4195" w:type="dxa"/>
            <w:vAlign w:val="center"/>
          </w:tcPr>
          <w:p w14:paraId="4B709C2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49,922 趟 B 型中 49,311 趟关联到站台</w:t>
            </w:r>
          </w:p>
        </w:tc>
      </w:tr>
      <w:tr w14:paraId="1361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301252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质量检查项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708C03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项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24251A2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 9、警告 6、不通过 1</w:t>
            </w:r>
          </w:p>
        </w:tc>
      </w:tr>
    </w:tbl>
    <w:p w14:paraId="28C5930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　主要发现</w:t>
      </w:r>
    </w:p>
    <w:p w14:paraId="775DCEE6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2-2　主要发现与处理决定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9E5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F3864"/>
            <w:vAlign w:val="center"/>
          </w:tcPr>
          <w:p w14:paraId="33D5DC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w="4706" w:type="dxa"/>
            <w:shd w:val="clear" w:color="auto" w:fill="1F3864"/>
            <w:vAlign w:val="center"/>
          </w:tcPr>
          <w:p w14:paraId="657FD2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发现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66D00B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关联检查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5447563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处理决定</w:t>
            </w:r>
          </w:p>
        </w:tc>
      </w:tr>
      <w:tr w14:paraId="2773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BA002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4706" w:type="dxa"/>
            <w:vAlign w:val="center"/>
          </w:tcPr>
          <w:p w14:paraId="78E664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ORIGIN_CALL、ORIGIN_STAND 分别缺失 79.0%、50.7%，但缺失完全由叫车类型决定，属结构性缺失而非采集错误</w:t>
            </w:r>
          </w:p>
        </w:tc>
        <w:tc>
          <w:tcPr>
            <w:tcW w:w="1247" w:type="dxa"/>
            <w:vAlign w:val="center"/>
          </w:tcPr>
          <w:p w14:paraId="39007ED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DQ-02 警告</w:t>
            </w:r>
          </w:p>
        </w:tc>
        <w:tc>
          <w:tcPr>
            <w:tcW w:w="2494" w:type="dxa"/>
            <w:vAlign w:val="center"/>
          </w:tcPr>
          <w:p w14:paraId="236A3B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CALL_TYPE 分别使用起点字段，不做整体填充</w:t>
            </w:r>
          </w:p>
        </w:tc>
      </w:tr>
      <w:tr w14:paraId="3D014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DC2EC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6C3AE7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趟（0.37%）POLYLINE 为空，无任何 GPS 点，无法定位也无法计算时长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6061A1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 不通过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090C4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清洗剔除空轨迹</w:t>
            </w:r>
          </w:p>
        </w:tc>
      </w:tr>
      <w:tr w14:paraId="76A7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FDE8B7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239535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首点坐标原始范围极宽（经度 -12.15 至 -6.96、纬度 38.78 至 45.66），其中 15 趟首点超出都市区范围</w:t>
            </w:r>
          </w:p>
        </w:tc>
        <w:tc>
          <w:tcPr>
            <w:tcW w:w="1247" w:type="dxa"/>
            <w:vAlign w:val="center"/>
          </w:tcPr>
          <w:p w14:paraId="55BFA39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 警告</w:t>
            </w:r>
          </w:p>
        </w:tc>
        <w:tc>
          <w:tcPr>
            <w:tcW w:w="2494" w:type="dxa"/>
            <w:vAlign w:val="center"/>
          </w:tcPr>
          <w:p w14:paraId="410CC2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按都市区框剔除越界首点</w:t>
            </w:r>
          </w:p>
        </w:tc>
      </w:tr>
      <w:tr w14:paraId="46C0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21262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182163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 唯一值 99,992 个，16 行（8 对）行程共用同一 ID，但轨迹内容不同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9BFF10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DQ-09 警告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6B9461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以完整记录而非单一 ID 区分，异常 ID 登记</w:t>
            </w:r>
          </w:p>
        </w:tc>
      </w:tr>
      <w:tr w14:paraId="23ED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3A76A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550E9C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时间覆盖 21 天，但 7 月 21 日仅 3,502 趟（完整日中位 4,748 趟），末日为不完整日</w:t>
            </w:r>
          </w:p>
        </w:tc>
        <w:tc>
          <w:tcPr>
            <w:tcW w:w="1247" w:type="dxa"/>
            <w:vAlign w:val="center"/>
          </w:tcPr>
          <w:p w14:paraId="11753C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DQ-01 警告</w:t>
            </w:r>
          </w:p>
        </w:tc>
        <w:tc>
          <w:tcPr>
            <w:tcW w:w="2494" w:type="dxa"/>
            <w:vAlign w:val="center"/>
          </w:tcPr>
          <w:p w14:paraId="428F62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按日统计时剔除或标注末日</w:t>
            </w:r>
          </w:p>
        </w:tc>
      </w:tr>
      <w:tr w14:paraId="47911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6E601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6B535C9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样本仅为 430 辆出租车的载客轨迹，车均 232.6 趟，候客与空驶时段不在 POLYLINE 内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A4A54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DQ-15 警告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5EB2798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结论仅针对出租车载客出行，不代表全方式出行</w:t>
            </w:r>
          </w:p>
        </w:tc>
      </w:tr>
      <w:tr w14:paraId="56B8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DCED72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4706" w:type="dxa"/>
            <w:vAlign w:val="center"/>
          </w:tcPr>
          <w:p w14:paraId="0EE9B3F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 1000 米内仅 59 趟（0.059%），机场场景在本子集代表性极弱</w:t>
            </w:r>
          </w:p>
        </w:tc>
        <w:tc>
          <w:tcPr>
            <w:tcW w:w="1247" w:type="dxa"/>
            <w:vAlign w:val="center"/>
          </w:tcPr>
          <w:p w14:paraId="63A20A8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DQ-16 警告</w:t>
            </w:r>
          </w:p>
        </w:tc>
        <w:tc>
          <w:tcPr>
            <w:tcW w:w="2494" w:type="dxa"/>
            <w:vAlign w:val="center"/>
          </w:tcPr>
          <w:p w14:paraId="2FD04C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不据此对机场下结论，需在完整数据集上验证</w:t>
            </w:r>
          </w:p>
        </w:tc>
      </w:tr>
    </w:tbl>
    <w:p w14:paraId="0FBA2CA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　数据适用性结论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EECC849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49E1E15F">
            <w:pPr>
              <w:spacing w:after="40"/>
            </w:pPr>
            <w:r>
              <w:rPr>
                <w:b/>
                <w:color w:val="1F3864"/>
                <w:sz w:val="21"/>
              </w:rPr>
              <w:t>适用性结论</w:t>
            </w:r>
          </w:p>
          <w:p w14:paraId="7C3C638F">
            <w:pPr>
              <w:spacing w:after="20" w:line="300" w:lineRule="exact"/>
            </w:pPr>
            <w:r>
              <w:rPr>
                <w:b/>
                <w:sz w:val="21"/>
              </w:rPr>
              <w:t>可以用于：</w:t>
            </w:r>
            <w:r>
              <w:rPr>
                <w:sz w:val="21"/>
              </w:rPr>
              <w:t>分析波尔图出租车 2013 年 7 月上中旬的载客运营规律——上车点的空间分布、热点候客站台、各小时与各区域的发车节律、行程的时空范围，以及候客停留的识别。</w:t>
            </w:r>
          </w:p>
          <w:p w14:paraId="29C98B73">
            <w:pPr>
              <w:spacing w:after="20" w:line="300" w:lineRule="exact"/>
            </w:pPr>
            <w:r>
              <w:rPr>
                <w:b/>
                <w:sz w:val="21"/>
              </w:rPr>
              <w:t>不能用于：</w:t>
            </w:r>
            <w:r>
              <w:rPr>
                <w:sz w:val="21"/>
              </w:rPr>
              <w:t>全市全方式出行规模、非出租车人群、工作日与非 7 月季节对比、机场等长尾场景的精细分析，以及车辆空驶与候客时段（不在轨迹内）的还原。</w:t>
            </w:r>
          </w:p>
          <w:p w14:paraId="54C0110B">
            <w:pPr>
              <w:spacing w:after="20" w:line="300" w:lineRule="exact"/>
            </w:pPr>
            <w:r>
              <w:rPr>
                <w:b/>
                <w:sz w:val="21"/>
              </w:rPr>
              <w:t>使用前提：</w:t>
            </w:r>
            <w:r>
              <w:rPr>
                <w:sz w:val="21"/>
              </w:rPr>
              <w:t>沿用本报告确定的清洗规则与口径——剔除空轨迹与越界首点、按叫车类型使用起点字段、站台坐标由发车首点中位数反推。</w:t>
            </w:r>
          </w:p>
        </w:tc>
      </w:tr>
    </w:tbl>
    <w:p w14:paraId="38C162D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　优先事项</w:t>
      </w:r>
    </w:p>
    <w:p w14:paraId="4E996EE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对 8 对重复 TRIP_ID 与 15 趟越界首点，向数据来源确认是采集异常还是导出问题；确认前按本报告口径剔除。</w:t>
      </w:r>
    </w:p>
    <w:p w14:paraId="7E5A815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对机场等样本极少的场景，改用完整数据集（约 171 万趟）验证，避免以 100k 子集下结论。</w:t>
      </w:r>
    </w:p>
    <w:p w14:paraId="2EC51B2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将 16 项检查固化为流水线自动稽核，确保后续数据“坏数据进不来、每个数字可追溯”。</w:t>
      </w:r>
    </w:p>
    <w:p w14:paraId="72A2A5E8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　数据概况</w:t>
      </w:r>
    </w:p>
    <w:p w14:paraId="1839C76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　字段画像</w:t>
      </w:r>
    </w:p>
    <w:p w14:paraId="7CCCA4E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train_100k 共 9 个字段，表 3-1 给出类型、缺失、唯一值等画像。ORIGIN_CALL、ORIGIN_STAND 因含空值被读取为浮点型，在使用时需转回整数编号。</w:t>
      </w:r>
    </w:p>
    <w:p w14:paraId="3FBC1E1A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3-1　字段画像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E42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5ED17D8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7F5C5DB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32DE494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653962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缺失数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52FB7E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缺失率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CA068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唯一值</w:t>
            </w:r>
          </w:p>
        </w:tc>
      </w:tr>
      <w:tr w14:paraId="1396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D793B7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1020" w:type="dxa"/>
            <w:vAlign w:val="center"/>
          </w:tcPr>
          <w:p w14:paraId="034015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vAlign w:val="center"/>
          </w:tcPr>
          <w:p w14:paraId="78718D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行程唯一标识</w:t>
            </w:r>
          </w:p>
        </w:tc>
        <w:tc>
          <w:tcPr>
            <w:tcW w:w="1020" w:type="dxa"/>
            <w:vAlign w:val="center"/>
          </w:tcPr>
          <w:p w14:paraId="08B223E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6DD1DD1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042E8A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99992</w:t>
            </w:r>
          </w:p>
        </w:tc>
      </w:tr>
      <w:tr w14:paraId="1097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B0040B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AA7C5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B44411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 A/B/C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FB99CF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6D3868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FC1E3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65CB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4B7A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</w:t>
            </w:r>
          </w:p>
        </w:tc>
        <w:tc>
          <w:tcPr>
            <w:tcW w:w="1020" w:type="dxa"/>
            <w:vAlign w:val="center"/>
          </w:tcPr>
          <w:p w14:paraId="7CA222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float64</w:t>
            </w:r>
          </w:p>
        </w:tc>
        <w:tc>
          <w:tcPr>
            <w:tcW w:w="2381" w:type="dxa"/>
            <w:vAlign w:val="center"/>
          </w:tcPr>
          <w:p w14:paraId="7880B3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电话叫车起点编号</w:t>
            </w:r>
          </w:p>
        </w:tc>
        <w:tc>
          <w:tcPr>
            <w:tcW w:w="1020" w:type="dxa"/>
            <w:vAlign w:val="center"/>
          </w:tcPr>
          <w:p w14:paraId="3F01312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79038</w:t>
            </w:r>
          </w:p>
        </w:tc>
        <w:tc>
          <w:tcPr>
            <w:tcW w:w="1020" w:type="dxa"/>
            <w:vAlign w:val="center"/>
          </w:tcPr>
          <w:p w14:paraId="098C2C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79.0%</w:t>
            </w:r>
          </w:p>
        </w:tc>
        <w:tc>
          <w:tcPr>
            <w:tcW w:w="1020" w:type="dxa"/>
            <w:vAlign w:val="center"/>
          </w:tcPr>
          <w:p w14:paraId="50695F1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8160</w:t>
            </w:r>
          </w:p>
        </w:tc>
      </w:tr>
      <w:tr w14:paraId="61F2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112EC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6792C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float64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B2B515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候客站台编号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96DFD3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50689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C4E216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50.7%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DF750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</w:tr>
      <w:tr w14:paraId="3D2CA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FF264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1020" w:type="dxa"/>
            <w:vAlign w:val="center"/>
          </w:tcPr>
          <w:p w14:paraId="5E834EC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vAlign w:val="center"/>
          </w:tcPr>
          <w:p w14:paraId="4BF7CE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1020" w:type="dxa"/>
            <w:vAlign w:val="center"/>
          </w:tcPr>
          <w:p w14:paraId="3327C59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2A2239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2212838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</w:t>
            </w:r>
          </w:p>
        </w:tc>
      </w:tr>
      <w:tr w14:paraId="61C8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2D2BAA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147E0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EE21A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行程开始时间（UTC 秒）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A749DB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16CAD3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DD8E7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96801</w:t>
            </w:r>
          </w:p>
        </w:tc>
      </w:tr>
      <w:tr w14:paraId="1CBB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EEE0B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DAY_TYPE</w:t>
            </w:r>
          </w:p>
        </w:tc>
        <w:tc>
          <w:tcPr>
            <w:tcW w:w="1020" w:type="dxa"/>
            <w:vAlign w:val="center"/>
          </w:tcPr>
          <w:p w14:paraId="5DBDD3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vAlign w:val="center"/>
          </w:tcPr>
          <w:p w14:paraId="690E84B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日类型</w:t>
            </w:r>
          </w:p>
        </w:tc>
        <w:tc>
          <w:tcPr>
            <w:tcW w:w="1020" w:type="dxa"/>
            <w:vAlign w:val="center"/>
          </w:tcPr>
          <w:p w14:paraId="275A57E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1AB98D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0542D6E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32FC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73F420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MISSING_DATA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33688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bool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28848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是否存在缺失点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04DC4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477966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C019CF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08E4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D221DA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1020" w:type="dxa"/>
            <w:vAlign w:val="center"/>
          </w:tcPr>
          <w:p w14:paraId="1AE542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vAlign w:val="center"/>
          </w:tcPr>
          <w:p w14:paraId="29CA0E3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轨迹（15s/点）</w:t>
            </w:r>
          </w:p>
        </w:tc>
        <w:tc>
          <w:tcPr>
            <w:tcW w:w="1020" w:type="dxa"/>
            <w:vAlign w:val="center"/>
          </w:tcPr>
          <w:p w14:paraId="120DB2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1A1F559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6091D82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99577</w:t>
            </w:r>
          </w:p>
        </w:tc>
      </w:tr>
    </w:tbl>
    <w:p w14:paraId="6ADF6C7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　时间覆盖（DQ-01）</w:t>
      </w:r>
    </w:p>
    <w:p w14:paraId="1B07FC6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TIMESTAMP 为自 1970 年（UTC）起的秒数，转换为里斯本本地时间后，数据覆盖 2013 年 7 月 1 日至 21 日。各日发车趟次见图 3-1。</w:t>
      </w:r>
    </w:p>
    <w:p w14:paraId="7B1C87AA">
      <w:pPr>
        <w:keepNext/>
        <w:spacing w:before="120"/>
        <w:jc w:val="center"/>
      </w:pPr>
      <w:r>
        <w:drawing>
          <wp:inline distT="0" distB="0" distL="114300" distR="114300">
            <wp:extent cx="5399405" cy="4353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ED3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　各日发车趟次分布（末日 7-21 不完整，已标灰）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9CAF88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94D5C21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8B1152A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横轴为日期、纵轴为发车趟次；7-21 标灰，表示不完整日。</w:t>
            </w:r>
          </w:p>
          <w:p w14:paraId="5C37D90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20 个完整日中位 4,748 趟；7 月 21 日仅 3,502 趟。</w:t>
            </w:r>
          </w:p>
          <w:p w14:paraId="2FBE375E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警告——末日数据不完整。</w:t>
            </w:r>
          </w:p>
          <w:p w14:paraId="20013BC6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按日统计时剔除或标注 7-21，避免拉低日均值。</w:t>
            </w:r>
          </w:p>
        </w:tc>
      </w:tr>
    </w:tbl>
    <w:p w14:paraId="7A061FE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 个完整日的发车趟次中位为 4,748 趟，日间波动平稳；7 月 21 日仅 3,502 趟、为不完整日，判定为“警告”，按日统计时标注或剔除。各日数据量差异来自抽样与采集，不直接代表客流变化。</w:t>
      </w:r>
    </w:p>
    <w:p w14:paraId="6798B84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按小时统计（图 3-2）可见发车节律：凌晨为低谷、上午与傍晚各有高峰，符合作息，说明时间换算正确。</w:t>
      </w:r>
    </w:p>
    <w:p w14:paraId="15CE7660">
      <w:pPr>
        <w:keepNext/>
        <w:spacing w:before="120"/>
        <w:jc w:val="center"/>
      </w:pPr>
      <w:r>
        <w:drawing>
          <wp:inline distT="0" distB="0" distL="114300" distR="114300">
            <wp:extent cx="5399405" cy="3704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14F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3-2　各小时发车趟次分布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CB01E1E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6B08B4D4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2514957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 24 小时、纵轴为发车趟次。</w:t>
            </w:r>
          </w:p>
          <w:p w14:paraId="7C7AF74C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凌晨为低谷，上午与傍晚各有高峰。</w:t>
            </w:r>
          </w:p>
          <w:p w14:paraId="7ACD1139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通过——节律符合作息，说明时区换算正确。</w:t>
            </w:r>
          </w:p>
          <w:p w14:paraId="2180AC10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小时口径可直接用于时间规律与潮汐分析。</w:t>
            </w:r>
          </w:p>
        </w:tc>
      </w:tr>
    </w:tbl>
    <w:p w14:paraId="305605D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　核心明细表质量评估</w:t>
      </w:r>
    </w:p>
    <w:p w14:paraId="0834263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本章对核心数据 train_100k 逐维度评估，涉及 DQ-02 至 DQ-11 共 10 项检查。</w:t>
      </w:r>
    </w:p>
    <w:p w14:paraId="3F0CB6F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　完整性（DQ-02、DQ-03、DQ-04）</w:t>
      </w:r>
    </w:p>
    <w:p w14:paraId="6CAFE27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两个起点字段缺失率很高，但这是由叫车类型决定的结构性缺失：电话叫车（A）填 ORIGIN_CALL、站台叫车（B）填 ORIGIN_STAND、随机拦车（C）两者皆空。它们不是采集错误，整体缺失率高达 79.0% 与 50.7% 但可按类型解释，判定为“警告”，不做整体填充。各字段缺失情况见图 4-1。</w:t>
      </w:r>
    </w:p>
    <w:p w14:paraId="317A0354">
      <w:pPr>
        <w:keepNext/>
        <w:spacing w:before="120"/>
        <w:jc w:val="center"/>
      </w:pPr>
      <w:r>
        <w:drawing>
          <wp:inline distT="0" distB="0" distL="114300" distR="114300">
            <wp:extent cx="5327650" cy="3043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162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4-1　各字段缺失率（起点字段为结构性缺失）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C612B64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63D9CF99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657DF405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每个字段一根柱，柱上标注缺失率。</w:t>
            </w:r>
          </w:p>
          <w:p w14:paraId="1E2EC43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ORIGIN_CALL 缺失 79.0%、ORIGIN_STAND 缺失 50.7%，其余字段为 0。</w:t>
            </w:r>
          </w:p>
          <w:p w14:paraId="654342C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警告——属结构性缺失，不是采集错误。</w:t>
            </w:r>
          </w:p>
          <w:p w14:paraId="1B7CD9C9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按 CALL_TYPE 分别使用起点字段，不做整体填充。</w:t>
            </w:r>
          </w:p>
        </w:tc>
      </w:tr>
    </w:tbl>
    <w:p w14:paraId="304AC5A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367 趟（0.37%）POLYLINE 为空，没有任何定位点，无法计算时长与空间归属，判定为“不通过”，清洗剔除。TRIP_ID、TAXI_ID、TIMESTAMP、POLYLINE 四个关键列缺失均为 0，判定为“通过”。</w:t>
      </w:r>
    </w:p>
    <w:p w14:paraId="4F2B40EF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　规范性（DQ-05、DQ-06、DQ-07）</w:t>
      </w:r>
    </w:p>
    <w:p w14:paraId="68197A4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枚举字段取值规范：CALL_TYPE 仅含 A（20,962）、B（49,922）、C（29,116）；DAY_TYPE 全为 A；MISSING_DATA 全为 False，判定为“通过”。全部 10 万条 POLYLINE 均可解析、TIMESTAMP 均为正整数秒，判定为“通过”。</w:t>
      </w:r>
    </w:p>
    <w:p w14:paraId="53C46BE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坐标范围存在异常：首点原始经度跨 -12.15 至 -6.96、纬度跨 38.78 至 45.66，远超波尔图都市区范围，其中 15 趟首点越界，判定为“警告”，按都市区框（经度 -9.0 至 -8.0、纬度 40.8 至 41.6）剔除。</w:t>
      </w:r>
    </w:p>
    <w:p w14:paraId="64AB0B19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　唯一性（DQ-08、DQ-09）</w:t>
      </w:r>
    </w:p>
    <w:p w14:paraId="6987A02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对全部原始字段去重，完全重复记录为 0 行，判定为“通过”。</w:t>
      </w:r>
    </w:p>
    <w:p w14:paraId="54C593D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TRIP_ID 唯一值为 99,992 个，有 16 行（8 对）共用同一行程 ID。这些记录的轨迹与时间并不相同，并非简单重复，属于 ID 生成异常，判定为“警告”；分析时以完整记录区分，并将异常 ID 登记反馈。</w:t>
      </w:r>
    </w:p>
    <w:p w14:paraId="04A7F93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　一致性（DQ-10、DQ-11）</w:t>
      </w:r>
    </w:p>
    <w:p w14:paraId="442377D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B 型（站台叫车）行程 49,922 趟中 49,311 趟关联到具体站台，关联率 98.78%；C 型（随机拦车）按设计无站台。站台与叫车类型的关系一致，判定为“通过”。</w:t>
      </w:r>
    </w:p>
    <w:p w14:paraId="54BB765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GPS 相邻点标称采样间隔为 15 秒，实测相邻点距离中位 92.3 米、P99 为 522.7 米，与城市行驶速度相符；距离大于 420 米的跳点占 3.33%，多为 GPS 漂移，可在轨迹计算中按阈值识别，判定为“通过”。</w:t>
      </w:r>
    </w:p>
    <w:p w14:paraId="0CA969DE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　数据清洗与处理结果</w:t>
      </w:r>
    </w:p>
    <w:p w14:paraId="6879CEDE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　清洗规则与执行结果</w:t>
      </w:r>
    </w:p>
    <w:p w14:paraId="54DC2DC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清洗按固定顺序执行，每行只计入第一个命中步骤，剔除行数记入结果，确保可复核（表 5-1、图 5-1）。</w:t>
      </w:r>
    </w:p>
    <w:p w14:paraId="2A1AE9CA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5-1　清洗步骤与剔除明细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ACC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3864"/>
            <w:vAlign w:val="center"/>
          </w:tcPr>
          <w:p w14:paraId="646CFC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步骤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452E49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清洗规则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4A4EC9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依据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3DD1732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剔除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79C89B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剩余</w:t>
            </w:r>
          </w:p>
        </w:tc>
      </w:tr>
      <w:tr w14:paraId="715A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4D1EE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①</w:t>
            </w:r>
          </w:p>
        </w:tc>
        <w:tc>
          <w:tcPr>
            <w:tcW w:w="3969" w:type="dxa"/>
            <w:vAlign w:val="center"/>
          </w:tcPr>
          <w:p w14:paraId="24130A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剔除 POLYLINE 为空的行程</w:t>
            </w:r>
          </w:p>
        </w:tc>
        <w:tc>
          <w:tcPr>
            <w:tcW w:w="1134" w:type="dxa"/>
            <w:vAlign w:val="center"/>
          </w:tcPr>
          <w:p w14:paraId="24C7D82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</w:t>
            </w:r>
          </w:p>
        </w:tc>
        <w:tc>
          <w:tcPr>
            <w:tcW w:w="1134" w:type="dxa"/>
            <w:vAlign w:val="center"/>
          </w:tcPr>
          <w:p w14:paraId="5E1E7A0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</w:t>
            </w:r>
          </w:p>
        </w:tc>
        <w:tc>
          <w:tcPr>
            <w:tcW w:w="1134" w:type="dxa"/>
            <w:vAlign w:val="center"/>
          </w:tcPr>
          <w:p w14:paraId="4D3667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99,633</w:t>
            </w:r>
          </w:p>
        </w:tc>
      </w:tr>
      <w:tr w14:paraId="2E41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70F213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②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6166873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剔除首点超出都市区框的行程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D17B1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A2F86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35C79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  <w:tr w14:paraId="17F8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33DC5D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③</w:t>
            </w:r>
          </w:p>
        </w:tc>
        <w:tc>
          <w:tcPr>
            <w:tcW w:w="3969" w:type="dxa"/>
            <w:vAlign w:val="center"/>
          </w:tcPr>
          <w:p w14:paraId="797DD4E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完全重复记录去重</w:t>
            </w:r>
          </w:p>
        </w:tc>
        <w:tc>
          <w:tcPr>
            <w:tcW w:w="1134" w:type="dxa"/>
            <w:vAlign w:val="center"/>
          </w:tcPr>
          <w:p w14:paraId="41B389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DQ-08</w:t>
            </w:r>
          </w:p>
        </w:tc>
        <w:tc>
          <w:tcPr>
            <w:tcW w:w="1134" w:type="dxa"/>
            <w:vAlign w:val="center"/>
          </w:tcPr>
          <w:p w14:paraId="06197E1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472CD3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  <w:tr w14:paraId="2DD3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CDAE33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64EA349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C82EB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30541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CC37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</w:tbl>
    <w:p w14:paraId="511C734F">
      <w:pPr>
        <w:keepNext/>
        <w:spacing w:before="120"/>
        <w:jc w:val="center"/>
      </w:pPr>
      <w:r>
        <w:drawing>
          <wp:inline distT="0" distB="0" distL="114300" distR="114300">
            <wp:extent cx="5219700" cy="3650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2A27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5-1　清洗剔除瀑布（空轨迹 367、越界 15、重复 0）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B397DA8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43280B5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D8C3EB4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瀑布图，逐步显示每步剔除量与剩余量。</w:t>
            </w:r>
          </w:p>
          <w:p w14:paraId="287DAAB2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空轨迹 367、越界 15、重复 0，合计剔除 382 趟（0.38%），保留 99,618 趟（99.6%）。</w:t>
            </w:r>
          </w:p>
          <w:p w14:paraId="098819E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通过——脏数据比例极低，行程记录本身质量较好。</w:t>
            </w:r>
          </w:p>
          <w:p w14:paraId="3845B6A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清洗固定为三步顺序执行，后续数据沿用同一规则。</w:t>
            </w:r>
          </w:p>
        </w:tc>
      </w:tr>
    </w:tbl>
    <w:p w14:paraId="4C7C33B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共保留 99,618 趟（99.6%），剔除 382 趟（0.38%）。真正的“脏数据”比例极低，行程记录本身质量较好。</w:t>
      </w:r>
    </w:p>
    <w:p w14:paraId="6987D02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同一辆车相邻两趟行程的间隔（图 5-2）中位为 60.6 分钟、P90 为 188.9 分钟、P99 为 1,040.8 分钟，反映了车辆在两趟载客之间的候客与空驶时段。</w:t>
      </w:r>
    </w:p>
    <w:p w14:paraId="394D408D">
      <w:pPr>
        <w:keepNext/>
        <w:spacing w:before="120"/>
        <w:jc w:val="center"/>
      </w:pPr>
      <w:r>
        <w:drawing>
          <wp:inline distT="0" distB="0" distL="114300" distR="114300">
            <wp:extent cx="5219700" cy="3331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3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1D49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5-2　同一辆车相邻趟次间隔的累计分布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82FD743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40B7DFB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197E8E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累计分布曲线，横轴为相邻趟次间隔（分钟），纵轴为累计占比。</w:t>
            </w:r>
          </w:p>
          <w:p w14:paraId="037DEEA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中位 60.6 分钟，P90 为 188.9 分钟，P99 为 1,040.8 分钟。</w:t>
            </w:r>
          </w:p>
          <w:p w14:paraId="0B8E5785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通过——间隔反映候客与空驶，符合运营实际。</w:t>
            </w:r>
          </w:p>
          <w:p w14:paraId="1C3B123F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该间隔只能作为间接证据，不能还原空驶路径。</w:t>
            </w:r>
          </w:p>
        </w:tc>
      </w:tr>
    </w:tbl>
    <w:p w14:paraId="2DC9A7B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　明细表设计与数据合规</w:t>
      </w:r>
    </w:p>
    <w:p w14:paraId="5D545AD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清洗结果写入 dwd_trip，只保留分析需要的字段，起点编号统一转回整数，起终点、点数、网格与区域一并落表，按车辆与时间排序。</w:t>
      </w:r>
    </w:p>
    <w:p w14:paraId="009D33B3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5-2　dwd_trip 字段说明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EE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05EE6A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13C542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0A66AA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1B793AF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来源 / 加工</w:t>
            </w:r>
          </w:p>
        </w:tc>
      </w:tr>
      <w:tr w14:paraId="144C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4A573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907" w:type="dxa"/>
            <w:vAlign w:val="center"/>
          </w:tcPr>
          <w:p w14:paraId="27540A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vAlign w:val="center"/>
          </w:tcPr>
          <w:p w14:paraId="08B1714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行程标识</w:t>
            </w:r>
          </w:p>
        </w:tc>
        <w:tc>
          <w:tcPr>
            <w:tcW w:w="2835" w:type="dxa"/>
            <w:vAlign w:val="center"/>
          </w:tcPr>
          <w:p w14:paraId="0EB58D0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</w:tr>
      <w:tr w14:paraId="2024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3B0A2C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D72B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13CC20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D4082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</w:tr>
      <w:tr w14:paraId="0145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7FE8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ts_local</w:t>
            </w:r>
          </w:p>
        </w:tc>
        <w:tc>
          <w:tcPr>
            <w:tcW w:w="907" w:type="dxa"/>
            <w:vAlign w:val="center"/>
          </w:tcPr>
          <w:p w14:paraId="7CC6444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</w:t>
            </w:r>
          </w:p>
        </w:tc>
        <w:tc>
          <w:tcPr>
            <w:tcW w:w="3061" w:type="dxa"/>
            <w:vAlign w:val="center"/>
          </w:tcPr>
          <w:p w14:paraId="49BF602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行程开始（里斯本本地）</w:t>
            </w:r>
          </w:p>
        </w:tc>
        <w:tc>
          <w:tcPr>
            <w:tcW w:w="2835" w:type="dxa"/>
            <w:vAlign w:val="center"/>
          </w:tcPr>
          <w:p w14:paraId="773ADB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 转换</w:t>
            </w:r>
          </w:p>
        </w:tc>
      </w:tr>
      <w:tr w14:paraId="3CB5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11140A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11DEE5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5862A1C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9F4C2E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</w:tr>
      <w:tr w14:paraId="466F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A8BF3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907" w:type="dxa"/>
            <w:vAlign w:val="center"/>
          </w:tcPr>
          <w:p w14:paraId="447A0DC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3061" w:type="dxa"/>
            <w:vAlign w:val="center"/>
          </w:tcPr>
          <w:p w14:paraId="036AC63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站台编号（可空）</w:t>
            </w:r>
          </w:p>
        </w:tc>
        <w:tc>
          <w:tcPr>
            <w:tcW w:w="2835" w:type="dxa"/>
            <w:vAlign w:val="center"/>
          </w:tcPr>
          <w:p w14:paraId="2A1B35D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 转整数</w:t>
            </w:r>
          </w:p>
        </w:tc>
      </w:tr>
      <w:tr w14:paraId="0A02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5DFED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lng0/lat0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C8F70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69075AF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上车点坐标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6F7F1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 首点</w:t>
            </w:r>
          </w:p>
        </w:tc>
      </w:tr>
      <w:tr w14:paraId="6696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1A466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gx/gy</w:t>
            </w:r>
          </w:p>
        </w:tc>
        <w:tc>
          <w:tcPr>
            <w:tcW w:w="907" w:type="dxa"/>
            <w:vAlign w:val="center"/>
          </w:tcPr>
          <w:p w14:paraId="0150DAD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3061" w:type="dxa"/>
            <w:vAlign w:val="center"/>
          </w:tcPr>
          <w:p w14:paraId="7A53863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1km 网格编号</w:t>
            </w:r>
          </w:p>
        </w:tc>
        <w:tc>
          <w:tcPr>
            <w:tcW w:w="2835" w:type="dxa"/>
            <w:vAlign w:val="center"/>
          </w:tcPr>
          <w:p w14:paraId="30D670B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坐标换算</w:t>
            </w:r>
          </w:p>
        </w:tc>
      </w:tr>
      <w:tr w14:paraId="4FBF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99A621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region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673EA8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237135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核心/内环/外环/机场/远郊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B53BA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距市中心分段</w:t>
            </w:r>
          </w:p>
        </w:tc>
      </w:tr>
    </w:tbl>
    <w:p w14:paraId="55D7D93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　流水线化与可复现性</w:t>
      </w:r>
    </w:p>
    <w:p w14:paraId="17AE9F8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处理逻辑已封装为可重复运行的函数：读取、清洗、网格、站台、停留与整体 pipeline，中间结果以零依赖的 pickle 缓存，各阶段耗时记录在案（图 8-1）。流水线通过幂等断言：重复运行结果一致、行数稳定。</w:t>
      </w:r>
    </w:p>
    <w:p w14:paraId="4E4E7CC8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　维度与参考数据质量评估</w:t>
      </w:r>
    </w:p>
    <w:p w14:paraId="29C228A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行程位置依赖 GPS 点，站台归属依赖由首点反推的站台维表。本章评估站台与空间参考的质量。</w:t>
      </w:r>
    </w:p>
    <w:p w14:paraId="2B4F419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　站台工参与关联（DQ-10）</w:t>
      </w:r>
    </w:p>
    <w:p w14:paraId="46C7B7F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数据没有独立的站台工参表，62 个站台来自 ORIGIN_STAND 编号；B 型行程与站台的关联率为 98.78%，满足空间分析需要。各站台发车趟次见图 6-1。</w:t>
      </w:r>
    </w:p>
    <w:p w14:paraId="1C1B1673">
      <w:pPr>
        <w:keepNext/>
        <w:spacing w:before="120"/>
        <w:jc w:val="center"/>
      </w:pPr>
      <w:r>
        <w:drawing>
          <wp:inline distT="0" distB="0" distL="114300" distR="114300">
            <wp:extent cx="5327650" cy="5510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5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643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6-1　各候客站台发车趟次（15 号为最热点）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6E7A732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35B04EE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7AE53260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横轴为站台编号、纵轴为发车趟次，15 号站台为最热点。</w:t>
            </w:r>
          </w:p>
          <w:p w14:paraId="333314A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共 62 个站台；15 号站台 4,958 趟居首。</w:t>
            </w:r>
          </w:p>
          <w:p w14:paraId="5D5DFFEE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通过——B 型行程站台关联率 98.78%。</w:t>
            </w:r>
          </w:p>
          <w:p w14:paraId="5A18C0D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热点分析以 15 号为中心，低频站台结论需谨慎。</w:t>
            </w:r>
          </w:p>
        </w:tc>
      </w:tr>
    </w:tbl>
    <w:p w14:paraId="594E5B96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　地理覆盖范围（DQ-14）</w:t>
      </w:r>
    </w:p>
    <w:p w14:paraId="44297C5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上车点按 1km 网格聚合，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>覆盖 29</w:t>
      </w:r>
      <w:r>
        <w:rPr>
          <w:rFonts w:hint="eastAsia"/>
          <w:b w:val="0"/>
          <w:color w:val="000000"/>
          <w:sz w:val="24"/>
          <w:lang w:val="en-US" w:eastAsia="zh-CN"/>
        </w:rPr>
        <w:t>8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 xml:space="preserve"> 个网格，最密网格（市中心）发车 </w:t>
      </w:r>
      <w:r>
        <w:rPr>
          <w:rFonts w:hint="eastAsia"/>
          <w:b w:val="0"/>
          <w:color w:val="000000"/>
          <w:sz w:val="24"/>
          <w:lang w:val="en-US" w:eastAsia="zh-CN"/>
        </w:rPr>
        <w:t>20663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 xml:space="preserve"> 趟、占全部 2</w:t>
      </w:r>
      <w:r>
        <w:rPr>
          <w:rFonts w:hint="eastAsia"/>
          <w:b w:val="0"/>
          <w:color w:val="000000"/>
          <w:sz w:val="24"/>
          <w:lang w:val="en-US" w:eastAsia="zh-CN"/>
        </w:rPr>
        <w:t>0.7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>%</w:t>
      </w:r>
      <w:r>
        <w:rPr>
          <w:rFonts w:ascii="Times New Roman" w:hAnsi="Times New Roman" w:eastAsia="宋体"/>
          <w:b w:val="0"/>
          <w:color w:val="000000"/>
          <w:sz w:val="24"/>
        </w:rPr>
        <w:t>，上车点高度集中在波尔图市区（图 6-2）。</w:t>
      </w:r>
    </w:p>
    <w:p w14:paraId="347D7016">
      <w:pPr>
        <w:keepNext/>
        <w:spacing w:before="120"/>
        <w:jc w:val="center"/>
      </w:pPr>
      <w:r>
        <w:drawing>
          <wp:inline distT="0" distB="0" distL="114300" distR="114300">
            <wp:extent cx="5039995" cy="6765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9DE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6-2　上车点 1km 网格热力（琥珀点为站台）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A44DEA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0DD8B1BA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2090FB16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1km 网格热力，颜色越深趟次越多，琥珀点为站台位置。</w:t>
            </w:r>
          </w:p>
          <w:p w14:paraId="4B440B98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覆盖 293 个网格；最密网格发车 21,558 趟，占全部 21.6%。</w:t>
            </w:r>
          </w:p>
          <w:p w14:paraId="77B151C6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通过——上车点高度集中在市区且分布连续。</w:t>
            </w:r>
          </w:p>
          <w:p w14:paraId="162EE86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网格口径可用于空间聚合；机场等远郊网格样本不足。</w:t>
            </w:r>
          </w:p>
        </w:tc>
      </w:tr>
    </w:tbl>
    <w:p w14:paraId="3E5D2A9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　站台定位与密度（DQ-12、DQ-13）</w:t>
      </w:r>
    </w:p>
    <w:p w14:paraId="4424C44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站台坐标取各站台发车首点的中位数。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 xml:space="preserve">定位点对该中位坐标的离散度中位仅 </w:t>
      </w:r>
      <w:r>
        <w:rPr>
          <w:rFonts w:hint="eastAsia"/>
          <w:b w:val="0"/>
          <w:color w:val="000000"/>
          <w:sz w:val="24"/>
          <w:lang w:val="en-US" w:eastAsia="zh-CN"/>
        </w:rPr>
        <w:t>160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>米、P90 为 14.7 米。</w:t>
      </w:r>
      <w:r>
        <w:rPr>
          <w:rFonts w:ascii="Times New Roman" w:hAnsi="Times New Roman" w:eastAsia="宋体"/>
          <w:b w:val="0"/>
          <w:color w:val="000000"/>
          <w:sz w:val="24"/>
        </w:rPr>
        <w:t>说明中位数定位稳健准确；个别低频站台因样本少、最大离散约 11 公里，使用时以中位数为准并标注低频站台。站台间距（图 6-3）中位很小，符合市中心站台密集、且坐标由首点反推的特征。</w:t>
      </w:r>
    </w:p>
    <w:p w14:paraId="7C590C33">
      <w:pPr>
        <w:keepNext/>
        <w:spacing w:before="120"/>
        <w:jc w:val="center"/>
      </w:pPr>
      <w:r>
        <w:drawing>
          <wp:inline distT="0" distB="0" distL="114300" distR="114300">
            <wp:extent cx="5219700" cy="3195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E978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6-3　相邻站台最近距离分布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77DAB94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48727552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55294D4F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相邻站台最近距离的分布。</w:t>
            </w:r>
          </w:p>
          <w:p w14:paraId="64070BC3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距离中位很小，尾部存在个别远距站台。</w:t>
            </w:r>
          </w:p>
          <w:p w14:paraId="20F17938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通过——符合市中心站台密集、坐标由首点反推的特征。</w:t>
            </w:r>
          </w:p>
          <w:p w14:paraId="088C7FE4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站台间距不宜单独下结论，需结合各站台发车量。</w:t>
            </w:r>
          </w:p>
        </w:tc>
      </w:tr>
    </w:tbl>
    <w:p w14:paraId="0997223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区域按距市中心分段：核心 43.4%、内环 43.6%、外环 12.2%、机场 0.1%、远郊 0.7%，近九成发车集中在核心与内环。</w:t>
      </w:r>
    </w:p>
    <w:p w14:paraId="78662E87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　样本代表性评估</w:t>
      </w:r>
    </w:p>
    <w:p w14:paraId="0FB6C32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出租车数据只能观察到“被记录的载客行程”。下结论前需回答：这批车在哪里活动、热点在哪、能代表谁。</w:t>
      </w:r>
    </w:p>
    <w:p w14:paraId="1EAEBCA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　热点识别</w:t>
      </w:r>
    </w:p>
    <w:p w14:paraId="1453001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15 号站台是发车最密集的候客热点（4,958 趟），位于市中心，其空间位置见图 7-1。</w:t>
      </w:r>
    </w:p>
    <w:p w14:paraId="2FA05ED1">
      <w:pPr>
        <w:keepNext/>
        <w:spacing w:before="120"/>
        <w:jc w:val="center"/>
      </w:pPr>
      <w:r>
        <w:drawing>
          <wp:inline distT="0" distB="0" distL="114300" distR="114300">
            <wp:extent cx="5219700" cy="5293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143C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7-1　热点空间分布（15 号站台为核心）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61E7395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0D7DA5A0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3FA63F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地图散点，点的大小与颜色表示发车量，15 号站台突出显示。</w:t>
            </w:r>
          </w:p>
          <w:p w14:paraId="53FA13F4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15 号站台发车 4,958 趟，位于市中心。</w:t>
            </w:r>
          </w:p>
          <w:p w14:paraId="70B1C4F5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通过——热点位置与中心城区一致。</w:t>
            </w:r>
          </w:p>
          <w:p w14:paraId="7E7E6EE1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样本代表性结论以热点区为界，不外推到全市。</w:t>
            </w:r>
          </w:p>
        </w:tc>
      </w:tr>
    </w:tbl>
    <w:p w14:paraId="78DB3674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　距离阈值敏感性</w:t>
      </w:r>
    </w:p>
    <w:p w14:paraId="28D7595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计算每趟上车点离热点的距离并看累计分布（图 7-2），曲线在近距离快速上升后趋缓，说明“热点集中”的结论对距离阈值不敏感。</w:t>
      </w:r>
    </w:p>
    <w:p w14:paraId="2B3D3747">
      <w:pPr>
        <w:keepNext/>
        <w:spacing w:before="120"/>
        <w:jc w:val="center"/>
      </w:pPr>
      <w:r>
        <w:drawing>
          <wp:inline distT="0" distB="0" distL="114300" distR="114300">
            <wp:extent cx="5219700" cy="3307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0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5BA0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7-2　上车点离热点距离的累计分布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DA84902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519DAF8B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4CB3BF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累计分布，横轴为距热点距离，纵轴为累计占比。</w:t>
            </w:r>
          </w:p>
          <w:p w14:paraId="6A6834FA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曲线在近距离快速上升后趋缓。</w:t>
            </w:r>
          </w:p>
          <w:p w14:paraId="059107E8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通过——“热点集中”的结论对距离阈值不敏感。</w:t>
            </w:r>
          </w:p>
          <w:p w14:paraId="14E30335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阈值在 0.5—2 km 间调整不改变结论方向。</w:t>
            </w:r>
          </w:p>
        </w:tc>
      </w:tr>
    </w:tbl>
    <w:p w14:paraId="6844CEB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7.3　时间规律：热点小时</w:t>
      </w:r>
    </w:p>
    <w:p w14:paraId="4387A65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热点各小时发车量（图 7-3）呈现明显节律，上午 10 点前后达到高峰（123 辆），可用于刻画候客需求的时间分布。</w:t>
      </w:r>
    </w:p>
    <w:p w14:paraId="44218AD7">
      <w:pPr>
        <w:keepNext/>
        <w:spacing w:before="120"/>
        <w:jc w:val="center"/>
      </w:pPr>
      <w:r>
        <w:drawing>
          <wp:inline distT="0" distB="0" distL="114300" distR="114300">
            <wp:extent cx="5219700" cy="3013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787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7-3　热点各小时发车趟次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CF17DD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6EC7255A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7AEFD2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横轴为小时、纵轴为热点站台发车量，标注峰值。</w:t>
            </w:r>
          </w:p>
          <w:p w14:paraId="734A5220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上午 10 点前后达到高峰，约 123 辆。</w:t>
            </w:r>
          </w:p>
          <w:p w14:paraId="6A3721F9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通过——候客需求的时间节律清晰。</w:t>
            </w:r>
          </w:p>
          <w:p w14:paraId="448D58F5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可用于刻画热点站台的候客需求分布。</w:t>
            </w:r>
          </w:p>
        </w:tc>
      </w:tr>
    </w:tbl>
    <w:p w14:paraId="6B6B353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7.4　城市潮汐</w:t>
      </w:r>
    </w:p>
    <w:p w14:paraId="45CCC46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区域 × 小时的占比矩阵（图 7-4）显示：凌晨 4 点核心区占比高达 71%、午间内环占比约 50%，呈现“深夜向心、白天外扩”的规律。</w:t>
      </w:r>
    </w:p>
    <w:p w14:paraId="19ABAA26">
      <w:pPr>
        <w:keepNext/>
        <w:spacing w:before="120"/>
        <w:jc w:val="center"/>
      </w:pPr>
      <w:r>
        <w:drawing>
          <wp:inline distT="0" distB="0" distL="114300" distR="114300">
            <wp:extent cx="5327650" cy="2160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BBE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7-4　区域 × 24 小时占比矩阵（城市潮汐）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29352FC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DEFE578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7370678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矩阵热力，行为区域、列为小时，颜色表示该小时发车占比。</w:t>
            </w:r>
          </w:p>
          <w:p w14:paraId="050CB707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凌晨 4 点核心区占比约 71%，午间内环占比约 50%。</w:t>
            </w:r>
          </w:p>
          <w:p w14:paraId="407F2ED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通过——呈现“深夜向心、白天外扩”的潮汐规律。</w:t>
            </w:r>
          </w:p>
          <w:p w14:paraId="2E77E373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区域 × 小时口径适用于潮汐分析。</w:t>
            </w:r>
          </w:p>
        </w:tc>
      </w:tr>
    </w:tbl>
    <w:p w14:paraId="75F8EFC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选取 4、10、17、23 时四个时刻的空间分布（图 7-5），可直观看到发车位置随时间的向心与外扩。</w:t>
      </w:r>
    </w:p>
    <w:p w14:paraId="215AC23C">
      <w:pPr>
        <w:keepNext/>
        <w:spacing w:before="120"/>
        <w:jc w:val="center"/>
      </w:pPr>
      <w:r>
        <w:drawing>
          <wp:inline distT="0" distB="0" distL="114300" distR="114300">
            <wp:extent cx="5399405" cy="6191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9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814C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7-5　四个关键时刻的上车点空间分布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4E2C81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2D14020C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D1576B6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四联地图，分别为 4、10、17、23 时的上车点空间分布。</w:t>
            </w:r>
          </w:p>
          <w:p w14:paraId="7F9373D2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发车位置随时间由外围向中心再向外围移动。</w:t>
            </w:r>
          </w:p>
          <w:p w14:paraId="29A6699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通过——与潮汐矩阵结论一致，可互相印证。</w:t>
            </w:r>
          </w:p>
          <w:p w14:paraId="66BC0DE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支持分时段的空间结论，不能用于跨季节比较。</w:t>
            </w:r>
          </w:p>
        </w:tc>
      </w:tr>
    </w:tbl>
    <w:p w14:paraId="33B45AF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7.5　样本口径（DQ-15）</w:t>
      </w:r>
    </w:p>
    <w:p w14:paraId="7F63B74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本子集出现 430 辆车（完整数据集为 442 辆），车均 232.6 趟、单车 1 至 503 趟。数据仅含载客轨迹，候客与空驶时段不在 POLYLINE 内，判定为“警告”：结论只代表出租车载客出行，不代表城市全方式出行。</w:t>
      </w:r>
    </w:p>
    <w:p w14:paraId="48940B2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7.6　机场长尾（DQ-16）</w:t>
      </w:r>
    </w:p>
    <w:p w14:paraId="0A177E7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机场 1000 米内全天仅 59 趟（0.059%），机场场景在 100k 子集代表性极弱，判定为“警告”，不据此对机场下结论。</w:t>
      </w:r>
    </w:p>
    <w:p w14:paraId="4FB7ACB2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　数据适用性评估</w:t>
      </w:r>
    </w:p>
    <w:p w14:paraId="5F604D2E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8.1　观测与处理性能</w:t>
      </w:r>
    </w:p>
    <w:p w14:paraId="5B0C28D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GPS 点按 15 秒采样、相邻点距离中位 92.3 米，行程内观测连续；但行程之间的候客与空驶时段不在轨迹内，同车相邻趟次间隔中位达 60.6 分钟。这一口径决定了数据适合描述“载客行程”，不适合还原车辆全天的完整状态。</w:t>
      </w:r>
    </w:p>
    <w:p w14:paraId="319E0910">
      <w:pPr>
        <w:keepNext/>
        <w:spacing w:before="120"/>
        <w:jc w:val="center"/>
      </w:pPr>
      <w:r>
        <w:drawing>
          <wp:inline distT="0" distB="0" distL="114300" distR="114300">
            <wp:extent cx="5219700" cy="2893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017A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8-1　数据流水线各阶段耗时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F3EFBD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7ECB9252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8EF8D3B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横轴为流水线各阶段、纵轴为耗时。</w:t>
            </w:r>
          </w:p>
          <w:p w14:paraId="2A9F699B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各阶段耗时均有记录，可定位性能瓶颈。</w:t>
            </w:r>
          </w:p>
          <w:p w14:paraId="45E16AD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通过——流程可复现、耗时可追踪。</w:t>
            </w:r>
          </w:p>
          <w:p w14:paraId="5CEAA157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全量数据可据此估算运行时间。</w:t>
            </w:r>
          </w:p>
        </w:tc>
      </w:tr>
    </w:tbl>
    <w:p w14:paraId="2CE9227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候客停留采用锚点法（连续点 200m 内、时长 ≥10min），停留段 GPS 漂移中位 7 米、远小于正常点间距，说明停留识别可靠（图 8-2）；敏感性分析显示结果对半径不敏感、对最短时长敏感。</w:t>
      </w:r>
    </w:p>
    <w:p w14:paraId="299FD70C">
      <w:pPr>
        <w:keepNext/>
        <w:spacing w:before="120"/>
        <w:jc w:val="center"/>
      </w:pPr>
      <w:r>
        <w:drawing>
          <wp:inline distT="0" distB="0" distL="114300" distR="114300">
            <wp:extent cx="5219700" cy="3195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13AE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8-2　停留段 GPS 漂移与正常点间距对比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76C31B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AD5093D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454A4AF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对比停留段 GPS 漂移与正常点间距。</w:t>
            </w:r>
          </w:p>
          <w:p w14:paraId="1B85665D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停留段漂移中位 7 米，远小于正常点间距中位 92.3 米。</w:t>
            </w:r>
          </w:p>
          <w:p w14:paraId="2CA5A1D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通过——停留识别结果可靠。</w:t>
            </w:r>
          </w:p>
          <w:p w14:paraId="535A874B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停留结果对半径不敏感、对最短时长敏感，口径须固定。</w:t>
            </w:r>
          </w:p>
        </w:tc>
      </w:tr>
    </w:tbl>
    <w:p w14:paraId="7BA48B8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8.2　适用范围与限制</w:t>
      </w:r>
    </w:p>
    <w:p w14:paraId="614D5927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8-1　数据能回答与不能回答的问题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8F2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3864"/>
            <w:vAlign w:val="center"/>
          </w:tcPr>
          <w:p w14:paraId="786DA9B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分析主题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61142E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可以回答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7D449D3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不能回答</w:t>
            </w:r>
          </w:p>
        </w:tc>
        <w:tc>
          <w:tcPr>
            <w:tcW w:w="2154" w:type="dxa"/>
            <w:shd w:val="clear" w:color="auto" w:fill="1F3864"/>
            <w:vAlign w:val="center"/>
          </w:tcPr>
          <w:p w14:paraId="1AA1F9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</w:tr>
      <w:tr w14:paraId="2192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DD9FC4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上车点分布</w:t>
            </w:r>
          </w:p>
        </w:tc>
        <w:tc>
          <w:tcPr>
            <w:tcW w:w="2948" w:type="dxa"/>
            <w:vAlign w:val="center"/>
          </w:tcPr>
          <w:p w14:paraId="79E40C8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出租车在哪片区域、哪个网格上客</w:t>
            </w:r>
          </w:p>
        </w:tc>
        <w:tc>
          <w:tcPr>
            <w:tcW w:w="2608" w:type="dxa"/>
            <w:vAlign w:val="center"/>
          </w:tcPr>
          <w:p w14:paraId="640DA7D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全市全方式出行的空间分布</w:t>
            </w:r>
          </w:p>
        </w:tc>
        <w:tc>
          <w:tcPr>
            <w:tcW w:w="2154" w:type="dxa"/>
            <w:vAlign w:val="center"/>
          </w:tcPr>
          <w:p w14:paraId="70E7745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仅出租车载客轨迹</w:t>
            </w:r>
          </w:p>
        </w:tc>
      </w:tr>
      <w:tr w14:paraId="6FA24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7519A1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热点与候客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1242F0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哪些站台是热点、各小时发车节律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9FB832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空驶与候客时段的完整位置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5485C91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该时段不在 POLYLINE 内</w:t>
            </w:r>
          </w:p>
        </w:tc>
      </w:tr>
      <w:tr w14:paraId="0654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46E57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时间规律</w:t>
            </w:r>
          </w:p>
        </w:tc>
        <w:tc>
          <w:tcPr>
            <w:tcW w:w="2948" w:type="dxa"/>
            <w:vAlign w:val="center"/>
          </w:tcPr>
          <w:p w14:paraId="2EC05DE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月上中旬的发车小时与潮汐</w:t>
            </w:r>
          </w:p>
        </w:tc>
        <w:tc>
          <w:tcPr>
            <w:tcW w:w="2608" w:type="dxa"/>
            <w:vAlign w:val="center"/>
          </w:tcPr>
          <w:p w14:paraId="2EB569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其他季节 / 工作日对比</w:t>
            </w:r>
          </w:p>
        </w:tc>
        <w:tc>
          <w:tcPr>
            <w:tcW w:w="2154" w:type="dxa"/>
            <w:vAlign w:val="center"/>
          </w:tcPr>
          <w:p w14:paraId="049E75E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7 月三周</w:t>
            </w:r>
          </w:p>
        </w:tc>
      </w:tr>
      <w:tr w14:paraId="4977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72522F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行程范围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E6EC6E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行程的起终点与空间范围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4C932E5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机场等长尾场景的精细结论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0E40B5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机场仅 59 趟</w:t>
            </w:r>
          </w:p>
        </w:tc>
      </w:tr>
      <w:tr w14:paraId="3BD2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4BA8BF3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停留识别</w:t>
            </w:r>
          </w:p>
        </w:tc>
        <w:tc>
          <w:tcPr>
            <w:tcW w:w="2948" w:type="dxa"/>
            <w:vAlign w:val="center"/>
          </w:tcPr>
          <w:p w14:paraId="7919CAC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基于轨迹的候客停留点与时长</w:t>
            </w:r>
          </w:p>
        </w:tc>
        <w:tc>
          <w:tcPr>
            <w:tcW w:w="2608" w:type="dxa"/>
            <w:vAlign w:val="center"/>
          </w:tcPr>
          <w:p w14:paraId="166131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下车后的乘客行为</w:t>
            </w:r>
          </w:p>
        </w:tc>
        <w:tc>
          <w:tcPr>
            <w:tcW w:w="2154" w:type="dxa"/>
            <w:vAlign w:val="center"/>
          </w:tcPr>
          <w:p w14:paraId="3D540BF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数据不记录乘客</w:t>
            </w:r>
          </w:p>
        </w:tc>
      </w:tr>
    </w:tbl>
    <w:p w14:paraId="2DD8B7FD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9　问题清单与整改建议</w:t>
      </w:r>
    </w:p>
    <w:p w14:paraId="28462CD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9.1　问题清单</w:t>
      </w:r>
    </w:p>
    <w:p w14:paraId="52857AC1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9-1　数据质量问题清单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EC9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3864"/>
            <w:vAlign w:val="center"/>
          </w:tcPr>
          <w:p w14:paraId="788DF1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1B1EA5C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问题描述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0FC965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关联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5D192E5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严重度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4DA5635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 / 整改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33751B8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状态</w:t>
            </w:r>
          </w:p>
        </w:tc>
      </w:tr>
      <w:tr w14:paraId="4AD2E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50EEDE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P-01</w:t>
            </w:r>
          </w:p>
        </w:tc>
        <w:tc>
          <w:tcPr>
            <w:tcW w:w="2835" w:type="dxa"/>
            <w:vAlign w:val="center"/>
          </w:tcPr>
          <w:p w14:paraId="107659D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两个起点字段高比例缺失（结构性）</w:t>
            </w:r>
          </w:p>
        </w:tc>
        <w:tc>
          <w:tcPr>
            <w:tcW w:w="907" w:type="dxa"/>
            <w:vAlign w:val="center"/>
          </w:tcPr>
          <w:p w14:paraId="442C06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DQ-02</w:t>
            </w:r>
          </w:p>
        </w:tc>
        <w:tc>
          <w:tcPr>
            <w:tcW w:w="907" w:type="dxa"/>
            <w:vAlign w:val="center"/>
          </w:tcPr>
          <w:p w14:paraId="09715F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0EDBAF2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按叫车类型分别使用，不整体填充</w:t>
            </w:r>
          </w:p>
        </w:tc>
        <w:tc>
          <w:tcPr>
            <w:tcW w:w="1020" w:type="dxa"/>
            <w:vAlign w:val="center"/>
          </w:tcPr>
          <w:p w14:paraId="32B17F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  <w:tr w14:paraId="6CE9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256965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A3DAFD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趟空轨迹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6977B7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2C0903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61A42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D0E36E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</w:t>
            </w:r>
          </w:p>
        </w:tc>
      </w:tr>
      <w:tr w14:paraId="5083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BA0D4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P-03</w:t>
            </w:r>
          </w:p>
        </w:tc>
        <w:tc>
          <w:tcPr>
            <w:tcW w:w="2835" w:type="dxa"/>
            <w:vAlign w:val="center"/>
          </w:tcPr>
          <w:p w14:paraId="662B487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趟首点越界、坐标范围异常</w:t>
            </w:r>
          </w:p>
        </w:tc>
        <w:tc>
          <w:tcPr>
            <w:tcW w:w="907" w:type="dxa"/>
            <w:vAlign w:val="center"/>
          </w:tcPr>
          <w:p w14:paraId="4DA5C07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</w:t>
            </w:r>
          </w:p>
        </w:tc>
        <w:tc>
          <w:tcPr>
            <w:tcW w:w="907" w:type="dxa"/>
            <w:vAlign w:val="center"/>
          </w:tcPr>
          <w:p w14:paraId="035341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12B9A3A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按都市区框剔除</w:t>
            </w:r>
          </w:p>
        </w:tc>
        <w:tc>
          <w:tcPr>
            <w:tcW w:w="1020" w:type="dxa"/>
            <w:vAlign w:val="center"/>
          </w:tcPr>
          <w:p w14:paraId="0EE201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</w:t>
            </w:r>
          </w:p>
        </w:tc>
      </w:tr>
      <w:tr w14:paraId="6EBE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34BFA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P-04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0D4BE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对行程共用 TRIP_ID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54773F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DQ-09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AD6BE1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FC5D5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以完整记录区分并登记反馈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31D8A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待反馈</w:t>
            </w:r>
          </w:p>
        </w:tc>
      </w:tr>
      <w:tr w14:paraId="228F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01F323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P-05</w:t>
            </w:r>
          </w:p>
        </w:tc>
        <w:tc>
          <w:tcPr>
            <w:tcW w:w="2835" w:type="dxa"/>
            <w:vAlign w:val="center"/>
          </w:tcPr>
          <w:p w14:paraId="14420C2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末日 7-21 不完整</w:t>
            </w:r>
          </w:p>
        </w:tc>
        <w:tc>
          <w:tcPr>
            <w:tcW w:w="907" w:type="dxa"/>
            <w:vAlign w:val="center"/>
          </w:tcPr>
          <w:p w14:paraId="524D13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DQ-01</w:t>
            </w:r>
          </w:p>
        </w:tc>
        <w:tc>
          <w:tcPr>
            <w:tcW w:w="907" w:type="dxa"/>
            <w:vAlign w:val="center"/>
          </w:tcPr>
          <w:p w14:paraId="5CE2EF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7596B1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按日统计标注或剔除</w:t>
            </w:r>
          </w:p>
        </w:tc>
        <w:tc>
          <w:tcPr>
            <w:tcW w:w="1020" w:type="dxa"/>
            <w:vAlign w:val="center"/>
          </w:tcPr>
          <w:p w14:paraId="23D9A26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  <w:tr w14:paraId="5C3E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D50CCC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3D7CD6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仅载客轨迹、非全方式出行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370C9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DQ-15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08DB3A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10F946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结论限定出租车载客出行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291A44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已披露</w:t>
            </w:r>
          </w:p>
        </w:tc>
      </w:tr>
      <w:tr w14:paraId="1966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E92236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P-07</w:t>
            </w:r>
          </w:p>
        </w:tc>
        <w:tc>
          <w:tcPr>
            <w:tcW w:w="2835" w:type="dxa"/>
            <w:vAlign w:val="center"/>
          </w:tcPr>
          <w:p w14:paraId="6A3489E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机场样本极少</w:t>
            </w:r>
          </w:p>
        </w:tc>
        <w:tc>
          <w:tcPr>
            <w:tcW w:w="907" w:type="dxa"/>
            <w:vAlign w:val="center"/>
          </w:tcPr>
          <w:p w14:paraId="6ABEF92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DQ-16</w:t>
            </w:r>
          </w:p>
        </w:tc>
        <w:tc>
          <w:tcPr>
            <w:tcW w:w="907" w:type="dxa"/>
            <w:vAlign w:val="center"/>
          </w:tcPr>
          <w:p w14:paraId="49C772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1ABB739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改用完整数据集验证</w:t>
            </w:r>
          </w:p>
        </w:tc>
        <w:tc>
          <w:tcPr>
            <w:tcW w:w="1020" w:type="dxa"/>
            <w:vAlign w:val="center"/>
          </w:tcPr>
          <w:p w14:paraId="07A9B9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待反馈</w:t>
            </w:r>
          </w:p>
        </w:tc>
      </w:tr>
      <w:tr w14:paraId="7E9B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66656C5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P-08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B4DB0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个别低频站台定位离散偏大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35CC0F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128322F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69F28D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以中位数为准并标注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6D2A3C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</w:tbl>
    <w:p w14:paraId="1AC4827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9.2　需数据提供方确认的事项</w:t>
      </w:r>
    </w:p>
    <w:p w14:paraId="4933274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8 对重复 TRIP_ID 与 15 趟越界首点是采集还是导出问题；</w:t>
      </w:r>
    </w:p>
    <w:p w14:paraId="20BC294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100k 子集的抽样规则，是否随机抽取、是否保持与完整数据一致的口径；</w:t>
      </w:r>
    </w:p>
    <w:p w14:paraId="46B3A14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ORIGIN_CALL、ORIGIN_STAND 编号的完整字典及站台正式工参；</w:t>
      </w:r>
    </w:p>
    <w:p w14:paraId="5EA111D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后续交付数据是否保持相同的字段定义与采样方式。</w:t>
      </w:r>
    </w:p>
    <w:p w14:paraId="4DD551B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9.3　持续质量监控建议</w:t>
      </w:r>
    </w:p>
    <w:p w14:paraId="2B3778D3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9-2　日常稽核规则建议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8DC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0D652C2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规则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78A4DA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检查对象</w:t>
            </w:r>
          </w:p>
        </w:tc>
        <w:tc>
          <w:tcPr>
            <w:tcW w:w="2721" w:type="dxa"/>
            <w:shd w:val="clear" w:color="auto" w:fill="1F3864"/>
            <w:vAlign w:val="center"/>
          </w:tcPr>
          <w:p w14:paraId="5992C0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建议阈值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61B89C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触发动作</w:t>
            </w:r>
          </w:p>
        </w:tc>
      </w:tr>
      <w:tr w14:paraId="5DBA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A417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记录量波动</w:t>
            </w:r>
          </w:p>
        </w:tc>
        <w:tc>
          <w:tcPr>
            <w:tcW w:w="2381" w:type="dxa"/>
            <w:vAlign w:val="center"/>
          </w:tcPr>
          <w:p w14:paraId="2838CC4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当日发车趟次</w:t>
            </w:r>
          </w:p>
        </w:tc>
        <w:tc>
          <w:tcPr>
            <w:tcW w:w="2721" w:type="dxa"/>
            <w:vAlign w:val="center"/>
          </w:tcPr>
          <w:p w14:paraId="2C53098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与近 7 日均值偏差超 30%</w:t>
            </w:r>
          </w:p>
        </w:tc>
        <w:tc>
          <w:tcPr>
            <w:tcW w:w="2494" w:type="dxa"/>
            <w:vAlign w:val="center"/>
          </w:tcPr>
          <w:p w14:paraId="248F0AB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告警，人工确认</w:t>
            </w:r>
          </w:p>
        </w:tc>
      </w:tr>
      <w:tr w14:paraId="52BE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FB7188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空轨迹率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0FAA843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 为空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03937D0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超过 0.5%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71DC98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告警，反馈提供方</w:t>
            </w:r>
          </w:p>
        </w:tc>
      </w:tr>
      <w:tr w14:paraId="70977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C5E4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起点字段一致</w:t>
            </w:r>
          </w:p>
        </w:tc>
        <w:tc>
          <w:tcPr>
            <w:tcW w:w="2381" w:type="dxa"/>
            <w:vAlign w:val="center"/>
          </w:tcPr>
          <w:p w14:paraId="1E1694A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起点缺失与 CALL_TYPE</w:t>
            </w:r>
          </w:p>
        </w:tc>
        <w:tc>
          <w:tcPr>
            <w:tcW w:w="2721" w:type="dxa"/>
            <w:vAlign w:val="center"/>
          </w:tcPr>
          <w:p w14:paraId="4B2E53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缺失与类型不匹配</w:t>
            </w:r>
          </w:p>
        </w:tc>
        <w:tc>
          <w:tcPr>
            <w:tcW w:w="2494" w:type="dxa"/>
            <w:vAlign w:val="center"/>
          </w:tcPr>
          <w:p w14:paraId="42863DD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阻断发布</w:t>
            </w:r>
          </w:p>
        </w:tc>
      </w:tr>
      <w:tr w14:paraId="67CE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5ADB8C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越界首点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53535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首点超出都市区框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1418B8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超过 0.1%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DE3D52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</w:t>
            </w:r>
          </w:p>
        </w:tc>
      </w:tr>
      <w:tr w14:paraId="1A4A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3B2EB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重复行程</w:t>
            </w:r>
          </w:p>
        </w:tc>
        <w:tc>
          <w:tcPr>
            <w:tcW w:w="2381" w:type="dxa"/>
            <w:vAlign w:val="center"/>
          </w:tcPr>
          <w:p w14:paraId="3AFAE69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 与轨迹</w:t>
            </w:r>
          </w:p>
        </w:tc>
        <w:tc>
          <w:tcPr>
            <w:tcW w:w="2721" w:type="dxa"/>
            <w:vAlign w:val="center"/>
          </w:tcPr>
          <w:p w14:paraId="64D1DF7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出现 ID 重复</w:t>
            </w:r>
          </w:p>
        </w:tc>
        <w:tc>
          <w:tcPr>
            <w:tcW w:w="2494" w:type="dxa"/>
            <w:vAlign w:val="center"/>
          </w:tcPr>
          <w:p w14:paraId="136F497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登记并核查</w:t>
            </w:r>
          </w:p>
        </w:tc>
      </w:tr>
      <w:tr w14:paraId="4CD4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D73C1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站台关联率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BD39B1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型关联站台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279DBA4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低于 98%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ADB92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</w:t>
            </w:r>
          </w:p>
        </w:tc>
      </w:tr>
    </w:tbl>
    <w:p w14:paraId="7C3BE58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10　结论</w:t>
      </w:r>
    </w:p>
    <w:p w14:paraId="025730B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本次评估覆盖 train_100k 及其加工结果，共执行 16 项质量检查：通过 9 项、警告 6 项、不通过 1 项。</w:t>
      </w:r>
    </w:p>
    <w:p w14:paraId="105B2A2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从记录质量看，数据整体良好。空轨迹与越界首点合计仅 0.38%，无完全重复行，清洗后 99.6% 的行程进入明细层，B 型站台关联率 98.78%，GPS 点间距与采样稳定；清洗流程已封装为可重复运行、结果幂等的流水线。</w:t>
      </w:r>
    </w:p>
    <w:p w14:paraId="302C660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从完整性与口径看，两个起点字段按叫车类型存在结构性缺失，必须按类型分别使用；样本仅为 430 辆出租车的载客轨迹、机场等长尾场景代表性弱。这些问题已通过清洗与口径限定规避。</w:t>
      </w:r>
    </w:p>
    <w:p w14:paraId="1E8CCCA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该数据适合分析波尔图出租车在 2013 年 7 月上中旬的载客上客分布、热点候客、发车潮汐与候客停留，不适合用于全市全方式出行、季节对比和机场等长尾场景。建议在数据提供方确认抽样口径前，所有交付物均注明结论的适用范围，并将 16 项检查固化为每日自动稽核规则。</w:t>
      </w:r>
    </w:p>
    <w:p w14:paraId="1F5F0874">
      <w:r>
        <w:br w:type="page"/>
      </w:r>
    </w:p>
    <w:p w14:paraId="1948FB5A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A　数据质量检查明细表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A66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1F3864"/>
            <w:vAlign w:val="center"/>
          </w:tcPr>
          <w:p w14:paraId="13D545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18DDC6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459D01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检查项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1B518FD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结果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7963036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状态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4E53DF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处理决定</w:t>
            </w:r>
          </w:p>
        </w:tc>
      </w:tr>
      <w:tr w14:paraId="75CE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AFB45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  <w:tc>
          <w:tcPr>
            <w:tcW w:w="907" w:type="dxa"/>
            <w:vAlign w:val="center"/>
          </w:tcPr>
          <w:p w14:paraId="209108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时效性</w:t>
            </w:r>
          </w:p>
        </w:tc>
        <w:tc>
          <w:tcPr>
            <w:tcW w:w="1587" w:type="dxa"/>
            <w:vAlign w:val="center"/>
          </w:tcPr>
          <w:p w14:paraId="0AE2A70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各日数据完整度</w:t>
            </w:r>
          </w:p>
        </w:tc>
        <w:tc>
          <w:tcPr>
            <w:tcW w:w="2494" w:type="dxa"/>
            <w:vAlign w:val="center"/>
          </w:tcPr>
          <w:p w14:paraId="695B34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 天，末日 3502 趟不完整</w:t>
            </w:r>
          </w:p>
        </w:tc>
        <w:tc>
          <w:tcPr>
            <w:tcW w:w="794" w:type="dxa"/>
            <w:vAlign w:val="center"/>
          </w:tcPr>
          <w:p w14:paraId="39E951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4807BEE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按日统计标注或剔除末日</w:t>
            </w:r>
          </w:p>
        </w:tc>
      </w:tr>
      <w:tr w14:paraId="2996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3033BE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2D61D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12255DC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结构性字段缺失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1B7FA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CALL 缺 79.0%、STAND 缺 50.7%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3B866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3DDFEB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按叫车类型分别使用</w:t>
            </w:r>
          </w:p>
        </w:tc>
      </w:tr>
      <w:tr w14:paraId="0D2C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AA1E26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DQ-03</w:t>
            </w:r>
          </w:p>
        </w:tc>
        <w:tc>
          <w:tcPr>
            <w:tcW w:w="907" w:type="dxa"/>
            <w:vAlign w:val="center"/>
          </w:tcPr>
          <w:p w14:paraId="65D78AE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vAlign w:val="center"/>
          </w:tcPr>
          <w:p w14:paraId="000173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空轨迹</w:t>
            </w:r>
          </w:p>
        </w:tc>
        <w:tc>
          <w:tcPr>
            <w:tcW w:w="2494" w:type="dxa"/>
            <w:vAlign w:val="center"/>
          </w:tcPr>
          <w:p w14:paraId="472311F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367 趟（0.37%）</w:t>
            </w:r>
          </w:p>
        </w:tc>
        <w:tc>
          <w:tcPr>
            <w:tcW w:w="794" w:type="dxa"/>
            <w:vAlign w:val="center"/>
          </w:tcPr>
          <w:p w14:paraId="4899050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不通过</w:t>
            </w:r>
          </w:p>
        </w:tc>
        <w:tc>
          <w:tcPr>
            <w:tcW w:w="2381" w:type="dxa"/>
            <w:vAlign w:val="center"/>
          </w:tcPr>
          <w:p w14:paraId="24FFDD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剔除</w:t>
            </w:r>
          </w:p>
        </w:tc>
      </w:tr>
      <w:tr w14:paraId="3387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B2AE93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DQ-04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BA56E0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76E9210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关键列缺失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5941B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四列均 0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92CDE1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78E687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3389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DB1E79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DQ-05</w:t>
            </w:r>
          </w:p>
        </w:tc>
        <w:tc>
          <w:tcPr>
            <w:tcW w:w="907" w:type="dxa"/>
            <w:vAlign w:val="center"/>
          </w:tcPr>
          <w:p w14:paraId="503E7F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vAlign w:val="center"/>
          </w:tcPr>
          <w:p w14:paraId="0576BC3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枚举取值</w:t>
            </w:r>
          </w:p>
        </w:tc>
        <w:tc>
          <w:tcPr>
            <w:tcW w:w="2494" w:type="dxa"/>
            <w:vAlign w:val="center"/>
          </w:tcPr>
          <w:p w14:paraId="2604C03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A/B/C；DAY 全 A；MISSING 全 False</w:t>
            </w:r>
          </w:p>
        </w:tc>
        <w:tc>
          <w:tcPr>
            <w:tcW w:w="794" w:type="dxa"/>
            <w:vAlign w:val="center"/>
          </w:tcPr>
          <w:p w14:paraId="4E4A0AE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3C9B45B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3D14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6784E5E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DQ-06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4756DB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145F06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格式合法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3DF19F3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全可解析、时间全为正整数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D736E9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7022DE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4253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75B92F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DQ-07</w:t>
            </w:r>
          </w:p>
        </w:tc>
        <w:tc>
          <w:tcPr>
            <w:tcW w:w="907" w:type="dxa"/>
            <w:vAlign w:val="center"/>
          </w:tcPr>
          <w:p w14:paraId="5A7024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vAlign w:val="center"/>
          </w:tcPr>
          <w:p w14:paraId="058A9A1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坐标范围</w:t>
            </w:r>
          </w:p>
        </w:tc>
        <w:tc>
          <w:tcPr>
            <w:tcW w:w="2494" w:type="dxa"/>
            <w:vAlign w:val="center"/>
          </w:tcPr>
          <w:p w14:paraId="6628E88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越界 15 趟，范围异常宽</w:t>
            </w:r>
          </w:p>
        </w:tc>
        <w:tc>
          <w:tcPr>
            <w:tcW w:w="794" w:type="dxa"/>
            <w:vAlign w:val="center"/>
          </w:tcPr>
          <w:p w14:paraId="446AE4B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0149D0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按都市区框剔除</w:t>
            </w:r>
          </w:p>
        </w:tc>
      </w:tr>
      <w:tr w14:paraId="6B0A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750B2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DQ-08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EFB8D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620E42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完全重复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DE5319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 行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BF0563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632D5EB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0EDD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D99754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DQ-09</w:t>
            </w:r>
          </w:p>
        </w:tc>
        <w:tc>
          <w:tcPr>
            <w:tcW w:w="907" w:type="dxa"/>
            <w:vAlign w:val="center"/>
          </w:tcPr>
          <w:p w14:paraId="64E4102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唯一性</w:t>
            </w:r>
          </w:p>
        </w:tc>
        <w:tc>
          <w:tcPr>
            <w:tcW w:w="1587" w:type="dxa"/>
            <w:vAlign w:val="center"/>
          </w:tcPr>
          <w:p w14:paraId="690B471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行程主键</w:t>
            </w:r>
          </w:p>
        </w:tc>
        <w:tc>
          <w:tcPr>
            <w:tcW w:w="2494" w:type="dxa"/>
            <w:vAlign w:val="center"/>
          </w:tcPr>
          <w:p w14:paraId="3B75EB3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99992，16 行（8 对）重复</w:t>
            </w:r>
          </w:p>
        </w:tc>
        <w:tc>
          <w:tcPr>
            <w:tcW w:w="794" w:type="dxa"/>
            <w:vAlign w:val="center"/>
          </w:tcPr>
          <w:p w14:paraId="23D0A2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2E781B1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以完整记录区分并登记</w:t>
            </w:r>
          </w:p>
        </w:tc>
      </w:tr>
      <w:tr w14:paraId="19AB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F00E1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DQ-10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268D04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89131E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站台关联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33DC840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 型 98.78%；62 站台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1F1EED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0F5ADD1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关联不上的不参与空间分析</w:t>
            </w:r>
          </w:p>
        </w:tc>
      </w:tr>
      <w:tr w14:paraId="44F5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C822C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DQ-11</w:t>
            </w:r>
          </w:p>
        </w:tc>
        <w:tc>
          <w:tcPr>
            <w:tcW w:w="907" w:type="dxa"/>
            <w:vAlign w:val="center"/>
          </w:tcPr>
          <w:p w14:paraId="41BEB6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一致性</w:t>
            </w:r>
          </w:p>
        </w:tc>
        <w:tc>
          <w:tcPr>
            <w:tcW w:w="1587" w:type="dxa"/>
            <w:vAlign w:val="center"/>
          </w:tcPr>
          <w:p w14:paraId="147D95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GPS 采样/跳点</w:t>
            </w:r>
          </w:p>
        </w:tc>
        <w:tc>
          <w:tcPr>
            <w:tcW w:w="2494" w:type="dxa"/>
            <w:vAlign w:val="center"/>
          </w:tcPr>
          <w:p w14:paraId="1CF81AE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点距中位 92.3m，跳点 3.33%</w:t>
            </w:r>
          </w:p>
        </w:tc>
        <w:tc>
          <w:tcPr>
            <w:tcW w:w="794" w:type="dxa"/>
            <w:vAlign w:val="center"/>
          </w:tcPr>
          <w:p w14:paraId="0301DB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6B441AC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按阈值识别跳点</w:t>
            </w:r>
          </w:p>
        </w:tc>
      </w:tr>
      <w:tr w14:paraId="2951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4D7A1B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A2340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准确性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4BFD8B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站台定位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E794F9D">
            <w:pPr>
              <w:spacing w:before="40" w:after="4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9"/>
              </w:rPr>
              <w:t xml:space="preserve">站台定位离散中位 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160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9"/>
              </w:rPr>
              <w:t>m、P90 14.7m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CDB23C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3171AC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以中位数为准，标注低频站台</w:t>
            </w:r>
          </w:p>
        </w:tc>
      </w:tr>
      <w:tr w14:paraId="4DBD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BA1AD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DQ-13</w:t>
            </w:r>
          </w:p>
        </w:tc>
        <w:tc>
          <w:tcPr>
            <w:tcW w:w="907" w:type="dxa"/>
            <w:vAlign w:val="center"/>
          </w:tcPr>
          <w:p w14:paraId="631FB1A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准确性</w:t>
            </w:r>
          </w:p>
        </w:tc>
        <w:tc>
          <w:tcPr>
            <w:tcW w:w="1587" w:type="dxa"/>
            <w:vAlign w:val="center"/>
          </w:tcPr>
          <w:p w14:paraId="3663086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网格/区域归属</w:t>
            </w:r>
          </w:p>
        </w:tc>
        <w:tc>
          <w:tcPr>
            <w:tcW w:w="2494" w:type="dxa"/>
            <w:vAlign w:val="center"/>
          </w:tcPr>
          <w:p w14:paraId="077A1A8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8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 xml:space="preserve"> 网格，区域占比合理</w:t>
            </w:r>
          </w:p>
        </w:tc>
        <w:tc>
          <w:tcPr>
            <w:tcW w:w="794" w:type="dxa"/>
            <w:vAlign w:val="center"/>
          </w:tcPr>
          <w:p w14:paraId="252EBB6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52DEF81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037E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358EE0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DQ-14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AA692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794DE0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地理覆盖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08B0C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 xml:space="preserve">最密网格占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9"/>
              </w:rPr>
              <w:t>20.7%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，框内 99618</w:t>
            </w:r>
            <w:bookmarkStart w:id="0" w:name="_GoBack"/>
            <w:bookmarkEnd w:id="0"/>
          </w:p>
        </w:tc>
        <w:tc>
          <w:tcPr>
            <w:tcW w:w="794" w:type="dxa"/>
            <w:shd w:val="clear" w:color="auto" w:fill="F2F2F2"/>
            <w:vAlign w:val="center"/>
          </w:tcPr>
          <w:p w14:paraId="76441C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E6440A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5717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9962AC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  <w:tc>
          <w:tcPr>
            <w:tcW w:w="907" w:type="dxa"/>
            <w:vAlign w:val="center"/>
          </w:tcPr>
          <w:p w14:paraId="098F75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vAlign w:val="center"/>
          </w:tcPr>
          <w:p w14:paraId="0BEC71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样本口径</w:t>
            </w:r>
          </w:p>
        </w:tc>
        <w:tc>
          <w:tcPr>
            <w:tcW w:w="2494" w:type="dxa"/>
            <w:vAlign w:val="center"/>
          </w:tcPr>
          <w:p w14:paraId="2193B27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430 辆、车均 232.6 趟，仅载客</w:t>
            </w:r>
          </w:p>
        </w:tc>
        <w:tc>
          <w:tcPr>
            <w:tcW w:w="794" w:type="dxa"/>
            <w:vAlign w:val="center"/>
          </w:tcPr>
          <w:p w14:paraId="4B65D0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4C1ED10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结论限定出租车载客出行</w:t>
            </w:r>
          </w:p>
        </w:tc>
      </w:tr>
      <w:tr w14:paraId="50CC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0B43E0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DQ-16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F4E87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609D514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机场长尾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6537D5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机场内 59 趟（0.059%）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F8D87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63BBE3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改用完整数据集验证</w:t>
            </w:r>
          </w:p>
        </w:tc>
      </w:tr>
    </w:tbl>
    <w:p w14:paraId="19BF20CF">
      <w:r>
        <w:br w:type="page"/>
      </w:r>
    </w:p>
    <w:p w14:paraId="6CA9860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B　字段可信度字典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06E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47E075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5055AF0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41C33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可信度</w:t>
            </w:r>
          </w:p>
        </w:tc>
        <w:tc>
          <w:tcPr>
            <w:tcW w:w="4649" w:type="dxa"/>
            <w:shd w:val="clear" w:color="auto" w:fill="1F3864"/>
            <w:vAlign w:val="center"/>
          </w:tcPr>
          <w:p w14:paraId="765C008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依据与使用建议</w:t>
            </w:r>
          </w:p>
        </w:tc>
      </w:tr>
      <w:tr w14:paraId="2D7D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3F21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1928" w:type="dxa"/>
            <w:vAlign w:val="center"/>
          </w:tcPr>
          <w:p w14:paraId="6ECD2E0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行程标识</w:t>
            </w:r>
          </w:p>
        </w:tc>
        <w:tc>
          <w:tcPr>
            <w:tcW w:w="1020" w:type="dxa"/>
            <w:vAlign w:val="center"/>
          </w:tcPr>
          <w:p w14:paraId="74078A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7882418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99,992 唯一，8 对重复需登记（4.3）</w:t>
            </w:r>
          </w:p>
        </w:tc>
      </w:tr>
      <w:tr w14:paraId="5AF8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BA730C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25D7C7D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DD080C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30D5A56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取值规范，作为起点字段使用依据</w:t>
            </w:r>
          </w:p>
        </w:tc>
      </w:tr>
      <w:tr w14:paraId="7A4C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7BF004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</w:t>
            </w:r>
          </w:p>
        </w:tc>
        <w:tc>
          <w:tcPr>
            <w:tcW w:w="1928" w:type="dxa"/>
            <w:vAlign w:val="center"/>
          </w:tcPr>
          <w:p w14:paraId="56184D1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电话叫车起点</w:t>
            </w:r>
          </w:p>
        </w:tc>
        <w:tc>
          <w:tcPr>
            <w:tcW w:w="1020" w:type="dxa"/>
            <w:vAlign w:val="center"/>
          </w:tcPr>
          <w:p w14:paraId="44070A7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766B37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A 型有值，按类型使用</w:t>
            </w:r>
          </w:p>
        </w:tc>
      </w:tr>
      <w:tr w14:paraId="5A04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9C3497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450874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站台编号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68C444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1118BD4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B 型 98.78% 有值，按类型使用</w:t>
            </w:r>
          </w:p>
        </w:tc>
      </w:tr>
      <w:tr w14:paraId="1659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B9809B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1928" w:type="dxa"/>
            <w:vAlign w:val="center"/>
          </w:tcPr>
          <w:p w14:paraId="48412F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1020" w:type="dxa"/>
            <w:vAlign w:val="center"/>
          </w:tcPr>
          <w:p w14:paraId="5FB15FB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A6B1C4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辆，用于按车归并</w:t>
            </w:r>
          </w:p>
        </w:tc>
      </w:tr>
      <w:tr w14:paraId="77FB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7FA3B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16FA7E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 UTC 秒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B0720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5F4A2F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小时分布符合作息，转本地时间</w:t>
            </w:r>
          </w:p>
        </w:tc>
      </w:tr>
      <w:tr w14:paraId="443C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2B24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DAY_TYPE</w:t>
            </w:r>
          </w:p>
        </w:tc>
        <w:tc>
          <w:tcPr>
            <w:tcW w:w="1928" w:type="dxa"/>
            <w:vAlign w:val="center"/>
          </w:tcPr>
          <w:p w14:paraId="5D9D61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日类型</w:t>
            </w:r>
          </w:p>
        </w:tc>
        <w:tc>
          <w:tcPr>
            <w:tcW w:w="1020" w:type="dxa"/>
            <w:vAlign w:val="center"/>
          </w:tcPr>
          <w:p w14:paraId="093B8EC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126AA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全为 A，不参与区分</w:t>
            </w:r>
          </w:p>
        </w:tc>
      </w:tr>
      <w:tr w14:paraId="6B8A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88BFB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MISSING_DATA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07C18A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是否缺失点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DCE16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687E224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全为 False</w:t>
            </w:r>
          </w:p>
        </w:tc>
      </w:tr>
      <w:tr w14:paraId="27F9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47AAE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1928" w:type="dxa"/>
            <w:vAlign w:val="center"/>
          </w:tcPr>
          <w:p w14:paraId="0CA1D61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轨迹（15s）</w:t>
            </w:r>
          </w:p>
        </w:tc>
        <w:tc>
          <w:tcPr>
            <w:tcW w:w="1020" w:type="dxa"/>
            <w:vAlign w:val="center"/>
          </w:tcPr>
          <w:p w14:paraId="750037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3109FE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趟为空需剔除，跳点 3.33% 可识别</w:t>
            </w:r>
          </w:p>
        </w:tc>
      </w:tr>
    </w:tbl>
    <w:p w14:paraId="316C3167">
      <w:r>
        <w:br w:type="page"/>
      </w:r>
    </w:p>
    <w:p w14:paraId="62463B51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C　图表索引与复核说明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0D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C01CD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图号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417029C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图名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1D2DAB5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源文件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64A701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关联检查</w:t>
            </w:r>
          </w:p>
        </w:tc>
      </w:tr>
      <w:tr w14:paraId="0CC3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3CE57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1-1</w:t>
            </w:r>
          </w:p>
        </w:tc>
        <w:tc>
          <w:tcPr>
            <w:tcW w:w="2835" w:type="dxa"/>
            <w:vAlign w:val="center"/>
          </w:tcPr>
          <w:p w14:paraId="14F112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数据分层流转</w:t>
            </w:r>
          </w:p>
        </w:tc>
        <w:tc>
          <w:tcPr>
            <w:tcW w:w="2608" w:type="dxa"/>
            <w:vAlign w:val="center"/>
          </w:tcPr>
          <w:p w14:paraId="42992CD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R_图1-1（新绘）</w:t>
            </w:r>
          </w:p>
        </w:tc>
        <w:tc>
          <w:tcPr>
            <w:tcW w:w="2608" w:type="dxa"/>
            <w:vAlign w:val="center"/>
          </w:tcPr>
          <w:p w14:paraId="18B644B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1963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0B2989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2-1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94F71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质量维度汇总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B49E9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R_图2-1（新绘）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1DF508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DQ-01—16</w:t>
            </w:r>
          </w:p>
        </w:tc>
      </w:tr>
      <w:tr w14:paraId="259E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1F7D09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3-1</w:t>
            </w:r>
          </w:p>
        </w:tc>
        <w:tc>
          <w:tcPr>
            <w:tcW w:w="2835" w:type="dxa"/>
            <w:vAlign w:val="center"/>
          </w:tcPr>
          <w:p w14:paraId="4A888DA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各日趟次</w:t>
            </w:r>
          </w:p>
        </w:tc>
        <w:tc>
          <w:tcPr>
            <w:tcW w:w="2608" w:type="dxa"/>
            <w:vAlign w:val="center"/>
          </w:tcPr>
          <w:p w14:paraId="75764E2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D1_01</w:t>
            </w:r>
          </w:p>
        </w:tc>
        <w:tc>
          <w:tcPr>
            <w:tcW w:w="2608" w:type="dxa"/>
            <w:vAlign w:val="center"/>
          </w:tcPr>
          <w:p w14:paraId="711BED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</w:tr>
      <w:tr w14:paraId="0ACE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8BB15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3-2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5635A6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小时趟次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0CF41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D1_02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C0F60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</w:tr>
      <w:tr w14:paraId="4823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35CE6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4-1</w:t>
            </w:r>
          </w:p>
        </w:tc>
        <w:tc>
          <w:tcPr>
            <w:tcW w:w="2835" w:type="dxa"/>
            <w:vAlign w:val="center"/>
          </w:tcPr>
          <w:p w14:paraId="4A2648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字段缺失率</w:t>
            </w:r>
          </w:p>
        </w:tc>
        <w:tc>
          <w:tcPr>
            <w:tcW w:w="2608" w:type="dxa"/>
            <w:vAlign w:val="center"/>
          </w:tcPr>
          <w:p w14:paraId="3AC13DB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D2_01</w:t>
            </w:r>
          </w:p>
        </w:tc>
        <w:tc>
          <w:tcPr>
            <w:tcW w:w="2608" w:type="dxa"/>
            <w:vAlign w:val="center"/>
          </w:tcPr>
          <w:p w14:paraId="4BD92F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DQ-02/03/04</w:t>
            </w:r>
          </w:p>
        </w:tc>
      </w:tr>
      <w:tr w14:paraId="084A7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C18A5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5-1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3336E55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清洗瀑布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03FF2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09E8148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DQ-03/07/08</w:t>
            </w:r>
          </w:p>
        </w:tc>
      </w:tr>
      <w:tr w14:paraId="2390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FF7AC0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5-2</w:t>
            </w:r>
          </w:p>
        </w:tc>
        <w:tc>
          <w:tcPr>
            <w:tcW w:w="2835" w:type="dxa"/>
            <w:vAlign w:val="center"/>
          </w:tcPr>
          <w:p w14:paraId="5FDF7C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相邻趟次间隔</w:t>
            </w:r>
          </w:p>
        </w:tc>
        <w:tc>
          <w:tcPr>
            <w:tcW w:w="2608" w:type="dxa"/>
            <w:vAlign w:val="center"/>
          </w:tcPr>
          <w:p w14:paraId="2A517C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D2_03</w:t>
            </w:r>
          </w:p>
        </w:tc>
        <w:tc>
          <w:tcPr>
            <w:tcW w:w="2608" w:type="dxa"/>
            <w:vAlign w:val="center"/>
          </w:tcPr>
          <w:p w14:paraId="3B0E82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5E8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639898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220D5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站台发车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62928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D3_01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53BE4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DQ-10</w:t>
            </w:r>
          </w:p>
        </w:tc>
      </w:tr>
      <w:tr w14:paraId="31BC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296EC7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6-2</w:t>
            </w:r>
          </w:p>
        </w:tc>
        <w:tc>
          <w:tcPr>
            <w:tcW w:w="2835" w:type="dxa"/>
            <w:vAlign w:val="center"/>
          </w:tcPr>
          <w:p w14:paraId="6A7E2C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网格热力</w:t>
            </w:r>
          </w:p>
        </w:tc>
        <w:tc>
          <w:tcPr>
            <w:tcW w:w="2608" w:type="dxa"/>
            <w:vAlign w:val="center"/>
          </w:tcPr>
          <w:p w14:paraId="275F0A4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D3_02</w:t>
            </w:r>
          </w:p>
        </w:tc>
        <w:tc>
          <w:tcPr>
            <w:tcW w:w="2608" w:type="dxa"/>
            <w:vAlign w:val="center"/>
          </w:tcPr>
          <w:p w14:paraId="17219D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DQ-14</w:t>
            </w:r>
          </w:p>
        </w:tc>
      </w:tr>
      <w:tr w14:paraId="79224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E5450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6423D1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站台间距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E53DB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D3_03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01778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DQ-12</w:t>
            </w:r>
          </w:p>
        </w:tc>
      </w:tr>
      <w:tr w14:paraId="63E4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0296B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7-1</w:t>
            </w:r>
          </w:p>
        </w:tc>
        <w:tc>
          <w:tcPr>
            <w:tcW w:w="2835" w:type="dxa"/>
            <w:vAlign w:val="center"/>
          </w:tcPr>
          <w:p w14:paraId="7E8831D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热点空间</w:t>
            </w:r>
          </w:p>
        </w:tc>
        <w:tc>
          <w:tcPr>
            <w:tcW w:w="2608" w:type="dxa"/>
            <w:vAlign w:val="center"/>
          </w:tcPr>
          <w:p w14:paraId="128D89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D4_01</w:t>
            </w:r>
          </w:p>
        </w:tc>
        <w:tc>
          <w:tcPr>
            <w:tcW w:w="2608" w:type="dxa"/>
            <w:vAlign w:val="center"/>
          </w:tcPr>
          <w:p w14:paraId="69F580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17AC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5FD5D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88E096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离热点距离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B18E8F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F37A13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311D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952DEE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7-3</w:t>
            </w:r>
          </w:p>
        </w:tc>
        <w:tc>
          <w:tcPr>
            <w:tcW w:w="2835" w:type="dxa"/>
            <w:vAlign w:val="center"/>
          </w:tcPr>
          <w:p w14:paraId="09238E1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热点小时</w:t>
            </w:r>
          </w:p>
        </w:tc>
        <w:tc>
          <w:tcPr>
            <w:tcW w:w="2608" w:type="dxa"/>
            <w:vAlign w:val="center"/>
          </w:tcPr>
          <w:p w14:paraId="519F40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D4_03</w:t>
            </w:r>
          </w:p>
        </w:tc>
        <w:tc>
          <w:tcPr>
            <w:tcW w:w="2608" w:type="dxa"/>
            <w:vAlign w:val="center"/>
          </w:tcPr>
          <w:p w14:paraId="672774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6B018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4DBC2B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7-4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A1930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潮汐矩阵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57BB5B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D4_04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5AAFF6B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6CCE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18403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7-5</w:t>
            </w:r>
          </w:p>
        </w:tc>
        <w:tc>
          <w:tcPr>
            <w:tcW w:w="2835" w:type="dxa"/>
            <w:vAlign w:val="center"/>
          </w:tcPr>
          <w:p w14:paraId="180809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各时刻分布</w:t>
            </w:r>
          </w:p>
        </w:tc>
        <w:tc>
          <w:tcPr>
            <w:tcW w:w="2608" w:type="dxa"/>
            <w:vAlign w:val="center"/>
          </w:tcPr>
          <w:p w14:paraId="192D4ED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D4_05</w:t>
            </w:r>
          </w:p>
        </w:tc>
        <w:tc>
          <w:tcPr>
            <w:tcW w:w="2608" w:type="dxa"/>
            <w:vAlign w:val="center"/>
          </w:tcPr>
          <w:p w14:paraId="571B55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2528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03B5C9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8-1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6AF76F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流水线耗时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43794D2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D5_01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081530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2E99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984BE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8-2</w:t>
            </w:r>
          </w:p>
        </w:tc>
        <w:tc>
          <w:tcPr>
            <w:tcW w:w="2835" w:type="dxa"/>
            <w:vAlign w:val="center"/>
          </w:tcPr>
          <w:p w14:paraId="23D7FB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GPS 漂移</w:t>
            </w:r>
          </w:p>
        </w:tc>
        <w:tc>
          <w:tcPr>
            <w:tcW w:w="2608" w:type="dxa"/>
            <w:vAlign w:val="center"/>
          </w:tcPr>
          <w:p w14:paraId="472677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D6_02</w:t>
            </w:r>
          </w:p>
        </w:tc>
        <w:tc>
          <w:tcPr>
            <w:tcW w:w="2608" w:type="dxa"/>
            <w:vAlign w:val="center"/>
          </w:tcPr>
          <w:p w14:paraId="458E63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</w:tbl>
    <w:p w14:paraId="5DBCFA3F">
      <w:pPr>
        <w:spacing w:before="8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复核说明：本报告全部图均为本项目按 docs/图表规范.md 重绘（200dpi、开源字体、结论式标题、地图长宽比校正），数字经代码读回与结果表核对，未沿用早期测试稿。</w:t>
      </w:r>
    </w:p>
    <w:p w14:paraId="62B9C747">
      <w:r>
        <w:br w:type="page"/>
      </w:r>
    </w:p>
    <w:p w14:paraId="38465089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D　术语与缩写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AC3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6C3C35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6F7545B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0179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F3E24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 TRIP</w:t>
            </w:r>
          </w:p>
        </w:tc>
        <w:tc>
          <w:tcPr>
            <w:tcW w:w="6803" w:type="dxa"/>
            <w:vAlign w:val="center"/>
          </w:tcPr>
          <w:p w14:paraId="29FF2C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一趟完整的载客出行，由 TRIP_ID 标识</w:t>
            </w:r>
          </w:p>
        </w:tc>
      </w:tr>
      <w:tr w14:paraId="05EA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CA7188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773C660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车辆（司机）标识</w:t>
            </w:r>
          </w:p>
        </w:tc>
      </w:tr>
      <w:tr w14:paraId="43C3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0AE5F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6803" w:type="dxa"/>
            <w:vAlign w:val="center"/>
          </w:tcPr>
          <w:p w14:paraId="4EDD7C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轨迹，相邻点标称间隔 15 秒</w:t>
            </w:r>
          </w:p>
        </w:tc>
      </w:tr>
      <w:tr w14:paraId="2A78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130BE9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 STAND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4158B8B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出租车固定候客点，共 62 个</w:t>
            </w:r>
          </w:p>
        </w:tc>
      </w:tr>
      <w:tr w14:paraId="6322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F980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6803" w:type="dxa"/>
            <w:vAlign w:val="center"/>
          </w:tcPr>
          <w:p w14:paraId="099FD12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叫车类型：A 电话、B 站台、C 随机拦车</w:t>
            </w:r>
          </w:p>
        </w:tc>
      </w:tr>
      <w:tr w14:paraId="4FEF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EC7B2C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ODS/DWD/DIM/ADS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602753C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数据分层：原始 / 明细 / 维度 / 应用</w:t>
            </w:r>
          </w:p>
        </w:tc>
      </w:tr>
      <w:tr w14:paraId="3423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0EFDF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</w:t>
            </w:r>
          </w:p>
        </w:tc>
        <w:tc>
          <w:tcPr>
            <w:tcW w:w="6803" w:type="dxa"/>
            <w:vAlign w:val="center"/>
          </w:tcPr>
          <w:p w14:paraId="0A4AC0C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都市区 1km 方格，用于空间聚合</w:t>
            </w:r>
          </w:p>
        </w:tc>
      </w:tr>
      <w:tr w14:paraId="2C08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13899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ECDF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0F6499C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经验累计分布函数</w:t>
            </w:r>
          </w:p>
        </w:tc>
      </w:tr>
      <w:tr w14:paraId="547F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6667B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跳点</w:t>
            </w:r>
          </w:p>
        </w:tc>
        <w:tc>
          <w:tcPr>
            <w:tcW w:w="6803" w:type="dxa"/>
            <w:vAlign w:val="center"/>
          </w:tcPr>
          <w:p w14:paraId="24F6332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相邻 GPS 点距离异常大（&gt;420m），多为漂移</w:t>
            </w:r>
          </w:p>
        </w:tc>
      </w:tr>
      <w:tr w14:paraId="08D5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BBFA2B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锚点法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2C2E4DF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以连续点在固定半径内、持续达最短时长来识别停留</w:t>
            </w:r>
          </w:p>
        </w:tc>
      </w:tr>
      <w:tr w14:paraId="3A7E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FE49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幂等</w:t>
            </w:r>
          </w:p>
        </w:tc>
        <w:tc>
          <w:tcPr>
            <w:tcW w:w="6803" w:type="dxa"/>
            <w:vAlign w:val="center"/>
          </w:tcPr>
          <w:p w14:paraId="40352C8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同一操作重复执行，结果与执行一次相同</w:t>
            </w:r>
          </w:p>
        </w:tc>
      </w:tr>
    </w:tbl>
    <w:p w14:paraId="2CDA39E0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0F38">
    <w:pPr>
      <w:pStyle w:val="24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I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DB1C8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024FB2"/>
    <w:rsid w:val="66C46FB7"/>
    <w:rsid w:val="7C55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935</Words>
  <Characters>1371</Characters>
  <Lines>0</Lines>
  <Paragraphs>0</Paragraphs>
  <TotalTime>19</TotalTime>
  <ScaleCrop>false</ScaleCrop>
  <LinksUpToDate>false</LinksUpToDate>
  <CharactersWithSpaces>1527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venom</cp:lastModifiedBy>
  <dcterms:modified xsi:type="dcterms:W3CDTF">2026-10-22T08:17:28Z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eyJoZGlkIjoiNDIxZDdiNjhlMTVjMGViODk2ZTYzNWZiNmI5MWE3N2UiLCJ1c2VySWQiOiI5Mzk4MjQ2NDQifQ==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CB05F8BB84BE431CAFB91C33278649E6_12</vt:lpwstr>
  </property>
</Properties>
</file>