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BB73C">
      <w:pPr>
        <w:spacing w:before="0" w:after="40" w:line="240" w:lineRule="auto"/>
        <w:jc w:val="right"/>
      </w:pPr>
      <w:r>
        <w:rPr>
          <w:rFonts w:ascii="Times New Roman" w:hAnsi="Times New Roman" w:eastAsia="宋体"/>
          <w:b w:val="0"/>
          <w:color w:val="000000"/>
          <w:sz w:val="22"/>
        </w:rPr>
        <w:t>文档编号：TAXI-DQ-2026-001</w:t>
      </w:r>
    </w:p>
    <w:p w14:paraId="216CAE5D">
      <w:pPr>
        <w:spacing w:before="0" w:after="600" w:line="240" w:lineRule="auto"/>
        <w:jc w:val="right"/>
      </w:pPr>
      <w:r>
        <w:rPr>
          <w:rFonts w:ascii="Times New Roman" w:hAnsi="Times New Roman" w:eastAsia="宋体"/>
          <w:b w:val="0"/>
          <w:color w:val="000000"/>
          <w:sz w:val="22"/>
        </w:rPr>
        <w:t>密　　级：内部</w:t>
      </w:r>
    </w:p>
    <w:p w14:paraId="08C5BA8D">
      <w:pPr>
        <w:spacing w:before="0" w:after="200" w:line="440" w:lineRule="exact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DATA QUALITY ASSESSMENT REPORT</w:t>
      </w:r>
    </w:p>
    <w:p w14:paraId="232A0B08">
      <w:pPr>
        <w:spacing w:before="0" w:after="80" w:line="440" w:lineRule="exact"/>
        <w:jc w:val="center"/>
        <w:rPr>
          <w:sz w:val="20"/>
          <w:szCs w:val="18"/>
        </w:rPr>
      </w:pPr>
      <w:r>
        <w:rPr>
          <w:rFonts w:ascii="Times New Roman" w:hAnsi="Times New Roman" w:eastAsia="宋体"/>
          <w:b/>
          <w:color w:val="000000"/>
          <w:sz w:val="40"/>
          <w:szCs w:val="18"/>
        </w:rPr>
        <w:t>波尔图出租车轨迹数据</w:t>
      </w:r>
    </w:p>
    <w:p w14:paraId="247C3947">
      <w:pPr>
        <w:spacing w:before="0" w:after="240" w:line="440" w:lineRule="exact"/>
        <w:jc w:val="center"/>
      </w:pPr>
      <w:r>
        <w:rPr>
          <w:rFonts w:ascii="Times New Roman" w:hAnsi="Times New Roman" w:eastAsia="宋体"/>
          <w:b/>
          <w:color w:val="000000"/>
          <w:sz w:val="32"/>
          <w:szCs w:val="18"/>
        </w:rPr>
        <w:t>数据质量分析报告</w:t>
      </w:r>
    </w:p>
    <w:p w14:paraId="35C71A67">
      <w:pPr>
        <w:spacing w:before="0" w:after="60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Data Quality Assessment of Porto Taxi Trajectory Sample (train_100k, ECML/PKDD 2015)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90"/>
      </w:tblGrid>
      <w:tr w14:paraId="21E09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3864"/>
            <w:vAlign w:val="center"/>
          </w:tcPr>
          <w:p w14:paraId="02E381D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数据集名称</w:t>
            </w:r>
          </w:p>
        </w:tc>
        <w:tc>
          <w:tcPr>
            <w:tcW w:w="6690" w:type="dxa"/>
            <w:shd w:val="clear" w:color="auto" w:fill="1F3864"/>
            <w:vAlign w:val="center"/>
          </w:tcPr>
          <w:p w14:paraId="6796761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波尔图出租车轨迹样本（train_100k，公开脱敏）</w:t>
            </w:r>
          </w:p>
        </w:tc>
      </w:tr>
      <w:tr w14:paraId="4150E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5C08D89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数据时间</w:t>
            </w:r>
          </w:p>
        </w:tc>
        <w:tc>
          <w:tcPr>
            <w:tcW w:w="6690" w:type="dxa"/>
            <w:vAlign w:val="center"/>
          </w:tcPr>
          <w:p w14:paraId="2F39C3A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2013-07-01 至 07-21（葡萄牙里斯本夏令时）</w:t>
            </w:r>
          </w:p>
        </w:tc>
      </w:tr>
      <w:tr w14:paraId="0CAF1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02D8B64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评估对象</w:t>
            </w:r>
          </w:p>
        </w:tc>
        <w:tc>
          <w:tcPr>
            <w:tcW w:w="6690" w:type="dxa"/>
            <w:vAlign w:val="center"/>
          </w:tcPr>
          <w:p w14:paraId="5E06A1A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train_100k.csv 原始文件及加工结果（DWD/DIM/ADS）</w:t>
            </w:r>
          </w:p>
        </w:tc>
      </w:tr>
      <w:tr w14:paraId="41403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4CA4CBA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报告版本</w:t>
            </w:r>
          </w:p>
        </w:tc>
        <w:tc>
          <w:tcPr>
            <w:tcW w:w="6690" w:type="dxa"/>
            <w:vAlign w:val="center"/>
          </w:tcPr>
          <w:p w14:paraId="134DE12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</w:tr>
      <w:tr w14:paraId="590B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2D7D6A4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编制单位</w:t>
            </w:r>
          </w:p>
        </w:tc>
        <w:tc>
          <w:tcPr>
            <w:tcW w:w="6690" w:type="dxa"/>
            <w:vAlign w:val="center"/>
          </w:tcPr>
          <w:p w14:paraId="455FCAF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数据分析组</w:t>
            </w:r>
          </w:p>
        </w:tc>
      </w:tr>
      <w:tr w14:paraId="1146C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5999B89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编制日期</w:t>
            </w:r>
          </w:p>
        </w:tc>
        <w:tc>
          <w:tcPr>
            <w:tcW w:w="6690" w:type="dxa"/>
            <w:vAlign w:val="center"/>
          </w:tcPr>
          <w:p w14:paraId="6A0C824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 年 10 月 19 日</w:t>
            </w:r>
          </w:p>
        </w:tc>
      </w:tr>
    </w:tbl>
    <w:p w14:paraId="4D66B0EE">
      <w:pPr>
        <w:spacing w:before="0" w:after="600" w:line="360" w:lineRule="auto"/>
        <w:jc w:val="both"/>
      </w:pPr>
    </w:p>
    <w:p w14:paraId="4CB2A1C3">
      <w:pPr>
        <w:spacing w:before="0" w:after="40" w:line="440" w:lineRule="exact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数据分析组</w:t>
      </w:r>
    </w:p>
    <w:p w14:paraId="1323A9E0">
      <w:pPr>
        <w:spacing w:before="0" w:after="0" w:line="440" w:lineRule="exact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二〇二六年十月</w:t>
      </w:r>
    </w:p>
    <w:p w14:paraId="3D249B33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B790D80">
      <w:pPr>
        <w:keepNext/>
        <w:spacing w:before="280" w:after="120" w:line="440" w:lineRule="exact"/>
      </w:pPr>
      <w:r>
        <w:rPr>
          <w:rFonts w:ascii="Times New Roman" w:hAnsi="Times New Roman" w:eastAsia="黑体"/>
          <w:b/>
          <w:color w:val="000000"/>
          <w:sz w:val="32"/>
        </w:rPr>
        <w:t>文 档 信 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9F6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F3864"/>
            <w:vAlign w:val="center"/>
          </w:tcPr>
          <w:p w14:paraId="563AA0C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w="6690" w:type="dxa"/>
            <w:shd w:val="clear" w:color="auto" w:fill="1F3864"/>
            <w:vAlign w:val="center"/>
          </w:tcPr>
          <w:p w14:paraId="00A2766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内容</w:t>
            </w:r>
          </w:p>
        </w:tc>
      </w:tr>
      <w:tr w14:paraId="32D7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12CFD9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文档名称</w:t>
            </w:r>
          </w:p>
        </w:tc>
        <w:tc>
          <w:tcPr>
            <w:tcW w:w="6690" w:type="dxa"/>
            <w:vAlign w:val="center"/>
          </w:tcPr>
          <w:p w14:paraId="6748177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波尔图出租车轨迹数据质量分析报告</w:t>
            </w:r>
          </w:p>
        </w:tc>
      </w:tr>
      <w:tr w14:paraId="4A0A9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21AB67D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文档编号</w:t>
            </w:r>
          </w:p>
        </w:tc>
        <w:tc>
          <w:tcPr>
            <w:tcW w:w="6690" w:type="dxa"/>
            <w:shd w:val="clear" w:color="auto" w:fill="F2F2F2"/>
            <w:vAlign w:val="center"/>
          </w:tcPr>
          <w:p w14:paraId="05E5095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TAXI-DQ-2026-001</w:t>
            </w:r>
          </w:p>
        </w:tc>
      </w:tr>
      <w:tr w14:paraId="5393F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6A82DF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 本 号</w:t>
            </w:r>
          </w:p>
        </w:tc>
        <w:tc>
          <w:tcPr>
            <w:tcW w:w="6690" w:type="dxa"/>
            <w:vAlign w:val="center"/>
          </w:tcPr>
          <w:p w14:paraId="29EFECC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</w:tr>
      <w:tr w14:paraId="0BDB8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28A7A8F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　　级</w:t>
            </w:r>
          </w:p>
        </w:tc>
        <w:tc>
          <w:tcPr>
            <w:tcW w:w="6690" w:type="dxa"/>
            <w:shd w:val="clear" w:color="auto" w:fill="F2F2F2"/>
            <w:vAlign w:val="center"/>
          </w:tcPr>
          <w:p w14:paraId="25C56EA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内部</w:t>
            </w:r>
          </w:p>
        </w:tc>
      </w:tr>
      <w:tr w14:paraId="61D02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56B133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评估数据</w:t>
            </w:r>
          </w:p>
        </w:tc>
        <w:tc>
          <w:tcPr>
            <w:tcW w:w="6690" w:type="dxa"/>
            <w:vAlign w:val="center"/>
          </w:tcPr>
          <w:p w14:paraId="256D615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train_100k.csv（ECML/PKDD 2015 出租车轨迹 100k 子集）</w:t>
            </w:r>
          </w:p>
        </w:tc>
      </w:tr>
      <w:tr w14:paraId="44C5F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6A0B8A1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　　制</w:t>
            </w:r>
          </w:p>
        </w:tc>
        <w:tc>
          <w:tcPr>
            <w:tcW w:w="6690" w:type="dxa"/>
            <w:shd w:val="clear" w:color="auto" w:fill="F2F2F2"/>
            <w:vAlign w:val="center"/>
          </w:tcPr>
          <w:p w14:paraId="1E19C8D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数据分析组</w:t>
            </w:r>
          </w:p>
        </w:tc>
      </w:tr>
      <w:tr w14:paraId="6F65E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CAD3D8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　　核</w:t>
            </w:r>
          </w:p>
        </w:tc>
        <w:tc>
          <w:tcPr>
            <w:tcW w:w="6690" w:type="dxa"/>
            <w:vAlign w:val="center"/>
          </w:tcPr>
          <w:p w14:paraId="09359551">
            <w:pPr>
              <w:spacing w:before="40" w:after="4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吕宛泽</w:t>
            </w:r>
          </w:p>
        </w:tc>
      </w:tr>
      <w:tr w14:paraId="29D2E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7DEA50C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　　准</w:t>
            </w:r>
          </w:p>
        </w:tc>
        <w:tc>
          <w:tcPr>
            <w:tcW w:w="6690" w:type="dxa"/>
            <w:shd w:val="clear" w:color="auto" w:fill="F2F2F2"/>
            <w:vAlign w:val="center"/>
          </w:tcPr>
          <w:p w14:paraId="4EE86EC9">
            <w:pPr>
              <w:spacing w:before="40" w:after="40" w:line="240" w:lineRule="auto"/>
              <w:jc w:val="left"/>
            </w:pPr>
          </w:p>
        </w:tc>
      </w:tr>
      <w:tr w14:paraId="6E5F7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C4E196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发布日期</w:t>
            </w:r>
          </w:p>
        </w:tc>
        <w:tc>
          <w:tcPr>
            <w:tcW w:w="6690" w:type="dxa"/>
            <w:vAlign w:val="center"/>
          </w:tcPr>
          <w:p w14:paraId="1939873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2026-10-19</w:t>
            </w:r>
          </w:p>
        </w:tc>
      </w:tr>
    </w:tbl>
    <w:p w14:paraId="329F0783">
      <w:pPr>
        <w:spacing w:before="0" w:after="120" w:line="360" w:lineRule="auto"/>
        <w:jc w:val="both"/>
      </w:pPr>
    </w:p>
    <w:p w14:paraId="5545C590">
      <w:pPr>
        <w:keepNext/>
        <w:spacing w:before="220" w:after="100" w:line="440" w:lineRule="exact"/>
      </w:pPr>
      <w:r>
        <w:rPr>
          <w:rFonts w:ascii="Times New Roman" w:hAnsi="Times New Roman" w:eastAsia="黑体"/>
          <w:b/>
          <w:color w:val="000000"/>
          <w:sz w:val="28"/>
        </w:rPr>
        <w:t>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E85B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3864"/>
            <w:vAlign w:val="center"/>
          </w:tcPr>
          <w:p w14:paraId="5C79C09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版本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673DFAC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日期</w:t>
            </w:r>
          </w:p>
        </w:tc>
        <w:tc>
          <w:tcPr>
            <w:tcW w:w="5216" w:type="dxa"/>
            <w:shd w:val="clear" w:color="auto" w:fill="1F3864"/>
            <w:vAlign w:val="center"/>
          </w:tcPr>
          <w:p w14:paraId="5E7A98E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修订说明</w:t>
            </w:r>
          </w:p>
        </w:tc>
        <w:tc>
          <w:tcPr>
            <w:tcW w:w="1474" w:type="dxa"/>
            <w:shd w:val="clear" w:color="auto" w:fill="1F3864"/>
            <w:vAlign w:val="center"/>
          </w:tcPr>
          <w:p w14:paraId="082DCA8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修订人</w:t>
            </w:r>
          </w:p>
        </w:tc>
      </w:tr>
      <w:tr w14:paraId="1D58A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1E94C2F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  <w:tc>
          <w:tcPr>
            <w:tcW w:w="1361" w:type="dxa"/>
            <w:vAlign w:val="center"/>
          </w:tcPr>
          <w:p w14:paraId="2990DD2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2026-10-19</w:t>
            </w:r>
          </w:p>
        </w:tc>
        <w:tc>
          <w:tcPr>
            <w:tcW w:w="5216" w:type="dxa"/>
            <w:vAlign w:val="center"/>
          </w:tcPr>
          <w:p w14:paraId="1BCB9C2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首次发布。汇总 D1—D6 全部 16 项质量检查、清洗与流水线结果、样本代表性评估及图表复核结论。</w:t>
            </w:r>
          </w:p>
        </w:tc>
        <w:tc>
          <w:tcPr>
            <w:tcW w:w="1474" w:type="dxa"/>
            <w:vAlign w:val="center"/>
          </w:tcPr>
          <w:p w14:paraId="563B4EB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数据分析组</w:t>
            </w:r>
          </w:p>
        </w:tc>
      </w:tr>
    </w:tbl>
    <w:p w14:paraId="1A944074">
      <w:pPr>
        <w:spacing w:before="0" w:after="120" w:line="360" w:lineRule="auto"/>
        <w:jc w:val="both"/>
      </w:pPr>
    </w:p>
    <w:p w14:paraId="7EDA9A89">
      <w:pPr>
        <w:keepNext/>
        <w:spacing w:before="220" w:after="100" w:line="440" w:lineRule="exact"/>
      </w:pPr>
      <w:r>
        <w:rPr>
          <w:rFonts w:ascii="Times New Roman" w:hAnsi="Times New Roman" w:eastAsia="黑体"/>
          <w:b/>
          <w:color w:val="000000"/>
          <w:sz w:val="28"/>
        </w:rPr>
        <w:t>阅读说明</w:t>
      </w:r>
    </w:p>
    <w:p w14:paraId="264FA2CE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本报告中的数字均由脚本（compute_dq.py 及 D1—D6）从 train_100k.csv 计算得出，并通过代码把图表数值读回与中间结果核对；如正文与源图表存在出入，以正文和表格为准（图表复核见附录 C）。</w:t>
      </w:r>
    </w:p>
    <w:p w14:paraId="42D5BF2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质量状态分为“通过”“警告”“不通过”三级，判定标准见 1.3 节；检查编号 DQ-01 至 DQ-16 与稽核表一一对应。</w:t>
      </w:r>
    </w:p>
    <w:p w14:paraId="654DCF5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时间均为葡萄牙里斯本本地时间（数据时段为 7 月，夏令时 UTC+1）。百分比一般取整数或保留一位小数，小于 1% 的比例保留到第一位有效数字，不写作“0.0%”。</w:t>
      </w:r>
    </w:p>
    <w:p w14:paraId="2233E75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数据中的车辆、行程标识均为公开数据集的编号，不涉及个人隐私；本报告仅限项目组内部使用，未经许可不得外传。</w:t>
      </w:r>
    </w:p>
    <w:p w14:paraId="26A47CAE">
      <w:r>
        <w:br w:type="page"/>
      </w:r>
    </w:p>
    <w:p w14:paraId="5DCAF993">
      <w:pPr>
        <w:keepNext/>
        <w:spacing w:before="280" w:after="120" w:line="440" w:lineRule="exact"/>
      </w:pPr>
      <w:r>
        <w:rPr>
          <w:rFonts w:ascii="Times New Roman" w:hAnsi="Times New Roman" w:eastAsia="黑体"/>
          <w:b/>
          <w:color w:val="000000"/>
          <w:sz w:val="32"/>
        </w:rPr>
        <w:t>目　　录</w:t>
      </w:r>
    </w:p>
    <w:p w14:paraId="6C30EE4B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sz w:val="21"/>
        </w:rPr>
        <w:fldChar w:fldCharType="begin"/>
      </w:r>
      <w:r>
        <w:instrText xml:space="preserve"> TOC \o "1-2" \h \z \u </w:instrText>
      </w:r>
      <w:r>
        <w:rPr>
          <w:rFonts w:ascii="Times New Roman" w:hAnsi="Times New Roman" w:eastAsia="宋体"/>
          <w:sz w:val="21"/>
        </w:rPr>
        <w:fldChar w:fldCharType="separate"/>
      </w:r>
      <w:r>
        <w:rPr>
          <w:rFonts w:ascii="Times New Roman" w:hAnsi="Times New Roman" w:eastAsia="宋体"/>
          <w:b/>
          <w:sz w:val="21"/>
        </w:rPr>
        <w:t>1　报告概述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</w:t>
      </w:r>
    </w:p>
    <w:p w14:paraId="5AD2CF9E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1.1　编制目的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</w:t>
      </w:r>
    </w:p>
    <w:p w14:paraId="59C8BADC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1.2　评估范围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</w:t>
      </w:r>
    </w:p>
    <w:p w14:paraId="32D846FE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1.3　评估依据与方法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</w:t>
      </w:r>
    </w:p>
    <w:p w14:paraId="5D1761B7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1.4　数据处理流程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3</w:t>
      </w:r>
    </w:p>
    <w:p w14:paraId="66420DDF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2　评估结论摘要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3</w:t>
      </w:r>
    </w:p>
    <w:p w14:paraId="379962BA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2.1　总体结论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3</w:t>
      </w:r>
    </w:p>
    <w:p w14:paraId="4AF4B47E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2.2　主要发现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5</w:t>
      </w:r>
    </w:p>
    <w:p w14:paraId="3231C71E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2.3　数据适用性结论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6</w:t>
      </w:r>
    </w:p>
    <w:p w14:paraId="322D8743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2.4　优先事项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6</w:t>
      </w:r>
    </w:p>
    <w:p w14:paraId="19FC3D2D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3　数据概况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6</w:t>
      </w:r>
    </w:p>
    <w:p w14:paraId="032C9696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3.1　字段画像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6</w:t>
      </w:r>
    </w:p>
    <w:p w14:paraId="73D07878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3.2　时间覆盖（DQ-01）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7</w:t>
      </w:r>
    </w:p>
    <w:p w14:paraId="6F0FD03C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4　核心明细表质量评估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8</w:t>
      </w:r>
    </w:p>
    <w:p w14:paraId="713B3BBE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4.1　完整性（DQ-02、DQ-03、DQ-04）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8</w:t>
      </w:r>
    </w:p>
    <w:p w14:paraId="1310165D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4.2　规范性（DQ-05、DQ-06、DQ-07）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9</w:t>
      </w:r>
    </w:p>
    <w:p w14:paraId="0E3F0B9F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4.3　唯一性（DQ-08、DQ-09）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10</w:t>
      </w:r>
    </w:p>
    <w:p w14:paraId="532AA845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4.4　一致性（DQ-10、DQ-11）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10</w:t>
      </w:r>
    </w:p>
    <w:p w14:paraId="2EC8D36C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5　数据清洗与处理结果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10</w:t>
      </w:r>
    </w:p>
    <w:p w14:paraId="3D51A119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5.1　清洗规则与执行结果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10</w:t>
      </w:r>
    </w:p>
    <w:p w14:paraId="3BFDA769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5.2　明细表设计与数据合规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12</w:t>
      </w:r>
    </w:p>
    <w:p w14:paraId="28E92CC8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5.3　流水线化与可复现性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13</w:t>
      </w:r>
    </w:p>
    <w:p w14:paraId="5C5FD464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6　维度与参考数据质量评估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13</w:t>
      </w:r>
    </w:p>
    <w:p w14:paraId="1D125BA2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6.1　站台工参与关联（DQ-10）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13</w:t>
      </w:r>
    </w:p>
    <w:p w14:paraId="55351A00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6.2　地理覆盖范围（DQ-14）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14</w:t>
      </w:r>
    </w:p>
    <w:p w14:paraId="28E26655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6.3　站台定位与密度（DQ-12、DQ-13）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16</w:t>
      </w:r>
    </w:p>
    <w:p w14:paraId="4F26AFF1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7　样本代表性评估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16</w:t>
      </w:r>
    </w:p>
    <w:p w14:paraId="50C9ECBE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7.1　热点识别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17</w:t>
      </w:r>
    </w:p>
    <w:p w14:paraId="723747EC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7.2　距离阈值敏感性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17</w:t>
      </w:r>
    </w:p>
    <w:p w14:paraId="7C030B50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7.3　时间规律：热点小时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18</w:t>
      </w:r>
    </w:p>
    <w:p w14:paraId="563C5129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7.4　城市潮汐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19</w:t>
      </w:r>
    </w:p>
    <w:p w14:paraId="79813E46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7.5　样本口径（DQ-15）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22</w:t>
      </w:r>
    </w:p>
    <w:p w14:paraId="4B1973FC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7.6　机场长尾（DQ-16）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22</w:t>
      </w:r>
    </w:p>
    <w:p w14:paraId="73EB61C8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8　数据适用性评估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22</w:t>
      </w:r>
    </w:p>
    <w:p w14:paraId="4374A110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8.1　观测与处理性能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22</w:t>
      </w:r>
    </w:p>
    <w:p w14:paraId="5276E34B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8.2　适用范围与限制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23</w:t>
      </w:r>
    </w:p>
    <w:p w14:paraId="0FD2A45F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9　问题清单与整改建议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24</w:t>
      </w:r>
    </w:p>
    <w:p w14:paraId="7CAD64CD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9.1　问题清单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24</w:t>
      </w:r>
    </w:p>
    <w:p w14:paraId="24C91A86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9.2　需数据提供方确认的事项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24</w:t>
      </w:r>
    </w:p>
    <w:p w14:paraId="327D1EF8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9.3　持续质量监控建议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24</w:t>
      </w:r>
    </w:p>
    <w:p w14:paraId="03883629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10　结论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25</w:t>
      </w:r>
    </w:p>
    <w:p w14:paraId="0A5A2244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附录 A　数据质量检查明细表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26</w:t>
      </w:r>
    </w:p>
    <w:p w14:paraId="1086765A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附录 B　字段可信度字典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27</w:t>
      </w:r>
    </w:p>
    <w:p w14:paraId="7B64B220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附录 C　图表索引与复核说明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28</w:t>
      </w:r>
    </w:p>
    <w:p w14:paraId="041DA91E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附录 D　术语与缩写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29</w:t>
      </w:r>
      <w:r>
        <w:rPr>
          <w:rFonts w:ascii="Times New Roman" w:hAnsi="Times New Roman" w:eastAsia="宋体"/>
          <w:sz w:val="21"/>
        </w:rPr>
        <w:fldChar w:fldCharType="end"/>
      </w:r>
    </w:p>
    <w:p w14:paraId="64A79B79">
      <w:r>
        <w:br w:type="page"/>
      </w:r>
    </w:p>
    <w:p w14:paraId="74EA4DF1">
      <w:pPr>
        <w:sectPr>
          <w:footerReference r:id="rId5" w:type="default"/>
          <w:pgSz w:w="11906" w:h="16838"/>
          <w:pgMar w:top="1417" w:right="1417" w:bottom="1417" w:left="1417" w:header="720" w:footer="720" w:gutter="0"/>
          <w:pgNumType w:fmt="upperRoman" w:start="1"/>
          <w:cols w:space="720" w:num="1"/>
          <w:docGrid w:linePitch="360" w:charSpace="0"/>
        </w:sectPr>
      </w:pPr>
    </w:p>
    <w:p w14:paraId="46FC17EF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　报告概述</w:t>
      </w:r>
    </w:p>
    <w:p w14:paraId="304B517B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1.1　编制目的</w:t>
      </w:r>
    </w:p>
    <w:p w14:paraId="4D0010B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公开数据集 train_100k 记录了葡萄牙波尔图出租车 2013 年 7 月上中旬的 10 万趟载客轨迹。在开展轨迹挖掘、候客停留识别和运营规律分析之前，必须先回答三个问题：数据能不能用、能用在什么范围、使用之前要做哪些处理。</w:t>
      </w:r>
    </w:p>
    <w:p w14:paraId="3B8D37A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项目组按照“先验收、后分析”的原则开展系统性质量评估，目的有三：一是从完整性、规范性、唯一性、一致性、准确性、时效性和代表性七个维度逐项识别问题，并给出可复核的量化证据；二是记录每个问题的处理决定和清洗结果，确保后续分析口径可追溯、结果可复现；三是明确数据的适用边界，为“能回答什么、不能回答什么”提供依据。</w:t>
      </w:r>
    </w:p>
    <w:p w14:paraId="4E479DF7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1.2　评估范围</w:t>
      </w:r>
    </w:p>
    <w:p w14:paraId="2BE5EBF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评估对象为原始文件 train_100k.csv，以及评估过程中加工产生的明细层（DWD）、维度层（DIM）和应用层（ADS）结果，详见表 1-1。原始数据的时间跨度为 2013 年 7 月 1 日至 7 月 21 日。</w:t>
      </w:r>
    </w:p>
    <w:p w14:paraId="18A72F99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1-1　评估对象一览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73569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1F3864"/>
            <w:vAlign w:val="center"/>
          </w:tcPr>
          <w:p w14:paraId="2D07551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对象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4667FE2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数据层</w:t>
            </w:r>
          </w:p>
        </w:tc>
        <w:tc>
          <w:tcPr>
            <w:tcW w:w="1587" w:type="dxa"/>
            <w:shd w:val="clear" w:color="auto" w:fill="1F3864"/>
            <w:vAlign w:val="center"/>
          </w:tcPr>
          <w:p w14:paraId="08833DF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规模</w:t>
            </w:r>
          </w:p>
        </w:tc>
        <w:tc>
          <w:tcPr>
            <w:tcW w:w="2948" w:type="dxa"/>
            <w:shd w:val="clear" w:color="auto" w:fill="1F3864"/>
            <w:vAlign w:val="center"/>
          </w:tcPr>
          <w:p w14:paraId="53A80C7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内容说明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3C3DEE9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评估重点</w:t>
            </w:r>
          </w:p>
        </w:tc>
      </w:tr>
      <w:tr w14:paraId="06641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37DF3D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train_100k.csv</w:t>
            </w:r>
          </w:p>
        </w:tc>
        <w:tc>
          <w:tcPr>
            <w:tcW w:w="907" w:type="dxa"/>
            <w:vAlign w:val="center"/>
          </w:tcPr>
          <w:p w14:paraId="2F79D84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ODS</w:t>
            </w:r>
          </w:p>
        </w:tc>
        <w:tc>
          <w:tcPr>
            <w:tcW w:w="1587" w:type="dxa"/>
            <w:vAlign w:val="center"/>
          </w:tcPr>
          <w:p w14:paraId="48132DA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100,000 行 × 9 列</w:t>
            </w:r>
          </w:p>
        </w:tc>
        <w:tc>
          <w:tcPr>
            <w:tcW w:w="2948" w:type="dxa"/>
            <w:vAlign w:val="center"/>
          </w:tcPr>
          <w:p w14:paraId="120A832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行程记录：一趟载客行程的叫车类型、起点编号、时间与 GPS 轨迹</w:t>
            </w:r>
          </w:p>
        </w:tc>
        <w:tc>
          <w:tcPr>
            <w:tcW w:w="2041" w:type="dxa"/>
            <w:vAlign w:val="center"/>
          </w:tcPr>
          <w:p w14:paraId="0E6E666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七个维度全面评估</w:t>
            </w:r>
          </w:p>
        </w:tc>
      </w:tr>
      <w:tr w14:paraId="55D37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2F2F2"/>
            <w:vAlign w:val="center"/>
          </w:tcPr>
          <w:p w14:paraId="295F87D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dwd_trip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510063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DWD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7CD5A40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99,618 趟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3EA650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清洗后的行程明细（含起终点、网格、区域）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448D1C1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清洗结果核对</w:t>
            </w:r>
          </w:p>
        </w:tc>
      </w:tr>
      <w:tr w14:paraId="3AE7E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0147DFB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dim_stand</w:t>
            </w:r>
          </w:p>
        </w:tc>
        <w:tc>
          <w:tcPr>
            <w:tcW w:w="907" w:type="dxa"/>
            <w:vAlign w:val="center"/>
          </w:tcPr>
          <w:p w14:paraId="6E69DC6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DIM</w:t>
            </w:r>
          </w:p>
        </w:tc>
        <w:tc>
          <w:tcPr>
            <w:tcW w:w="1587" w:type="dxa"/>
            <w:vAlign w:val="center"/>
          </w:tcPr>
          <w:p w14:paraId="25BE85B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个</w:t>
            </w:r>
          </w:p>
        </w:tc>
        <w:tc>
          <w:tcPr>
            <w:tcW w:w="2948" w:type="dxa"/>
            <w:vAlign w:val="center"/>
          </w:tcPr>
          <w:p w14:paraId="79392E5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候客站台维表（由发车首点反推坐标）</w:t>
            </w:r>
          </w:p>
        </w:tc>
        <w:tc>
          <w:tcPr>
            <w:tcW w:w="2041" w:type="dxa"/>
            <w:vAlign w:val="center"/>
          </w:tcPr>
          <w:p w14:paraId="6C4C3BE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定位准确性</w:t>
            </w:r>
          </w:p>
        </w:tc>
      </w:tr>
      <w:tr w14:paraId="1A7E9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2F2F2"/>
            <w:vAlign w:val="center"/>
          </w:tcPr>
          <w:p w14:paraId="37BB5E4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ads 聚合结果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FE3E86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ADS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5491E55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224F5C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网格、区域、潮汐、停留等非个人粒度结果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0DC31A8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样本代表性</w:t>
            </w:r>
          </w:p>
        </w:tc>
      </w:tr>
    </w:tbl>
    <w:p w14:paraId="25D68FEC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1.3　评估依据与方法</w:t>
      </w:r>
    </w:p>
    <w:p w14:paraId="626A46A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评估维度参考 GB/T 36344—2018《信息技术 数据质量评价指标》及 DAMA 数据管理知识体系中的通用质量维度，并结合出租车轨迹数据的特点评估“代表性”。各维度定义与本次检查内容见表 1-2。</w:t>
      </w:r>
    </w:p>
    <w:p w14:paraId="2854C519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1-2　质量维度定义与检查内容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2A34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3864"/>
            <w:vAlign w:val="center"/>
          </w:tcPr>
          <w:p w14:paraId="5BD9B9B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维度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095B161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定义</w:t>
            </w:r>
          </w:p>
        </w:tc>
        <w:tc>
          <w:tcPr>
            <w:tcW w:w="4309" w:type="dxa"/>
            <w:shd w:val="clear" w:color="auto" w:fill="1F3864"/>
            <w:vAlign w:val="center"/>
          </w:tcPr>
          <w:p w14:paraId="348B914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本次检查内容（编号）</w:t>
            </w:r>
          </w:p>
        </w:tc>
        <w:tc>
          <w:tcPr>
            <w:tcW w:w="680" w:type="dxa"/>
            <w:shd w:val="clear" w:color="auto" w:fill="1F3864"/>
            <w:vAlign w:val="center"/>
          </w:tcPr>
          <w:p w14:paraId="7AA316D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项数</w:t>
            </w:r>
          </w:p>
        </w:tc>
      </w:tr>
      <w:tr w14:paraId="0E3F7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392218A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完整性</w:t>
            </w:r>
          </w:p>
        </w:tc>
        <w:tc>
          <w:tcPr>
            <w:tcW w:w="2494" w:type="dxa"/>
            <w:vAlign w:val="center"/>
          </w:tcPr>
          <w:p w14:paraId="4C3FCF1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应有的数据是否存在、是否为空</w:t>
            </w:r>
          </w:p>
        </w:tc>
        <w:tc>
          <w:tcPr>
            <w:tcW w:w="4309" w:type="dxa"/>
            <w:vAlign w:val="center"/>
          </w:tcPr>
          <w:p w14:paraId="5B66765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结构性字段缺失（DQ-02）、空轨迹（DQ-03）、关键列缺失（DQ-04）</w:t>
            </w:r>
          </w:p>
        </w:tc>
        <w:tc>
          <w:tcPr>
            <w:tcW w:w="680" w:type="dxa"/>
            <w:vAlign w:val="center"/>
          </w:tcPr>
          <w:p w14:paraId="2848BFD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09C4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3ED0FD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规范性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CFEB08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格式、编码、单位是否符合约定</w:t>
            </w:r>
          </w:p>
        </w:tc>
        <w:tc>
          <w:tcPr>
            <w:tcW w:w="4309" w:type="dxa"/>
            <w:shd w:val="clear" w:color="auto" w:fill="F2F2F2"/>
            <w:vAlign w:val="center"/>
          </w:tcPr>
          <w:p w14:paraId="0984162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枚举取值（DQ-05）、格式合法（DQ-06）、坐标范围（DQ-07）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6464229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29195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7928E6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唯一性</w:t>
            </w:r>
          </w:p>
        </w:tc>
        <w:tc>
          <w:tcPr>
            <w:tcW w:w="2494" w:type="dxa"/>
            <w:vAlign w:val="center"/>
          </w:tcPr>
          <w:p w14:paraId="3395CAA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记录与主键是否唯一</w:t>
            </w:r>
          </w:p>
        </w:tc>
        <w:tc>
          <w:tcPr>
            <w:tcW w:w="4309" w:type="dxa"/>
            <w:vAlign w:val="center"/>
          </w:tcPr>
          <w:p w14:paraId="01A4D97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完全重复（DQ-08）、行程主键（DQ-09）</w:t>
            </w:r>
          </w:p>
        </w:tc>
        <w:tc>
          <w:tcPr>
            <w:tcW w:w="680" w:type="dxa"/>
            <w:vAlign w:val="center"/>
          </w:tcPr>
          <w:p w14:paraId="4518831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</w:tr>
      <w:tr w14:paraId="0888A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1C3E346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一致性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07086FA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相关字段、相关表之间是否吻合</w:t>
            </w:r>
          </w:p>
        </w:tc>
        <w:tc>
          <w:tcPr>
            <w:tcW w:w="4309" w:type="dxa"/>
            <w:shd w:val="clear" w:color="auto" w:fill="F2F2F2"/>
            <w:vAlign w:val="center"/>
          </w:tcPr>
          <w:p w14:paraId="30BCA7F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站台关联（DQ-10）、GPS 采样与跳点（DQ-11）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5BCD351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</w:tr>
      <w:tr w14:paraId="141FB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392D0B6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准确性</w:t>
            </w:r>
          </w:p>
        </w:tc>
        <w:tc>
          <w:tcPr>
            <w:tcW w:w="2494" w:type="dxa"/>
            <w:vAlign w:val="center"/>
          </w:tcPr>
          <w:p w14:paraId="42212AF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数据是否真实反映客观对象</w:t>
            </w:r>
          </w:p>
        </w:tc>
        <w:tc>
          <w:tcPr>
            <w:tcW w:w="4309" w:type="dxa"/>
            <w:vAlign w:val="center"/>
          </w:tcPr>
          <w:p w14:paraId="15FE3D0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站台定位（DQ-12）、网格与区域归属（DQ-13）</w:t>
            </w:r>
          </w:p>
        </w:tc>
        <w:tc>
          <w:tcPr>
            <w:tcW w:w="680" w:type="dxa"/>
            <w:vAlign w:val="center"/>
          </w:tcPr>
          <w:p w14:paraId="46971AA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</w:tr>
      <w:tr w14:paraId="5B18C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207A0F5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时效性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92C7D1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时间覆盖是否满足分析需要</w:t>
            </w:r>
          </w:p>
        </w:tc>
        <w:tc>
          <w:tcPr>
            <w:tcW w:w="4309" w:type="dxa"/>
            <w:shd w:val="clear" w:color="auto" w:fill="F2F2F2"/>
            <w:vAlign w:val="center"/>
          </w:tcPr>
          <w:p w14:paraId="2DEE4EB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各日数据完整度（DQ-01）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18A7E08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379DF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0B5BB97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代表性</w:t>
            </w:r>
          </w:p>
        </w:tc>
        <w:tc>
          <w:tcPr>
            <w:tcW w:w="2494" w:type="dxa"/>
            <w:vAlign w:val="center"/>
          </w:tcPr>
          <w:p w14:paraId="3BD6074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样本能否代表目标总体</w:t>
            </w:r>
          </w:p>
        </w:tc>
        <w:tc>
          <w:tcPr>
            <w:tcW w:w="4309" w:type="dxa"/>
            <w:vAlign w:val="center"/>
          </w:tcPr>
          <w:p w14:paraId="701BAB4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地理覆盖（DQ-14）、样本口径（DQ-15）、机场长尾（DQ-16）</w:t>
            </w:r>
          </w:p>
        </w:tc>
        <w:tc>
          <w:tcPr>
            <w:tcW w:w="680" w:type="dxa"/>
            <w:vAlign w:val="center"/>
          </w:tcPr>
          <w:p w14:paraId="76C33CE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1CA9F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6CAFB14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0F4B29B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4309" w:type="dxa"/>
            <w:shd w:val="clear" w:color="auto" w:fill="F2F2F2"/>
            <w:vAlign w:val="center"/>
          </w:tcPr>
          <w:p w14:paraId="7637E79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6AD087D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</w:tr>
    </w:tbl>
    <w:p w14:paraId="4A2C5AC7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1-3　质量状态判定标准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5010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3864"/>
            <w:vAlign w:val="center"/>
          </w:tcPr>
          <w:p w14:paraId="3635C2A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状态</w:t>
            </w:r>
          </w:p>
        </w:tc>
        <w:tc>
          <w:tcPr>
            <w:tcW w:w="4082" w:type="dxa"/>
            <w:shd w:val="clear" w:color="auto" w:fill="1F3864"/>
            <w:vAlign w:val="center"/>
          </w:tcPr>
          <w:p w14:paraId="7E93F76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判定标准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325CC6D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处理要求</w:t>
            </w:r>
          </w:p>
        </w:tc>
      </w:tr>
      <w:tr w14:paraId="73A9F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07C3C2C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w="4082" w:type="dxa"/>
            <w:vAlign w:val="center"/>
          </w:tcPr>
          <w:p w14:paraId="39DA7F2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结果符合预期，或偏差对分析结论的影响可以忽略</w:t>
            </w:r>
          </w:p>
        </w:tc>
        <w:tc>
          <w:tcPr>
            <w:tcW w:w="3402" w:type="dxa"/>
            <w:vAlign w:val="center"/>
          </w:tcPr>
          <w:p w14:paraId="4E19C4C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按既定规则处理，无需额外确认</w:t>
            </w:r>
          </w:p>
        </w:tc>
      </w:tr>
      <w:tr w14:paraId="0A0A1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3197098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警告</w:t>
            </w:r>
          </w:p>
        </w:tc>
        <w:tc>
          <w:tcPr>
            <w:tcW w:w="4082" w:type="dxa"/>
            <w:shd w:val="clear" w:color="auto" w:fill="F2F2F2"/>
            <w:vAlign w:val="center"/>
          </w:tcPr>
          <w:p w14:paraId="42476D2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存在问题，但可通过清洗、限定口径或加注说明后继续使用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1DF36B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执行处理决定，并在交付物中披露</w:t>
            </w:r>
          </w:p>
        </w:tc>
      </w:tr>
      <w:tr w14:paraId="7B4A1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07F0F8F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不通过</w:t>
            </w:r>
          </w:p>
        </w:tc>
        <w:tc>
          <w:tcPr>
            <w:tcW w:w="4082" w:type="dxa"/>
            <w:vAlign w:val="center"/>
          </w:tcPr>
          <w:p w14:paraId="66E9E4F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数据不能按原样使用，需替换口径、弃用或待提供方确认</w:t>
            </w:r>
          </w:p>
        </w:tc>
        <w:tc>
          <w:tcPr>
            <w:tcW w:w="3402" w:type="dxa"/>
            <w:vAlign w:val="center"/>
          </w:tcPr>
          <w:p w14:paraId="26B5C68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停止按原样使用，采用替代方案并跟踪整改</w:t>
            </w:r>
          </w:p>
        </w:tc>
      </w:tr>
    </w:tbl>
    <w:p w14:paraId="1B2E7393">
      <w:pPr>
        <w:spacing w:before="8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每项检查遵循“提出假设、用数据验证、量化证据、登记决定”四个步骤，结果统一登记稽核表，图表从结果读取并经代码核对，避免手工抄录误差。</w:t>
      </w:r>
    </w:p>
    <w:p w14:paraId="5D1E145F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1.4　数据处理流程</w:t>
      </w:r>
    </w:p>
    <w:p w14:paraId="640F9D4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数据按“原始层—明细层 / 维度层—应用层”分层流转，原始层保持交付原样不改值，明细层存放清洗后的行程，维度层存放站台等被反复引用的描述信息，应用层存放非个人粒度的聚合结果（图 1-1）。</w:t>
      </w:r>
    </w:p>
    <w:p w14:paraId="2617F4B2">
      <w:pPr>
        <w:keepNext/>
        <w:spacing w:before="120"/>
        <w:jc w:val="center"/>
      </w:pPr>
      <w:r>
        <w:drawing>
          <wp:inline distT="0" distB="0" distL="114300" distR="114300">
            <wp:extent cx="5579745" cy="2824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4507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1-1　数据分层流转与质量控制节点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02FB3FB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3311E8D5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37683845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从左到右为原始层、清洗与校验、明细/维度层、应用层；底部横条为质量稽核与运行日志。</w:t>
            </w:r>
          </w:p>
          <w:p w14:paraId="4F8BBD44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原始层 100,000 行 × 9 列；清洗后 dwd_trip 99,618 趟；dim_stand 62 个站台。</w:t>
            </w:r>
          </w:p>
          <w:p w14:paraId="309E712D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通过——分层边界清晰，各层行数可逐层核对。</w:t>
            </w:r>
          </w:p>
          <w:p w14:paraId="3DB05C9E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后续统计统一以 dwd_trip 为口径，不再回原始层取数。</w:t>
            </w:r>
          </w:p>
        </w:tc>
      </w:tr>
    </w:tbl>
    <w:p w14:paraId="3F1AE72A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　评估结论摘要</w:t>
      </w:r>
    </w:p>
    <w:p w14:paraId="32AABCCD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　总体结论</w:t>
      </w:r>
    </w:p>
    <w:p w14:paraId="4DC1924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本次共执行 16 项质量检查，其中通过 9 项、警告 6 项、不通过 1 项（图 2-1）。综合判断，该数据集“可以使用，但有前提条件”。</w:t>
      </w:r>
    </w:p>
    <w:p w14:paraId="4B6AAA35">
      <w:pPr>
        <w:keepNext/>
        <w:spacing w:before="120"/>
        <w:jc w:val="center"/>
      </w:pPr>
      <w:r>
        <w:drawing>
          <wp:inline distT="0" distB="0" distL="114300" distR="114300">
            <wp:extent cx="5579745" cy="24237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A08E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2-1　各质量维度检查结果汇总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B22A57C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5EC86BF4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3AE4D0CE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横轴为质量维度、纵轴为检查项数，颜色区分通过/警告/不通过。</w:t>
            </w:r>
          </w:p>
          <w:p w14:paraId="56F7D27D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共 16 项检查：通过 9 项、警告 6 项、不通过 1 项。</w:t>
            </w:r>
          </w:p>
          <w:p w14:paraId="395CA50F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总体可用——仅空轨迹一项不通过。</w:t>
            </w:r>
          </w:p>
          <w:p w14:paraId="2CF60170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使用时必须执行 2.3 的适用边界与前提条件。</w:t>
            </w:r>
          </w:p>
        </w:tc>
      </w:tr>
    </w:tbl>
    <w:p w14:paraId="73A2AD5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记录层面的问题比例很低：空轨迹 367 趟、首点越界 15 趟，无完全重复行，合计仅 382 趟（0.38%）。经清洗后 99.6% 的行程进入明细层，B 型行程与站台的关联率达 98.78%，相邻 GPS 点距离中位 92.3 米，足以支撑空间分析。风险集中在两点：一是两个起点字段按叫车类型存在高比例的结构性缺失，必须按类型分别使用；二是该样本仅覆盖运营出租车的载客轨迹、且为 100k 子集，不能代表全部城市出行。关键指标见表 2-1。</w:t>
      </w:r>
    </w:p>
    <w:p w14:paraId="48096C8B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2-1　关键质量指标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5F4A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3864"/>
            <w:vAlign w:val="center"/>
          </w:tcPr>
          <w:p w14:paraId="681F21B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3DA261A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数值</w:t>
            </w:r>
          </w:p>
        </w:tc>
        <w:tc>
          <w:tcPr>
            <w:tcW w:w="4195" w:type="dxa"/>
            <w:shd w:val="clear" w:color="auto" w:fill="1F3864"/>
            <w:vAlign w:val="center"/>
          </w:tcPr>
          <w:p w14:paraId="02CCFDA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说明</w:t>
            </w:r>
          </w:p>
        </w:tc>
      </w:tr>
      <w:tr w14:paraId="31E5F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C20700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原始行程记录</w:t>
            </w:r>
          </w:p>
        </w:tc>
        <w:tc>
          <w:tcPr>
            <w:tcW w:w="2608" w:type="dxa"/>
            <w:vAlign w:val="center"/>
          </w:tcPr>
          <w:p w14:paraId="2C36F51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100,000 趟</w:t>
            </w:r>
          </w:p>
        </w:tc>
        <w:tc>
          <w:tcPr>
            <w:tcW w:w="4195" w:type="dxa"/>
            <w:vAlign w:val="center"/>
          </w:tcPr>
          <w:p w14:paraId="56AB9BF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train_100k，时间跨度 2013-07-01 至 07-21</w:t>
            </w:r>
          </w:p>
        </w:tc>
      </w:tr>
      <w:tr w14:paraId="499A1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4B21495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清洗后有效行程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5AB1D3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99,618 趟（99.6%）</w:t>
            </w:r>
          </w:p>
        </w:tc>
        <w:tc>
          <w:tcPr>
            <w:tcW w:w="4195" w:type="dxa"/>
            <w:shd w:val="clear" w:color="auto" w:fill="F2F2F2"/>
            <w:vAlign w:val="center"/>
          </w:tcPr>
          <w:p w14:paraId="53CA0CE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dwd_trip</w:t>
            </w:r>
          </w:p>
        </w:tc>
      </w:tr>
      <w:tr w14:paraId="26E92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C7425E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清洗剔除记录</w:t>
            </w:r>
          </w:p>
        </w:tc>
        <w:tc>
          <w:tcPr>
            <w:tcW w:w="2608" w:type="dxa"/>
            <w:vAlign w:val="center"/>
          </w:tcPr>
          <w:p w14:paraId="1E51D5B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趟（0.38%）</w:t>
            </w:r>
          </w:p>
        </w:tc>
        <w:tc>
          <w:tcPr>
            <w:tcW w:w="4195" w:type="dxa"/>
            <w:vAlign w:val="center"/>
          </w:tcPr>
          <w:p w14:paraId="76A460C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空轨迹 367、首点越界 15</w:t>
            </w:r>
          </w:p>
        </w:tc>
      </w:tr>
      <w:tr w14:paraId="2A226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99EDC5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覆盖车辆数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310EB28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辆</w:t>
            </w:r>
          </w:p>
        </w:tc>
        <w:tc>
          <w:tcPr>
            <w:tcW w:w="4195" w:type="dxa"/>
            <w:shd w:val="clear" w:color="auto" w:fill="F2F2F2"/>
            <w:vAlign w:val="center"/>
          </w:tcPr>
          <w:p w14:paraId="22D40E3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完整数据集为 442 辆，本子集出现 430 辆</w:t>
            </w:r>
          </w:p>
        </w:tc>
      </w:tr>
      <w:tr w14:paraId="32D9D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2EA3BD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型站台关联率</w:t>
            </w:r>
          </w:p>
        </w:tc>
        <w:tc>
          <w:tcPr>
            <w:tcW w:w="2608" w:type="dxa"/>
            <w:vAlign w:val="center"/>
          </w:tcPr>
          <w:p w14:paraId="5F70D77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98.78%</w:t>
            </w:r>
          </w:p>
        </w:tc>
        <w:tc>
          <w:tcPr>
            <w:tcW w:w="4195" w:type="dxa"/>
            <w:vAlign w:val="center"/>
          </w:tcPr>
          <w:p w14:paraId="4B709C2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49,922 趟 B 型中 49,311 趟关联到站台</w:t>
            </w:r>
          </w:p>
        </w:tc>
      </w:tr>
      <w:tr w14:paraId="13611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301252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质量检查项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1708C03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项</w:t>
            </w:r>
          </w:p>
        </w:tc>
        <w:tc>
          <w:tcPr>
            <w:tcW w:w="4195" w:type="dxa"/>
            <w:shd w:val="clear" w:color="auto" w:fill="F2F2F2"/>
            <w:vAlign w:val="center"/>
          </w:tcPr>
          <w:p w14:paraId="24251A2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 9、警告 6、不通过 1</w:t>
            </w:r>
          </w:p>
        </w:tc>
      </w:tr>
    </w:tbl>
    <w:p w14:paraId="28C59301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　主要发现</w:t>
      </w:r>
    </w:p>
    <w:p w14:paraId="775DCEE6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2-2　主要发现与处理决定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9E54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1F3864"/>
            <w:vAlign w:val="center"/>
          </w:tcPr>
          <w:p w14:paraId="33D5DCB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w="4706" w:type="dxa"/>
            <w:shd w:val="clear" w:color="auto" w:fill="1F3864"/>
            <w:vAlign w:val="center"/>
          </w:tcPr>
          <w:p w14:paraId="657FD25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发现</w:t>
            </w:r>
          </w:p>
        </w:tc>
        <w:tc>
          <w:tcPr>
            <w:tcW w:w="1247" w:type="dxa"/>
            <w:shd w:val="clear" w:color="auto" w:fill="1F3864"/>
            <w:vAlign w:val="center"/>
          </w:tcPr>
          <w:p w14:paraId="66D00B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关联检查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5447563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处理决定</w:t>
            </w:r>
          </w:p>
        </w:tc>
      </w:tr>
      <w:tr w14:paraId="27739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BA002B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4706" w:type="dxa"/>
            <w:vAlign w:val="center"/>
          </w:tcPr>
          <w:p w14:paraId="78E6647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ORIGIN_CALL、ORIGIN_STAND 分别缺失 79.0%、50.7%，但缺失完全由叫车类型决定，属结构性缺失而非采集错误</w:t>
            </w:r>
          </w:p>
        </w:tc>
        <w:tc>
          <w:tcPr>
            <w:tcW w:w="1247" w:type="dxa"/>
            <w:vAlign w:val="center"/>
          </w:tcPr>
          <w:p w14:paraId="39007ED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DQ-02 警告</w:t>
            </w:r>
          </w:p>
        </w:tc>
        <w:tc>
          <w:tcPr>
            <w:tcW w:w="2494" w:type="dxa"/>
            <w:vAlign w:val="center"/>
          </w:tcPr>
          <w:p w14:paraId="236A3B9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 CALL_TYPE 分别使用起点字段，不做整体填充</w:t>
            </w:r>
          </w:p>
        </w:tc>
      </w:tr>
      <w:tr w14:paraId="3D014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DC2ECE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4706" w:type="dxa"/>
            <w:shd w:val="clear" w:color="auto" w:fill="F2F2F2"/>
            <w:vAlign w:val="center"/>
          </w:tcPr>
          <w:p w14:paraId="6C3AE79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趟（0.37%）POLYLINE 为空，无任何 GPS 点，无法定位也无法计算时长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6061A16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DQ-03 不通过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2090C4F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清洗剔除空轨迹</w:t>
            </w:r>
          </w:p>
        </w:tc>
      </w:tr>
      <w:tr w14:paraId="76A76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FDE8B7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4706" w:type="dxa"/>
            <w:vAlign w:val="center"/>
          </w:tcPr>
          <w:p w14:paraId="239535D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首点坐标原始范围极宽（经度 -12.15 至 -6.96、纬度 38.78 至 45.66），其中 15 趟首点超出都市区范围</w:t>
            </w:r>
          </w:p>
        </w:tc>
        <w:tc>
          <w:tcPr>
            <w:tcW w:w="1247" w:type="dxa"/>
            <w:vAlign w:val="center"/>
          </w:tcPr>
          <w:p w14:paraId="55BFA39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DQ-07 警告</w:t>
            </w:r>
          </w:p>
        </w:tc>
        <w:tc>
          <w:tcPr>
            <w:tcW w:w="2494" w:type="dxa"/>
            <w:vAlign w:val="center"/>
          </w:tcPr>
          <w:p w14:paraId="410CC29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按都市区框剔除越界首点</w:t>
            </w:r>
          </w:p>
        </w:tc>
      </w:tr>
      <w:tr w14:paraId="46C04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212629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4706" w:type="dxa"/>
            <w:shd w:val="clear" w:color="auto" w:fill="F2F2F2"/>
            <w:vAlign w:val="center"/>
          </w:tcPr>
          <w:p w14:paraId="1821631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TRIP_ID 唯一值 99,992 个，16 行（8 对）行程共用同一 ID，但轨迹内容不同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09BFF10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DQ-09 警告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6B9461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以完整记录而非单一 ID 区分，异常 ID 登记</w:t>
            </w:r>
          </w:p>
        </w:tc>
      </w:tr>
      <w:tr w14:paraId="23EDE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3A76A8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4706" w:type="dxa"/>
            <w:vAlign w:val="center"/>
          </w:tcPr>
          <w:p w14:paraId="550E9C2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时间覆盖 21 天，但 7 月 21 日仅 3,502 趟（完整日中位 4,748 趟），末日为不完整日</w:t>
            </w:r>
          </w:p>
        </w:tc>
        <w:tc>
          <w:tcPr>
            <w:tcW w:w="1247" w:type="dxa"/>
            <w:vAlign w:val="center"/>
          </w:tcPr>
          <w:p w14:paraId="11753C4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DQ-01 警告</w:t>
            </w:r>
          </w:p>
        </w:tc>
        <w:tc>
          <w:tcPr>
            <w:tcW w:w="2494" w:type="dxa"/>
            <w:vAlign w:val="center"/>
          </w:tcPr>
          <w:p w14:paraId="428F622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按日统计时剔除或标注末日</w:t>
            </w:r>
          </w:p>
        </w:tc>
      </w:tr>
      <w:tr w14:paraId="47911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6E601D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4706" w:type="dxa"/>
            <w:shd w:val="clear" w:color="auto" w:fill="F2F2F2"/>
            <w:vAlign w:val="center"/>
          </w:tcPr>
          <w:p w14:paraId="6B535C9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样本仅为 430 辆出租车的载客轨迹，车均 232.6 趟，候客与空驶时段不在 POLYLINE 内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0A4A544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DQ-15 警告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5EB2798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结论仅针对出租车载客出行，不代表全方式出行</w:t>
            </w:r>
          </w:p>
        </w:tc>
      </w:tr>
      <w:tr w14:paraId="56B8E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DCED72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4706" w:type="dxa"/>
            <w:vAlign w:val="center"/>
          </w:tcPr>
          <w:p w14:paraId="0EE9B3F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机场 1000 米内仅 59 趟（0.059%），机场场景在本子集代表性极弱</w:t>
            </w:r>
          </w:p>
        </w:tc>
        <w:tc>
          <w:tcPr>
            <w:tcW w:w="1247" w:type="dxa"/>
            <w:vAlign w:val="center"/>
          </w:tcPr>
          <w:p w14:paraId="63A20A8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DQ-16 警告</w:t>
            </w:r>
          </w:p>
        </w:tc>
        <w:tc>
          <w:tcPr>
            <w:tcW w:w="2494" w:type="dxa"/>
            <w:vAlign w:val="center"/>
          </w:tcPr>
          <w:p w14:paraId="2FD04CF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不据此对机场下结论，需在完整数据集上验证</w:t>
            </w:r>
          </w:p>
        </w:tc>
      </w:tr>
    </w:tbl>
    <w:p w14:paraId="0FBA2CA5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　数据适用性结论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EECC849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49E1E15F">
            <w:pPr>
              <w:spacing w:after="40"/>
            </w:pPr>
            <w:r>
              <w:rPr>
                <w:b/>
                <w:color w:val="1F3864"/>
                <w:sz w:val="21"/>
              </w:rPr>
              <w:t>适用性结论</w:t>
            </w:r>
          </w:p>
          <w:p w14:paraId="7C3C638F">
            <w:pPr>
              <w:spacing w:after="20" w:line="300" w:lineRule="exact"/>
            </w:pPr>
            <w:r>
              <w:rPr>
                <w:b/>
                <w:sz w:val="21"/>
              </w:rPr>
              <w:t>可以用于：</w:t>
            </w:r>
            <w:r>
              <w:rPr>
                <w:sz w:val="21"/>
              </w:rPr>
              <w:t>分析波尔图出租车 2013 年 7 月上中旬的载客运营规律——上车点的空间分布、热点候客站台、各小时与各区域的发车节律、行程的时空范围，以及候客停留的识别。</w:t>
            </w:r>
          </w:p>
          <w:p w14:paraId="1516B14A">
            <w:pPr>
              <w:spacing w:after="20" w:line="300" w:lineRule="exact"/>
              <w:rPr>
                <w:sz w:val="21"/>
                <w:lang w:val="en-US" w:eastAsia="zh-CN"/>
              </w:rPr>
            </w:pPr>
            <w:r>
              <w:rPr>
                <w:b/>
                <w:sz w:val="21"/>
              </w:rPr>
              <w:t>不能用于</w:t>
            </w:r>
            <w:r>
              <w:rPr>
                <w:rFonts w:hint="eastAsia"/>
                <w:b/>
                <w:sz w:val="21"/>
                <w:lang w:val="en-US" w:eastAsia="zh-CN"/>
              </w:rPr>
              <w:t>: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>1)全</w:t>
            </w:r>
            <w:bookmarkStart w:id="0" w:name="_GoBack"/>
            <w:bookmarkEnd w:id="0"/>
            <w:r>
              <w:rPr>
                <w:sz w:val="21"/>
              </w:rPr>
              <w:t>市全方式出行规模、非出租车人群、工作日与非 7 月季节对比、机场等长尾场景的精细分析，以及车辆空驶与候客时段（不在轨迹内）的还原。</w:t>
            </w:r>
            <w:r>
              <w:rPr>
                <w:sz w:val="21"/>
                <w:lang w:val="en-US" w:eastAsia="zh-CN"/>
              </w:rPr>
              <w:t>本 100k 子集机场场景样本极少，不得基于本子集得出机场相关业务结论，如需分析机场必须使用完整数据集（约 171 万趟）。</w:t>
            </w:r>
          </w:p>
          <w:p w14:paraId="667B74DB">
            <w:pPr>
              <w:spacing w:after="20" w:line="300" w:lineRule="exact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 xml:space="preserve">                   （2）全市全方式出行规模、非出租车人群、跨季节对比、机场等长尾场景精细分析；数据集仅保存载客行程 GPS 轨迹，出租车空驶、原地候客的过程没有被记录在 POLYLINE 字段中，因此不能用来还原出租车全天完整运营状态。</w:t>
            </w:r>
          </w:p>
          <w:p w14:paraId="2A3A8421">
            <w:pPr>
              <w:spacing w:after="20" w:line="300" w:lineRule="exact"/>
              <w:rPr>
                <w:rFonts w:hint="default"/>
                <w:sz w:val="21"/>
                <w:lang w:val="en-US" w:eastAsia="zh-CN"/>
              </w:rPr>
            </w:pPr>
          </w:p>
          <w:p w14:paraId="29C98B73">
            <w:pPr>
              <w:spacing w:after="20" w:line="300" w:lineRule="exact"/>
            </w:pPr>
          </w:p>
          <w:p w14:paraId="54C0110B">
            <w:pPr>
              <w:spacing w:after="20" w:line="300" w:lineRule="exact"/>
            </w:pPr>
            <w:r>
              <w:rPr>
                <w:b/>
                <w:sz w:val="21"/>
              </w:rPr>
              <w:t>使用前提：</w:t>
            </w:r>
            <w:r>
              <w:rPr>
                <w:sz w:val="21"/>
              </w:rPr>
              <w:t>沿用本报告确定的清洗规则与口径——剔除空轨迹与越界首点、按叫车类型使用起点字段、站台坐标由发车首点中位数反推。</w:t>
            </w:r>
          </w:p>
        </w:tc>
      </w:tr>
    </w:tbl>
    <w:p w14:paraId="38C162D3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2.4　优先事项</w:t>
      </w:r>
    </w:p>
    <w:p w14:paraId="4E996EE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对 8 对重复 TRIP_ID 与 15 趟越界首点，向数据来源确认是采集异常还是导出问题；确认前按本报告口径剔除。</w:t>
      </w:r>
    </w:p>
    <w:p w14:paraId="7E5A8152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对机场等样本极少的场景，改用完整数据集（约 171 万趟）验证，避免以 100k 子集下结论。</w:t>
      </w:r>
    </w:p>
    <w:p w14:paraId="2EC51B2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将 16 项检查固化为流水线自动稽核，确保后续数据“坏数据进不来、每个数字可追溯”。</w:t>
      </w:r>
    </w:p>
    <w:p w14:paraId="72A2A5E8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　数据概况</w:t>
      </w:r>
    </w:p>
    <w:p w14:paraId="1839C763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　字段画像</w:t>
      </w:r>
    </w:p>
    <w:p w14:paraId="7CCCA4E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train_100k 共 9 个字段，表 3-1 给出类型、缺失、唯一值等画像。ORIGIN_CALL、ORIGIN_STAND 因含空值被读取为浮点型，在使用时需转回整数编号。</w:t>
      </w:r>
    </w:p>
    <w:p w14:paraId="3FBC1E1A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3-1　字段画像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5E42E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3864"/>
            <w:vAlign w:val="center"/>
          </w:tcPr>
          <w:p w14:paraId="5ED17D8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7F5C5DB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类型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32DE494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含义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0653962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缺失数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52FB7EA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缺失率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0CA0688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唯一值</w:t>
            </w:r>
          </w:p>
        </w:tc>
      </w:tr>
      <w:tr w14:paraId="13960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D793B7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TRIP_ID</w:t>
            </w:r>
          </w:p>
        </w:tc>
        <w:tc>
          <w:tcPr>
            <w:tcW w:w="1020" w:type="dxa"/>
            <w:vAlign w:val="center"/>
          </w:tcPr>
          <w:p w14:paraId="0340158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int64</w:t>
            </w:r>
          </w:p>
        </w:tc>
        <w:tc>
          <w:tcPr>
            <w:tcW w:w="2381" w:type="dxa"/>
            <w:vAlign w:val="center"/>
          </w:tcPr>
          <w:p w14:paraId="78718DA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行程唯一标识</w:t>
            </w:r>
          </w:p>
        </w:tc>
        <w:tc>
          <w:tcPr>
            <w:tcW w:w="1020" w:type="dxa"/>
            <w:vAlign w:val="center"/>
          </w:tcPr>
          <w:p w14:paraId="08B223E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vAlign w:val="center"/>
          </w:tcPr>
          <w:p w14:paraId="6DD1DD1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vAlign w:val="center"/>
          </w:tcPr>
          <w:p w14:paraId="042E8AF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99992</w:t>
            </w:r>
          </w:p>
        </w:tc>
      </w:tr>
      <w:tr w14:paraId="10975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5B0040B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CALL_TYPE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AA7C58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1B44411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叫车类型 A/B/C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FB99CF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6D3868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FC1E37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65CB0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84B7A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ORIGIN_CALL</w:t>
            </w:r>
          </w:p>
        </w:tc>
        <w:tc>
          <w:tcPr>
            <w:tcW w:w="1020" w:type="dxa"/>
            <w:vAlign w:val="center"/>
          </w:tcPr>
          <w:p w14:paraId="7CA2226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float64</w:t>
            </w:r>
          </w:p>
        </w:tc>
        <w:tc>
          <w:tcPr>
            <w:tcW w:w="2381" w:type="dxa"/>
            <w:vAlign w:val="center"/>
          </w:tcPr>
          <w:p w14:paraId="7880B35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电话叫车起点编号</w:t>
            </w:r>
          </w:p>
        </w:tc>
        <w:tc>
          <w:tcPr>
            <w:tcW w:w="1020" w:type="dxa"/>
            <w:vAlign w:val="center"/>
          </w:tcPr>
          <w:p w14:paraId="3F01312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79038</w:t>
            </w:r>
          </w:p>
        </w:tc>
        <w:tc>
          <w:tcPr>
            <w:tcW w:w="1020" w:type="dxa"/>
            <w:vAlign w:val="center"/>
          </w:tcPr>
          <w:p w14:paraId="098C2C8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79.0%</w:t>
            </w:r>
          </w:p>
        </w:tc>
        <w:tc>
          <w:tcPr>
            <w:tcW w:w="1020" w:type="dxa"/>
            <w:vAlign w:val="center"/>
          </w:tcPr>
          <w:p w14:paraId="50695F1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8160</w:t>
            </w:r>
          </w:p>
        </w:tc>
      </w:tr>
      <w:tr w14:paraId="61F28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2112ECA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ORIGIN_STAND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06792C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float64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2B2B515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候客站台编号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096DFD3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50689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C4E216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50.7%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DF750D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</w:t>
            </w:r>
          </w:p>
        </w:tc>
      </w:tr>
      <w:tr w14:paraId="3D2CA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BFF264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TAXI_ID</w:t>
            </w:r>
          </w:p>
        </w:tc>
        <w:tc>
          <w:tcPr>
            <w:tcW w:w="1020" w:type="dxa"/>
            <w:vAlign w:val="center"/>
          </w:tcPr>
          <w:p w14:paraId="5E834EC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int64</w:t>
            </w:r>
          </w:p>
        </w:tc>
        <w:tc>
          <w:tcPr>
            <w:tcW w:w="2381" w:type="dxa"/>
            <w:vAlign w:val="center"/>
          </w:tcPr>
          <w:p w14:paraId="4BF7CE0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车辆标识</w:t>
            </w:r>
          </w:p>
        </w:tc>
        <w:tc>
          <w:tcPr>
            <w:tcW w:w="1020" w:type="dxa"/>
            <w:vAlign w:val="center"/>
          </w:tcPr>
          <w:p w14:paraId="3327C59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vAlign w:val="center"/>
          </w:tcPr>
          <w:p w14:paraId="2A2239D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vAlign w:val="center"/>
          </w:tcPr>
          <w:p w14:paraId="2212838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</w:t>
            </w:r>
          </w:p>
        </w:tc>
      </w:tr>
      <w:tr w14:paraId="61C81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52D2BAA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TIMESTAMP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4147E04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int64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4EE21A9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行程开始时间（UTC 秒）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A749DB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716CAD3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DD8E7B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96801</w:t>
            </w:r>
          </w:p>
        </w:tc>
      </w:tr>
      <w:tr w14:paraId="1CBB0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EEE0B3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DAY_TYPE</w:t>
            </w:r>
          </w:p>
        </w:tc>
        <w:tc>
          <w:tcPr>
            <w:tcW w:w="1020" w:type="dxa"/>
            <w:vAlign w:val="center"/>
          </w:tcPr>
          <w:p w14:paraId="5DBDD34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</w:t>
            </w:r>
          </w:p>
        </w:tc>
        <w:tc>
          <w:tcPr>
            <w:tcW w:w="2381" w:type="dxa"/>
            <w:vAlign w:val="center"/>
          </w:tcPr>
          <w:p w14:paraId="690E84B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日类型</w:t>
            </w:r>
          </w:p>
        </w:tc>
        <w:tc>
          <w:tcPr>
            <w:tcW w:w="1020" w:type="dxa"/>
            <w:vAlign w:val="center"/>
          </w:tcPr>
          <w:p w14:paraId="275A57E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vAlign w:val="center"/>
          </w:tcPr>
          <w:p w14:paraId="1AB98D0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vAlign w:val="center"/>
          </w:tcPr>
          <w:p w14:paraId="0542D6E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32FC4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273F420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MISSING_DATA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336885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bool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128848F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是否存在缺失点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04DC43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6477966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C019CF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08E48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D221DA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POLYLINE</w:t>
            </w:r>
          </w:p>
        </w:tc>
        <w:tc>
          <w:tcPr>
            <w:tcW w:w="1020" w:type="dxa"/>
            <w:vAlign w:val="center"/>
          </w:tcPr>
          <w:p w14:paraId="1AE5428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</w:t>
            </w:r>
          </w:p>
        </w:tc>
        <w:tc>
          <w:tcPr>
            <w:tcW w:w="2381" w:type="dxa"/>
            <w:vAlign w:val="center"/>
          </w:tcPr>
          <w:p w14:paraId="29CA0E3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GPS 轨迹（15s/点）</w:t>
            </w:r>
          </w:p>
        </w:tc>
        <w:tc>
          <w:tcPr>
            <w:tcW w:w="1020" w:type="dxa"/>
            <w:vAlign w:val="center"/>
          </w:tcPr>
          <w:p w14:paraId="120DB2D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vAlign w:val="center"/>
          </w:tcPr>
          <w:p w14:paraId="1A1F559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vAlign w:val="center"/>
          </w:tcPr>
          <w:p w14:paraId="6091D82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99577</w:t>
            </w:r>
          </w:p>
        </w:tc>
      </w:tr>
    </w:tbl>
    <w:p w14:paraId="6ADF6C70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　时间覆盖（DQ-01）</w:t>
      </w:r>
    </w:p>
    <w:p w14:paraId="1B07FC6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TIMESTAMP 为自 1970 年（UTC）起的秒数，转换为里斯本本地时间后，数据覆盖 2013 年 7 月 1 日至 21 日。各日发车趟次见图 3-1。</w:t>
      </w:r>
    </w:p>
    <w:p w14:paraId="7B1C87AA">
      <w:pPr>
        <w:keepNext/>
        <w:spacing w:before="120"/>
        <w:jc w:val="center"/>
      </w:pPr>
      <w:r>
        <w:drawing>
          <wp:inline distT="0" distB="0" distL="114300" distR="114300">
            <wp:extent cx="5399405" cy="4353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5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ED32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3-1　各日发车趟次分布（末日 7-21 不完整，已标灰）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9CAF886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194D5C21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18B1152A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横轴为日期、纵轴为发车趟次；7-21 标灰，表示不完整日。</w:t>
            </w:r>
          </w:p>
          <w:p w14:paraId="5C37D90F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20 个完整日中位 4,748 趟；7 月 21 日仅 3,502 趟。</w:t>
            </w:r>
          </w:p>
          <w:p w14:paraId="2FBE375E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警告——末日数据不完整。</w:t>
            </w:r>
          </w:p>
          <w:p w14:paraId="33C2BD82">
            <w:pPr>
              <w:spacing w:after="20" w:line="300" w:lineRule="exact"/>
              <w:rPr>
                <w:sz w:val="21"/>
              </w:rPr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  <w:lang w:val="en-US" w:eastAsia="zh-CN"/>
              </w:rPr>
              <w:t>7</w:t>
            </w:r>
            <w:r>
              <w:rPr>
                <w:sz w:val="21"/>
                <w:lang w:val="en-US" w:eastAsia="zh-CN"/>
              </w:rPr>
              <w:noBreakHyphen/>
            </w:r>
            <w:r>
              <w:rPr>
                <w:sz w:val="21"/>
                <w:lang w:val="en-US" w:eastAsia="zh-CN"/>
              </w:rPr>
              <w:t>21 数据量偏低属于数据集抽样截断导致，不属于现场采集故障；小时维度分析不受该条影响，按日聚合统计需要剔除或标注该日期。</w:t>
            </w:r>
          </w:p>
          <w:p w14:paraId="5A8863C8">
            <w:pPr>
              <w:spacing w:after="20" w:line="300" w:lineRule="exact"/>
              <w:rPr>
                <w:sz w:val="21"/>
              </w:rPr>
            </w:pPr>
          </w:p>
        </w:tc>
      </w:tr>
    </w:tbl>
    <w:p w14:paraId="7A061FE7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20 个完整日的发车趟次中位为 4,748 趟，日间波动平稳；7 月 21 日仅 3,502 趟、为不完整日，判定为“警告”，按日统计时标注或剔除。各日数据量差异来自抽样与采集，不直接代表客流变化。</w:t>
      </w:r>
    </w:p>
    <w:p w14:paraId="6798B84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按小时统计（图 3-2）可见发车节律：凌晨为低谷、上午与傍晚各有高峰，符合作息，说明时间换算正确。</w:t>
      </w:r>
    </w:p>
    <w:p w14:paraId="15CE7660">
      <w:pPr>
        <w:keepNext/>
        <w:spacing w:before="120"/>
        <w:jc w:val="center"/>
      </w:pPr>
      <w:r>
        <w:drawing>
          <wp:inline distT="0" distB="0" distL="114300" distR="114300">
            <wp:extent cx="5399405" cy="3704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14F2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3-2　各小时发车趟次分布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CB01E1E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6B08B4D4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25149577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横轴为 24 小时、纵轴为发车趟次。</w:t>
            </w:r>
          </w:p>
          <w:p w14:paraId="7C7AF74C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凌晨为低谷，上午与傍晚各有高峰。</w:t>
            </w:r>
          </w:p>
          <w:p w14:paraId="7ACD1139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通过——节律符合作息，说明时区换算正确。</w:t>
            </w:r>
          </w:p>
          <w:p w14:paraId="2180AC10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小时口径可直接用于时间规律与潮汐分析。</w:t>
            </w:r>
          </w:p>
        </w:tc>
      </w:tr>
    </w:tbl>
    <w:p w14:paraId="305605DF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　核心明细表质量评估</w:t>
      </w:r>
    </w:p>
    <w:p w14:paraId="0834263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本章对核心数据 train_100k 逐维度评估，涉及 DQ-02 至 DQ-11 共 10 项检查。</w:t>
      </w:r>
    </w:p>
    <w:p w14:paraId="3F0CB6FD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　完整性（DQ-02、DQ-03、DQ-04）</w:t>
      </w:r>
    </w:p>
    <w:p w14:paraId="6CAFE27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两个起点字段缺失率很高，但这是由叫车类型决定的结构性缺失：电话叫车（A）填 ORIGIN_CALL、站台叫车（B）填 ORIGIN_STAND、随机拦车（C）两者皆空。它们不是采集错误，整体缺失率高达 79.0% 与 50.7% 但可按类型解释，判定为“警告”，不做整体填充。各字段缺失情况见图 4-1。</w:t>
      </w:r>
    </w:p>
    <w:p w14:paraId="317A0354">
      <w:pPr>
        <w:keepNext/>
        <w:spacing w:before="120"/>
        <w:jc w:val="center"/>
      </w:pPr>
      <w:r>
        <w:drawing>
          <wp:inline distT="0" distB="0" distL="114300" distR="114300">
            <wp:extent cx="5327650" cy="3043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4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1622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4-1　各字段缺失率（起点字段为结构性缺失）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C612B64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63D9CF99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657DF405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每个字段一根柱，柱上标注缺失率。</w:t>
            </w:r>
          </w:p>
          <w:p w14:paraId="1E2EC43F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ORIGIN_CALL 缺失 79.0%、ORIGIN_STAND 缺失 50.7%，其余字段为 0。</w:t>
            </w:r>
          </w:p>
          <w:p w14:paraId="654342C2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警告——属结构性缺失，不是采集错误。</w:t>
            </w:r>
          </w:p>
          <w:p w14:paraId="1B7CD9C9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按 CALL_TYPE 分别使用起点字段，不做整体填充。</w:t>
            </w:r>
          </w:p>
        </w:tc>
      </w:tr>
    </w:tbl>
    <w:p w14:paraId="08AA591E">
      <w:pPr>
        <w:spacing w:before="0" w:after="0" w:line="440" w:lineRule="exact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367 趟（0.37%）POLYLINE 为空，没有任何定位点，无法计算时长与空间归属，判定为“不通过”，清洗剔除。TRIP_ID、TAXI_ID、TIMESTAMP、POLYLINE 四个关键列缺失均为 0，判定为“通过”。</w:t>
      </w:r>
      <w:r>
        <w:rPr>
          <w:rFonts w:ascii="Times New Roman" w:hAnsi="Times New Roman" w:eastAsia="宋体"/>
          <w:b w:val="0"/>
          <w:color w:val="000000"/>
          <w:sz w:val="24"/>
          <w:lang w:val="en-US" w:eastAsia="zh-CN"/>
        </w:rPr>
        <w:t>本数据集 MISSING_DATA 字段全部为 False，说明不存在单条轨迹内部发生 GPS 片段丢失的情况；轨迹质量问题仅表现为整条 POLYLINE 完全为空。</w:t>
      </w:r>
    </w:p>
    <w:p w14:paraId="304AC5A0">
      <w:pPr>
        <w:spacing w:before="0" w:after="0" w:line="440" w:lineRule="exact"/>
        <w:ind w:firstLine="480"/>
        <w:jc w:val="both"/>
      </w:pPr>
    </w:p>
    <w:p w14:paraId="4F2B40EF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　规范性（DQ-05、DQ-06、DQ-07）</w:t>
      </w:r>
    </w:p>
    <w:p w14:paraId="68197A4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枚举字段取值规范：CALL_TYPE 仅含 A（20,962）、B（49,922）、C（29,116）；DAY_TYPE 全为 A；MISSING_DATA 全为 False，判定为“通过”。全部 10 万条 POLYLINE 均可解析、TIMESTAMP 均为正整数秒，判定为“通过”。</w:t>
      </w:r>
    </w:p>
    <w:p w14:paraId="53C46BE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坐标范围存在异常：首点原始经度跨 -12.15 至 -6.96、纬度跨 38.78 至 45.66，远超波尔图都市区范围，其中 15 趟首点越界，判定为“警告”，按都市区框（经度 -9.0 至 -8.0、纬度 40.8 至 41.6）剔除。</w:t>
      </w:r>
    </w:p>
    <w:p w14:paraId="64AB0B19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4.3　唯一性（DQ-08、DQ-09）</w:t>
      </w:r>
    </w:p>
    <w:p w14:paraId="6987A02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对全部原始字段去重，完全重复记录为 0 行，判定为“通过”。</w:t>
      </w:r>
    </w:p>
    <w:p w14:paraId="28D9E91F">
      <w:pPr>
        <w:keepNext w:val="0"/>
        <w:keepLines w:val="0"/>
        <w:widowControl/>
        <w:suppressLineNumbers w:val="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TRIP_ID 唯一值为 99,992 个，有 16 行（8 对）共用同一行程 ID。这些记录的轨迹与时间并不相同，并非简单重复，属于 ID 生成异常，判定为“警告”；分析时以完整记录区分，并将异常 ID 登记反馈。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后续分析</w:t>
      </w:r>
      <w:r>
        <w:rPr>
          <w:rStyle w:val="133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不以 TRIP_ID 作为唯一主键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，以完整记录行作为分析单元；异常 ID 记录登记归档，不做删除处理。</w:t>
      </w:r>
    </w:p>
    <w:p w14:paraId="54C593DF">
      <w:pPr>
        <w:spacing w:before="0" w:after="0" w:line="440" w:lineRule="exact"/>
        <w:ind w:firstLine="480"/>
        <w:jc w:val="both"/>
      </w:pPr>
    </w:p>
    <w:p w14:paraId="04A7F935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4.4　一致性（DQ-10、DQ-11）</w:t>
      </w:r>
    </w:p>
    <w:p w14:paraId="442377DB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B 型（站台叫车）行程 49,922 趟中 49,311 趟关联到具体站台，关联率 98.78%；C 型（随机拦车）按设计无站台。站台与叫车类型的关系一致，判定为“通过”。</w:t>
      </w:r>
    </w:p>
    <w:p w14:paraId="54BB765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GPS 相邻点标称采样间隔为 15 秒，实测相邻点距离中位 92.3 米、P99 为 522.7 米，与城市行驶速度相符；距离大于 420 米的跳点占 3.33%，多为 GPS 漂移，可在轨迹计算中按阈值识别，判定为“通过”。</w:t>
      </w:r>
    </w:p>
    <w:p w14:paraId="0CA969DE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　数据清洗与处理结果</w:t>
      </w:r>
    </w:p>
    <w:p w14:paraId="6879CEDE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5.1　清洗规则与执行结果</w:t>
      </w:r>
    </w:p>
    <w:p w14:paraId="54DC2DC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清洗按固定顺序执行，每行只计入第一个命中步骤，剔除行数记入结果，确保可复核（表 5-1、图 5-1）。</w:t>
      </w:r>
    </w:p>
    <w:p w14:paraId="2A1AE9CA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5-1　清洗步骤与剔除明细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2ACC6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1F3864"/>
            <w:vAlign w:val="center"/>
          </w:tcPr>
          <w:p w14:paraId="646CFC9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步骤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452E49B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清洗规则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54A4EC9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依据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3DD1732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剔除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79C89B9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剩余</w:t>
            </w:r>
          </w:p>
        </w:tc>
      </w:tr>
      <w:tr w14:paraId="715A7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24D1EED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①</w:t>
            </w:r>
          </w:p>
        </w:tc>
        <w:tc>
          <w:tcPr>
            <w:tcW w:w="3969" w:type="dxa"/>
            <w:vAlign w:val="center"/>
          </w:tcPr>
          <w:p w14:paraId="24130A2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剔除 POLYLINE 为空的行程</w:t>
            </w:r>
          </w:p>
        </w:tc>
        <w:tc>
          <w:tcPr>
            <w:tcW w:w="1134" w:type="dxa"/>
            <w:vAlign w:val="center"/>
          </w:tcPr>
          <w:p w14:paraId="24C7D82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DQ-03</w:t>
            </w:r>
          </w:p>
        </w:tc>
        <w:tc>
          <w:tcPr>
            <w:tcW w:w="1134" w:type="dxa"/>
            <w:vAlign w:val="center"/>
          </w:tcPr>
          <w:p w14:paraId="5E1E7A0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</w:t>
            </w:r>
          </w:p>
        </w:tc>
        <w:tc>
          <w:tcPr>
            <w:tcW w:w="1134" w:type="dxa"/>
            <w:vAlign w:val="center"/>
          </w:tcPr>
          <w:p w14:paraId="4D3667B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99,633</w:t>
            </w:r>
          </w:p>
        </w:tc>
      </w:tr>
      <w:tr w14:paraId="2E416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170F213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②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6166873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剔除首点超出都市区框的行程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D17B16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DQ-07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A2F86C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835C79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99,618</w:t>
            </w:r>
          </w:p>
        </w:tc>
      </w:tr>
      <w:tr w14:paraId="17F8B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333DC5D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③</w:t>
            </w:r>
          </w:p>
        </w:tc>
        <w:tc>
          <w:tcPr>
            <w:tcW w:w="3969" w:type="dxa"/>
            <w:vAlign w:val="center"/>
          </w:tcPr>
          <w:p w14:paraId="797DD4E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完全重复记录去重</w:t>
            </w:r>
          </w:p>
        </w:tc>
        <w:tc>
          <w:tcPr>
            <w:tcW w:w="1134" w:type="dxa"/>
            <w:vAlign w:val="center"/>
          </w:tcPr>
          <w:p w14:paraId="41B3895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DQ-08</w:t>
            </w:r>
          </w:p>
        </w:tc>
        <w:tc>
          <w:tcPr>
            <w:tcW w:w="1134" w:type="dxa"/>
            <w:vAlign w:val="center"/>
          </w:tcPr>
          <w:p w14:paraId="06197E1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472CD38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99,618</w:t>
            </w:r>
          </w:p>
        </w:tc>
      </w:tr>
      <w:tr w14:paraId="2DD31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3CDAE33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64EA349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C82EB1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305416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9CC379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99,618</w:t>
            </w:r>
          </w:p>
        </w:tc>
      </w:tr>
    </w:tbl>
    <w:p w14:paraId="511C734F">
      <w:pPr>
        <w:keepNext/>
        <w:spacing w:before="120"/>
        <w:jc w:val="center"/>
      </w:pPr>
      <w:r>
        <w:drawing>
          <wp:inline distT="0" distB="0" distL="114300" distR="114300">
            <wp:extent cx="5219700" cy="36506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2A27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5-1　清洗剔除瀑布（空轨迹 367、越界 15、重复 0）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B397DA8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343280B5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3D8C3EB4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瀑布图，逐步显示每步剔除量与剩余量。</w:t>
            </w:r>
          </w:p>
          <w:p w14:paraId="287DAAB2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空轨迹 367、越界 15、重复 0，合计剔除 382 趟（0.38%），保留 99,618 趟（99.6%）。</w:t>
            </w:r>
          </w:p>
          <w:p w14:paraId="098819E3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通过——脏数据比例极低，行程记录本身质量较好。</w:t>
            </w:r>
          </w:p>
          <w:p w14:paraId="3845B6A8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清洗固定为三步顺序执行，后续数据沿用同一规则。</w:t>
            </w:r>
          </w:p>
        </w:tc>
      </w:tr>
    </w:tbl>
    <w:p w14:paraId="4C7C33B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共保留 99,618 趟（99.6%），剔除 382 趟（0.38%）。真正的“脏数据”比例极低，行程记录本身质量较好。</w:t>
      </w:r>
    </w:p>
    <w:p w14:paraId="6987D02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同一辆车相邻两趟行程的间隔（图 5-2）中位为 60.6 分钟、P90 为 188.9 分钟、P99 为 1,040.8 分钟，反映了车辆在两趟载客之间的候客与空驶时段。</w:t>
      </w:r>
    </w:p>
    <w:p w14:paraId="394D408D">
      <w:pPr>
        <w:keepNext/>
        <w:spacing w:before="120"/>
        <w:jc w:val="center"/>
      </w:pPr>
      <w:r>
        <w:drawing>
          <wp:inline distT="0" distB="0" distL="114300" distR="114300">
            <wp:extent cx="5219700" cy="33312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3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1D49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5-2　同一辆车相邻趟次间隔的累计分布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82FD743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140B7DFB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1197E8E7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累计分布曲线，横轴为相邻趟次间隔（分钟），纵轴为累计占比。</w:t>
            </w:r>
          </w:p>
          <w:p w14:paraId="037DEEAF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中位 60.6 分钟，P90 为 188.9 分钟，P99 为 1,040.8 分钟。</w:t>
            </w:r>
          </w:p>
          <w:p w14:paraId="0B8E5785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通过——间隔反映候客与空驶，符合运营实际。</w:t>
            </w:r>
          </w:p>
          <w:p w14:paraId="1C3B123F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该间隔只能作为间接证据，不能还原空驶路径。</w:t>
            </w:r>
          </w:p>
        </w:tc>
      </w:tr>
    </w:tbl>
    <w:p w14:paraId="2DC9A7B3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5.2　明细表设计与数据合规</w:t>
      </w:r>
    </w:p>
    <w:p w14:paraId="5D545AD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清洗结果写入 dwd_trip，只保留分析需要的字段，起点编号统一转回整数，起终点、点数、网格与区域一并落表，按车辆与时间排序。</w:t>
      </w:r>
    </w:p>
    <w:p w14:paraId="009D33B3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5-2　dwd_trip 字段说明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EEEA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3864"/>
            <w:vAlign w:val="center"/>
          </w:tcPr>
          <w:p w14:paraId="05EE6A3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13C5427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类型</w:t>
            </w:r>
          </w:p>
        </w:tc>
        <w:tc>
          <w:tcPr>
            <w:tcW w:w="3061" w:type="dxa"/>
            <w:shd w:val="clear" w:color="auto" w:fill="1F3864"/>
            <w:vAlign w:val="center"/>
          </w:tcPr>
          <w:p w14:paraId="0A66AA4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说明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1B793AF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来源 / 加工</w:t>
            </w:r>
          </w:p>
        </w:tc>
      </w:tr>
      <w:tr w14:paraId="144CF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14A573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trip_id</w:t>
            </w:r>
          </w:p>
        </w:tc>
        <w:tc>
          <w:tcPr>
            <w:tcW w:w="907" w:type="dxa"/>
            <w:vAlign w:val="center"/>
          </w:tcPr>
          <w:p w14:paraId="27540A6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文本</w:t>
            </w:r>
          </w:p>
        </w:tc>
        <w:tc>
          <w:tcPr>
            <w:tcW w:w="3061" w:type="dxa"/>
            <w:vAlign w:val="center"/>
          </w:tcPr>
          <w:p w14:paraId="08B1714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行程标识</w:t>
            </w:r>
          </w:p>
        </w:tc>
        <w:tc>
          <w:tcPr>
            <w:tcW w:w="2835" w:type="dxa"/>
            <w:vAlign w:val="center"/>
          </w:tcPr>
          <w:p w14:paraId="0EB58D0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TRIP_ID</w:t>
            </w:r>
          </w:p>
        </w:tc>
      </w:tr>
      <w:tr w14:paraId="2024D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43B0A2C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taxi_id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1D72BF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文本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13CC201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车辆标识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2D40822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TAXI_ID</w:t>
            </w:r>
          </w:p>
        </w:tc>
      </w:tr>
      <w:tr w14:paraId="0145D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A7FE8B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ts_local</w:t>
            </w:r>
          </w:p>
        </w:tc>
        <w:tc>
          <w:tcPr>
            <w:tcW w:w="907" w:type="dxa"/>
            <w:vAlign w:val="center"/>
          </w:tcPr>
          <w:p w14:paraId="7CC6444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</w:t>
            </w:r>
          </w:p>
        </w:tc>
        <w:tc>
          <w:tcPr>
            <w:tcW w:w="3061" w:type="dxa"/>
            <w:vAlign w:val="center"/>
          </w:tcPr>
          <w:p w14:paraId="49BF602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行程开始（里斯本本地）</w:t>
            </w:r>
          </w:p>
        </w:tc>
        <w:tc>
          <w:tcPr>
            <w:tcW w:w="2835" w:type="dxa"/>
            <w:vAlign w:val="center"/>
          </w:tcPr>
          <w:p w14:paraId="773ADB1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TIMESTAMP 转换</w:t>
            </w:r>
          </w:p>
        </w:tc>
      </w:tr>
      <w:tr w14:paraId="3CB5B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11140A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call_type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211DEE5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文本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5862A1C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叫车类型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19F4C2E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CALL_TYPE</w:t>
            </w:r>
          </w:p>
        </w:tc>
      </w:tr>
      <w:tr w14:paraId="466FA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3A8BF3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origin_stand</w:t>
            </w:r>
          </w:p>
        </w:tc>
        <w:tc>
          <w:tcPr>
            <w:tcW w:w="907" w:type="dxa"/>
            <w:vAlign w:val="center"/>
          </w:tcPr>
          <w:p w14:paraId="447A0DC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w="3061" w:type="dxa"/>
            <w:vAlign w:val="center"/>
          </w:tcPr>
          <w:p w14:paraId="036AC63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站台编号（可空）</w:t>
            </w:r>
          </w:p>
        </w:tc>
        <w:tc>
          <w:tcPr>
            <w:tcW w:w="2835" w:type="dxa"/>
            <w:vAlign w:val="center"/>
          </w:tcPr>
          <w:p w14:paraId="2A1B35D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ORIGIN_STAND 转整数</w:t>
            </w:r>
          </w:p>
        </w:tc>
      </w:tr>
      <w:tr w14:paraId="0A024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5DFEDB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lng0/lat0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5C8F70A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69075AF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上车点坐标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76F7F1A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POLYLINE 首点</w:t>
            </w:r>
          </w:p>
        </w:tc>
      </w:tr>
      <w:tr w14:paraId="66962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C1A466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gx/gy</w:t>
            </w:r>
          </w:p>
        </w:tc>
        <w:tc>
          <w:tcPr>
            <w:tcW w:w="907" w:type="dxa"/>
            <w:vAlign w:val="center"/>
          </w:tcPr>
          <w:p w14:paraId="0150DAD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w="3061" w:type="dxa"/>
            <w:vAlign w:val="center"/>
          </w:tcPr>
          <w:p w14:paraId="7A53863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1km 网格编号</w:t>
            </w:r>
          </w:p>
        </w:tc>
        <w:tc>
          <w:tcPr>
            <w:tcW w:w="2835" w:type="dxa"/>
            <w:vAlign w:val="center"/>
          </w:tcPr>
          <w:p w14:paraId="30D670B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坐标换算</w:t>
            </w:r>
          </w:p>
        </w:tc>
      </w:tr>
      <w:tr w14:paraId="4FBFD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399A621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region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673EA84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文本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2371354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核心/内环/外环/机场/远郊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5B53BA4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距市中心分段</w:t>
            </w:r>
          </w:p>
        </w:tc>
      </w:tr>
    </w:tbl>
    <w:p w14:paraId="55D7D930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5.3　流水线化与可复现性</w:t>
      </w:r>
    </w:p>
    <w:p w14:paraId="17AE9F8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处理逻辑已封装为可重复运行的函数：读取、清洗、网格、站台、停留与整体 pipeline，中间结果以零依赖的 pickle 缓存，各阶段耗时记录在案（图 8-1）。流水线通过幂等断言：重复运行结果一致、行数稳定。</w:t>
      </w:r>
    </w:p>
    <w:p w14:paraId="4E4E7CC8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　维度与参考数据质量评估</w:t>
      </w:r>
    </w:p>
    <w:p w14:paraId="29C228A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行程位置依赖 GPS 点，站台归属依赖由首点反推的站台维表。本章评估站台与空间参考的质量。</w:t>
      </w:r>
    </w:p>
    <w:p w14:paraId="2B4F419D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6.1　站台工参与关联（DQ-10）</w:t>
      </w:r>
    </w:p>
    <w:p w14:paraId="46C7B7F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数据没有独立的站台工参表，62 个站台来自 ORIGIN_STAND 编号；B 型行程与站台的关联率为 98.78%，满足空间分析需要。各站台发车趟次见图 6-1。</w:t>
      </w:r>
    </w:p>
    <w:p w14:paraId="1C1B1673">
      <w:pPr>
        <w:keepNext/>
        <w:spacing w:before="120"/>
        <w:jc w:val="center"/>
      </w:pPr>
      <w:r>
        <w:drawing>
          <wp:inline distT="0" distB="0" distL="114300" distR="114300">
            <wp:extent cx="5327650" cy="55105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51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6432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6-1　各候客站台发车趟次（15 号为最热点）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6E7A732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135B04EE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7AE53260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横轴为站台编号、纵轴为发车趟次，15 号站台为最热点。</w:t>
            </w:r>
          </w:p>
          <w:p w14:paraId="333314AF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共 62 个站台；15 号站台 4,958 趟居首。</w:t>
            </w:r>
          </w:p>
          <w:p w14:paraId="5D5DFFEE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通过——B 型行程站台关联率 98.78%。</w:t>
            </w:r>
          </w:p>
          <w:p w14:paraId="5A18C0D8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热点分析以 15 号为中心，低频站台结论需谨慎。</w:t>
            </w:r>
          </w:p>
        </w:tc>
      </w:tr>
    </w:tbl>
    <w:p w14:paraId="594E5B96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6.2　地理覆盖范围（DQ-14）</w:t>
      </w:r>
    </w:p>
    <w:p w14:paraId="44297C5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上车点按 1km 网格聚合，覆盖 293 个网格，最密网格（市中心）发车 21,558 趟、占全部 21.6%，上车点高度集中在波尔图市区（图 6-2）。</w:t>
      </w:r>
    </w:p>
    <w:p w14:paraId="347D7016">
      <w:pPr>
        <w:keepNext/>
        <w:spacing w:before="120"/>
        <w:jc w:val="center"/>
      </w:pPr>
      <w:r>
        <w:drawing>
          <wp:inline distT="0" distB="0" distL="114300" distR="114300">
            <wp:extent cx="5039995" cy="6765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6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9DEB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6-2　上车点 1km 网格热力（琥珀点为站台）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A44DEA6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0DD8B1BA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2090FB16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1km 网格热力，颜色越深趟次越多，琥珀点为站台位置。</w:t>
            </w:r>
          </w:p>
          <w:p w14:paraId="4B440B98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覆盖 293 个网格；最密网格发车 21,558 趟，占全部 21.6%。</w:t>
            </w:r>
          </w:p>
          <w:p w14:paraId="77B151C6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通过——上车点高度集中在市区且分布连续。</w:t>
            </w:r>
          </w:p>
          <w:p w14:paraId="162EE868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网格口径可用于空间聚合；机场等远郊网格样本不足。</w:t>
            </w:r>
          </w:p>
        </w:tc>
      </w:tr>
    </w:tbl>
    <w:p w14:paraId="3E5D2A91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6.3　站台定位与密度（DQ-12、DQ-13）</w:t>
      </w:r>
    </w:p>
    <w:p w14:paraId="4424C44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站台坐标取各站台发车首点的中位数。定位点对该中位坐标的离散度中位仅 6.5 米、P90 为 14.7 米，说明中位数定位稳健准确；个别低频站台因样本少、最大离散约 11 公里，使用时以中位数为准并标注低频站台。站台间距（图 6-3）中位很小，符合市中心站台密集、且坐标由首点反推的特征。</w:t>
      </w:r>
    </w:p>
    <w:p w14:paraId="7C590C33">
      <w:pPr>
        <w:keepNext/>
        <w:spacing w:before="120"/>
        <w:jc w:val="center"/>
      </w:pPr>
      <w:r>
        <w:drawing>
          <wp:inline distT="0" distB="0" distL="114300" distR="114300">
            <wp:extent cx="5219700" cy="31953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E978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6-3　相邻站台最近距离分布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77DAB94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48727552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55294D4F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相邻站台最近距离的分布。</w:t>
            </w:r>
          </w:p>
          <w:p w14:paraId="64070BC3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距离中位很小，尾部存在个别远距站台。</w:t>
            </w:r>
          </w:p>
          <w:p w14:paraId="20F17938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通过——符合市中心站台密集、坐标由首点反推的特征。</w:t>
            </w:r>
          </w:p>
          <w:p w14:paraId="088C7FE4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站台间距不宜单独下结论，需结合各站台发车量。</w:t>
            </w:r>
          </w:p>
        </w:tc>
      </w:tr>
    </w:tbl>
    <w:p w14:paraId="0997223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区域按距市中心分段：核心 43.4%、内环 43.6%、外环 12.2%、机场 0.1%、远郊 0.7%，近九成发车集中在核心与内环。</w:t>
      </w:r>
    </w:p>
    <w:p w14:paraId="78662E87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　样本代表性评估</w:t>
      </w:r>
    </w:p>
    <w:p w14:paraId="0FB6C32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出租车数据只能观察到“被记录的载客行程”。下结论前需回答：这批车在哪里活动、热点在哪、能代表谁。</w:t>
      </w:r>
    </w:p>
    <w:p w14:paraId="1EAEBCA5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7.1　热点识别</w:t>
      </w:r>
    </w:p>
    <w:p w14:paraId="1453001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15 号站台是发车最密集的候客热点（4,958 趟），位于市中心，其空间位置见图 7-1。</w:t>
      </w:r>
    </w:p>
    <w:p w14:paraId="2FA05ED1">
      <w:pPr>
        <w:keepNext/>
        <w:spacing w:before="120"/>
        <w:jc w:val="center"/>
      </w:pPr>
      <w:r>
        <w:drawing>
          <wp:inline distT="0" distB="0" distL="114300" distR="114300">
            <wp:extent cx="5219700" cy="52939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29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143C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7-1　热点空间分布（15 号站台为核心）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61E7395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0D7DA5A0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03FA63FC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地图散点，点的大小与颜色表示发车量，15 号站台突出显示。</w:t>
            </w:r>
          </w:p>
          <w:p w14:paraId="53FA13F4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15 号站台发车 4,958 趟，位于市中心。</w:t>
            </w:r>
          </w:p>
          <w:p w14:paraId="70B1C4F5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通过——热点位置与中心城区一致。</w:t>
            </w:r>
          </w:p>
          <w:p w14:paraId="7E7E6EE1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样本代表性结论以热点区为界，不外推到全市。</w:t>
            </w:r>
          </w:p>
        </w:tc>
      </w:tr>
    </w:tbl>
    <w:p w14:paraId="78DB3674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7.2　距离阈值敏感性</w:t>
      </w:r>
    </w:p>
    <w:p w14:paraId="28D75952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计算每趟上车点离热点的距离并看累计分布（图 7-2），曲线在近距离快速上升后趋缓，说明“热点集中”的结论对距离阈值不敏感。</w:t>
      </w:r>
    </w:p>
    <w:p w14:paraId="2B3D3747">
      <w:pPr>
        <w:keepNext/>
        <w:spacing w:before="120"/>
        <w:jc w:val="center"/>
      </w:pPr>
      <w:r>
        <w:drawing>
          <wp:inline distT="0" distB="0" distL="114300" distR="114300">
            <wp:extent cx="5219700" cy="33077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0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5BA0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7-2　上车点离热点距离的累计分布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DA84902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519DAF8B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04CB3BF7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累计分布，横轴为距热点距离，纵轴为累计占比。</w:t>
            </w:r>
          </w:p>
          <w:p w14:paraId="6A6834FA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曲线在近距离快速上升后趋缓。</w:t>
            </w:r>
          </w:p>
          <w:p w14:paraId="059107E8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通过——“热点集中”的结论对距离阈值不敏感。</w:t>
            </w:r>
          </w:p>
          <w:p w14:paraId="14E30335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阈值在 0.5—2 km 间调整不改变结论方向。</w:t>
            </w:r>
          </w:p>
        </w:tc>
      </w:tr>
    </w:tbl>
    <w:p w14:paraId="6844CEB5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7.3　时间规律：热点小时</w:t>
      </w:r>
    </w:p>
    <w:p w14:paraId="4387A65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热点各小时发车量（图 7-3）呈现明显节律，上午 10 点前后达到高峰（123 辆），可用于刻画候客需求的时间分布。</w:t>
      </w:r>
    </w:p>
    <w:p w14:paraId="44218AD7">
      <w:pPr>
        <w:keepNext/>
        <w:spacing w:before="120"/>
        <w:jc w:val="center"/>
      </w:pPr>
      <w:r>
        <w:drawing>
          <wp:inline distT="0" distB="0" distL="114300" distR="114300">
            <wp:extent cx="5219700" cy="30130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787B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7-3　热点各小时发车趟次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5CF17DD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9014" w:type="dxa"/>
            <w:shd w:val="clear" w:color="auto" w:fill="EAF3FB"/>
          </w:tcPr>
          <w:p w14:paraId="6EC7255A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37AEFD2C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横轴为小时、纵轴为热点站台发车量，标注峰值。</w:t>
            </w:r>
          </w:p>
          <w:p w14:paraId="734A5220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上午 10 点前后达到高峰，约 123 辆。</w:t>
            </w:r>
          </w:p>
          <w:p w14:paraId="6A3721F9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通过——候客需求的时间节律清晰。</w:t>
            </w:r>
          </w:p>
          <w:p w14:paraId="448D58F5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可用于刻画热点站台的候客需求分布。</w:t>
            </w:r>
          </w:p>
        </w:tc>
      </w:tr>
    </w:tbl>
    <w:p w14:paraId="6B6B3530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7.4　城市潮汐</w:t>
      </w:r>
    </w:p>
    <w:p w14:paraId="45CCC46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区域 × 小时的占比矩阵（图 7-4）显示：凌晨 4 点核心区占比高达 71%、午间内环占比约 50%，呈现“深夜向心、白天外扩”的规律。</w:t>
      </w:r>
    </w:p>
    <w:p w14:paraId="19ABAA26">
      <w:pPr>
        <w:keepNext/>
        <w:spacing w:before="120"/>
        <w:jc w:val="center"/>
      </w:pPr>
      <w:r>
        <w:drawing>
          <wp:inline distT="0" distB="0" distL="114300" distR="114300">
            <wp:extent cx="5327650" cy="21609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1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BBEB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7-4　区域 × 24 小时占比矩阵（城市潮汐）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29352FC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3DEFE578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07370678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矩阵热力，行为区域、列为小时，颜色表示该小时发车占比。</w:t>
            </w:r>
          </w:p>
          <w:p w14:paraId="050CB707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凌晨 4 点核心区占比约 71%，午间内环占比约 50%。</w:t>
            </w:r>
          </w:p>
          <w:p w14:paraId="407F2ED2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通过——呈现“深夜向心、白天外扩”的潮汐规律。</w:t>
            </w:r>
          </w:p>
          <w:p w14:paraId="2E77E373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区域 × 小时口径适用于潮汐分析。</w:t>
            </w:r>
          </w:p>
        </w:tc>
      </w:tr>
    </w:tbl>
    <w:p w14:paraId="75F8EFC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选取 4、10、17、23 时四个时刻的空间分布（图 7-5），可直观看到发车位置随时间的向心与外扩。</w:t>
      </w:r>
    </w:p>
    <w:p w14:paraId="215AC23C">
      <w:pPr>
        <w:keepNext/>
        <w:spacing w:before="120"/>
        <w:jc w:val="center"/>
      </w:pPr>
      <w:r>
        <w:drawing>
          <wp:inline distT="0" distB="0" distL="114300" distR="114300">
            <wp:extent cx="5399405" cy="61918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9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814C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7-5　四个关键时刻的上车点空间分布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4E2C816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2D14020C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0D1576B6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四联地图，分别为 4、10、17、23 时的上车点空间分布。</w:t>
            </w:r>
          </w:p>
          <w:p w14:paraId="7F9373D2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发车位置随时间由外围向中心再向外围移动。</w:t>
            </w:r>
          </w:p>
          <w:p w14:paraId="29A66992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通过——与潮汐矩阵结论一致，可互相印证。</w:t>
            </w:r>
          </w:p>
          <w:p w14:paraId="66BC0DE8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支持分时段的空间结论，不能用于跨季节比较。</w:t>
            </w:r>
          </w:p>
        </w:tc>
      </w:tr>
    </w:tbl>
    <w:p w14:paraId="33B45AFA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7.5　样本口径（DQ-15）</w:t>
      </w:r>
    </w:p>
    <w:p w14:paraId="7F63B74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本子集出现 430 辆车（完整数据集为 442 辆），车均 232.6 趟、单车 1 至 503 趟。数据仅含载客轨迹，候客与空驶时段不在 POLYLINE 内，判定为“警告”：结论只代表出租车载客出行，不代表城市全方式出行。</w:t>
      </w:r>
    </w:p>
    <w:p w14:paraId="48940B27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7.6　机场长尾（DQ-16）</w:t>
      </w:r>
    </w:p>
    <w:p w14:paraId="0A177E7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机场 1000 米内全天仅 59 趟（0.059%），机场场景在 100k 子集代表性极弱，判定为“警告”，不据此对机场下结论。</w:t>
      </w:r>
    </w:p>
    <w:p w14:paraId="4FB7ACB2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8　数据适用性评估</w:t>
      </w:r>
    </w:p>
    <w:p w14:paraId="5F604D2E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8.1　观测与处理性能</w:t>
      </w:r>
    </w:p>
    <w:p w14:paraId="5B0C28D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GPS 点按 15 秒采样、相邻点距离中位 92.3 米，行程内观测连续；但行程之间的候客与空驶时段不在轨迹内，同车相邻趟次间隔中位达 60.6 分钟。这一口径决定了数据适合描述“载客行程”，不适合还原车辆全天的完整状态。</w:t>
      </w:r>
    </w:p>
    <w:p w14:paraId="319E0910">
      <w:pPr>
        <w:keepNext/>
        <w:spacing w:before="120"/>
        <w:jc w:val="center"/>
      </w:pPr>
      <w:r>
        <w:drawing>
          <wp:inline distT="0" distB="0" distL="114300" distR="114300">
            <wp:extent cx="5219700" cy="28930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9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017A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8-1　数据流水线各阶段耗时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5F3EFBD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7ECB9252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18EF8D3B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横轴为流水线各阶段、纵轴为耗时。</w:t>
            </w:r>
          </w:p>
          <w:p w14:paraId="2A9F699B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各阶段耗时均有记录，可定位性能瓶颈。</w:t>
            </w:r>
          </w:p>
          <w:p w14:paraId="45E16AD3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通过——流程可复现、耗时可追踪。</w:t>
            </w:r>
          </w:p>
          <w:p w14:paraId="5CEAA157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全量数据可据此估算运行时间。</w:t>
            </w:r>
          </w:p>
        </w:tc>
      </w:tr>
    </w:tbl>
    <w:p w14:paraId="2CE9227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候客停留采用锚点法（连续点 200m 内、时长 ≥10min），停留段 GPS 漂移中位 7 米、远小于正常点间距，说明停留识别可靠（图 8-2）；敏感性分析显示结果对半径不敏感、对最短时长敏感。</w:t>
      </w:r>
    </w:p>
    <w:p w14:paraId="299FD70C">
      <w:pPr>
        <w:keepNext/>
        <w:spacing w:before="120"/>
        <w:jc w:val="center"/>
      </w:pPr>
      <w:r>
        <w:drawing>
          <wp:inline distT="0" distB="0" distL="114300" distR="114300">
            <wp:extent cx="5219700" cy="31953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13AE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8-2　停留段 GPS 漂移与正常点间距对比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576C31B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3AD5093D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454A4AFC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对比停留段 GPS 漂移与正常点间距。</w:t>
            </w:r>
          </w:p>
          <w:p w14:paraId="1B85665D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停留段漂移中位 7 米，远小于正常点间距中位 92.3 米。</w:t>
            </w:r>
          </w:p>
          <w:p w14:paraId="2CA5A1D3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通过——停留识别结果可靠。</w:t>
            </w:r>
          </w:p>
          <w:p w14:paraId="535A874B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停留结果对半径不敏感、对最短时长敏感，口径须固定。</w:t>
            </w:r>
          </w:p>
        </w:tc>
      </w:tr>
    </w:tbl>
    <w:p w14:paraId="7BA48B8A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8.2　适用范围与限制</w:t>
      </w:r>
    </w:p>
    <w:p w14:paraId="614D5927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8-1　数据能回答与不能回答的问题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8F28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1F3864"/>
            <w:vAlign w:val="center"/>
          </w:tcPr>
          <w:p w14:paraId="786DA9B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分析主题</w:t>
            </w:r>
          </w:p>
        </w:tc>
        <w:tc>
          <w:tcPr>
            <w:tcW w:w="2948" w:type="dxa"/>
            <w:shd w:val="clear" w:color="auto" w:fill="1F3864"/>
            <w:vAlign w:val="center"/>
          </w:tcPr>
          <w:p w14:paraId="61142EA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可以回答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7D449D3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不能回答</w:t>
            </w:r>
          </w:p>
        </w:tc>
        <w:tc>
          <w:tcPr>
            <w:tcW w:w="2154" w:type="dxa"/>
            <w:shd w:val="clear" w:color="auto" w:fill="1F3864"/>
            <w:vAlign w:val="center"/>
          </w:tcPr>
          <w:p w14:paraId="1AA1F97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原因</w:t>
            </w:r>
          </w:p>
        </w:tc>
      </w:tr>
      <w:tr w14:paraId="21924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6DD9FC4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上车点分布</w:t>
            </w:r>
          </w:p>
        </w:tc>
        <w:tc>
          <w:tcPr>
            <w:tcW w:w="2948" w:type="dxa"/>
            <w:vAlign w:val="center"/>
          </w:tcPr>
          <w:p w14:paraId="79E40C8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出租车在哪片区域、哪个网格上客</w:t>
            </w:r>
          </w:p>
        </w:tc>
        <w:tc>
          <w:tcPr>
            <w:tcW w:w="2608" w:type="dxa"/>
            <w:vAlign w:val="center"/>
          </w:tcPr>
          <w:p w14:paraId="640DA7D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全市全方式出行的空间分布</w:t>
            </w:r>
          </w:p>
        </w:tc>
        <w:tc>
          <w:tcPr>
            <w:tcW w:w="2154" w:type="dxa"/>
            <w:vAlign w:val="center"/>
          </w:tcPr>
          <w:p w14:paraId="70E7745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仅出租车载客轨迹</w:t>
            </w:r>
          </w:p>
        </w:tc>
      </w:tr>
      <w:tr w14:paraId="6FA24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2F2F2"/>
            <w:vAlign w:val="center"/>
          </w:tcPr>
          <w:p w14:paraId="7519A1C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热点与候客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1242F0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哪些站台是热点、各小时发车节律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29FB832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空驶与候客时段的完整位置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5485C91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该时段不在 POLYLINE 内</w:t>
            </w:r>
          </w:p>
        </w:tc>
      </w:tr>
      <w:tr w14:paraId="06541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746E574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时间规律</w:t>
            </w:r>
          </w:p>
        </w:tc>
        <w:tc>
          <w:tcPr>
            <w:tcW w:w="2948" w:type="dxa"/>
            <w:vAlign w:val="center"/>
          </w:tcPr>
          <w:p w14:paraId="2EC05DE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月上中旬的发车小时与潮汐</w:t>
            </w:r>
          </w:p>
        </w:tc>
        <w:tc>
          <w:tcPr>
            <w:tcW w:w="2608" w:type="dxa"/>
            <w:vAlign w:val="center"/>
          </w:tcPr>
          <w:p w14:paraId="2EB569B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其他季节 / 工作日对比</w:t>
            </w:r>
          </w:p>
        </w:tc>
        <w:tc>
          <w:tcPr>
            <w:tcW w:w="2154" w:type="dxa"/>
            <w:vAlign w:val="center"/>
          </w:tcPr>
          <w:p w14:paraId="049E75E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 7 月三周</w:t>
            </w:r>
          </w:p>
        </w:tc>
      </w:tr>
      <w:tr w14:paraId="49774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2F2F2"/>
            <w:vAlign w:val="center"/>
          </w:tcPr>
          <w:p w14:paraId="72522F8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行程范围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E6EC6E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行程的起终点与空间范围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4C932E5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机场等长尾场景的精细结论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60E40B5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机场仅 59 趟</w:t>
            </w:r>
          </w:p>
        </w:tc>
      </w:tr>
      <w:tr w14:paraId="3BD27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4BA8BF3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停留识别</w:t>
            </w:r>
          </w:p>
        </w:tc>
        <w:tc>
          <w:tcPr>
            <w:tcW w:w="2948" w:type="dxa"/>
            <w:vAlign w:val="center"/>
          </w:tcPr>
          <w:p w14:paraId="7919CAC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基于轨迹的候客停留点与时长</w:t>
            </w:r>
          </w:p>
        </w:tc>
        <w:tc>
          <w:tcPr>
            <w:tcW w:w="2608" w:type="dxa"/>
            <w:vAlign w:val="center"/>
          </w:tcPr>
          <w:p w14:paraId="166131C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下车后的乘客行为</w:t>
            </w:r>
          </w:p>
        </w:tc>
        <w:tc>
          <w:tcPr>
            <w:tcW w:w="2154" w:type="dxa"/>
            <w:vAlign w:val="center"/>
          </w:tcPr>
          <w:p w14:paraId="3D540BF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数据不记录乘客</w:t>
            </w:r>
          </w:p>
        </w:tc>
      </w:tr>
    </w:tbl>
    <w:p w14:paraId="2DD8B7FD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9　问题清单与整改建议</w:t>
      </w:r>
    </w:p>
    <w:p w14:paraId="28462CD1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9.1　问题清单</w:t>
      </w:r>
    </w:p>
    <w:p w14:paraId="52857AC1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9-1　数据质量问题清单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1EC9C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1F3864"/>
            <w:vAlign w:val="center"/>
          </w:tcPr>
          <w:p w14:paraId="788DF14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编号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1B1EA5C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问题描述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0FC9655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关联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5D192E5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严重度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4DA5635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处理 / 整改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33751B8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状态</w:t>
            </w:r>
          </w:p>
        </w:tc>
      </w:tr>
      <w:tr w14:paraId="4AD2E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350EEDE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P-01</w:t>
            </w:r>
          </w:p>
        </w:tc>
        <w:tc>
          <w:tcPr>
            <w:tcW w:w="2835" w:type="dxa"/>
            <w:vAlign w:val="center"/>
          </w:tcPr>
          <w:p w14:paraId="107659D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两个起点字段高比例缺失（结构性）</w:t>
            </w:r>
          </w:p>
        </w:tc>
        <w:tc>
          <w:tcPr>
            <w:tcW w:w="907" w:type="dxa"/>
            <w:vAlign w:val="center"/>
          </w:tcPr>
          <w:p w14:paraId="442C065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DQ-02</w:t>
            </w:r>
          </w:p>
        </w:tc>
        <w:tc>
          <w:tcPr>
            <w:tcW w:w="907" w:type="dxa"/>
            <w:vAlign w:val="center"/>
          </w:tcPr>
          <w:p w14:paraId="09715F5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608" w:type="dxa"/>
            <w:vAlign w:val="center"/>
          </w:tcPr>
          <w:p w14:paraId="0EDBAF2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按叫车类型分别使用，不整体填充</w:t>
            </w:r>
          </w:p>
        </w:tc>
        <w:tc>
          <w:tcPr>
            <w:tcW w:w="1020" w:type="dxa"/>
            <w:vAlign w:val="center"/>
          </w:tcPr>
          <w:p w14:paraId="32B17FD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已规避</w:t>
            </w:r>
          </w:p>
        </w:tc>
      </w:tr>
      <w:tr w14:paraId="6CE9F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3256965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P-02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4A3DAFD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趟空轨迹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6977B71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DQ-03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52C0903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761A429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清洗剔除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7D0E36E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</w:t>
            </w:r>
          </w:p>
        </w:tc>
      </w:tr>
      <w:tr w14:paraId="50832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1BA0D46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P-03</w:t>
            </w:r>
          </w:p>
        </w:tc>
        <w:tc>
          <w:tcPr>
            <w:tcW w:w="2835" w:type="dxa"/>
            <w:vAlign w:val="center"/>
          </w:tcPr>
          <w:p w14:paraId="662B487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趟首点越界、坐标范围异常</w:t>
            </w:r>
          </w:p>
        </w:tc>
        <w:tc>
          <w:tcPr>
            <w:tcW w:w="907" w:type="dxa"/>
            <w:vAlign w:val="center"/>
          </w:tcPr>
          <w:p w14:paraId="4DA5C07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DQ-07</w:t>
            </w:r>
          </w:p>
        </w:tc>
        <w:tc>
          <w:tcPr>
            <w:tcW w:w="907" w:type="dxa"/>
            <w:vAlign w:val="center"/>
          </w:tcPr>
          <w:p w14:paraId="0353417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608" w:type="dxa"/>
            <w:vAlign w:val="center"/>
          </w:tcPr>
          <w:p w14:paraId="12B9A3A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按都市区框剔除</w:t>
            </w:r>
          </w:p>
        </w:tc>
        <w:tc>
          <w:tcPr>
            <w:tcW w:w="1020" w:type="dxa"/>
            <w:vAlign w:val="center"/>
          </w:tcPr>
          <w:p w14:paraId="0EE2017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</w:t>
            </w:r>
          </w:p>
        </w:tc>
      </w:tr>
      <w:tr w14:paraId="6EBEC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534BFA8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P-04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70D4BE9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对行程共用 TRIP_ID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254773F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DQ-09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2AD6BE1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6FC5D5D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以完整记录区分并登记反馈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31D8AA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待反馈</w:t>
            </w:r>
          </w:p>
        </w:tc>
      </w:tr>
      <w:tr w14:paraId="228F4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001F323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P-05</w:t>
            </w:r>
          </w:p>
        </w:tc>
        <w:tc>
          <w:tcPr>
            <w:tcW w:w="2835" w:type="dxa"/>
            <w:vAlign w:val="center"/>
          </w:tcPr>
          <w:p w14:paraId="14420C2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末日 7-21 不完整</w:t>
            </w:r>
          </w:p>
        </w:tc>
        <w:tc>
          <w:tcPr>
            <w:tcW w:w="907" w:type="dxa"/>
            <w:vAlign w:val="center"/>
          </w:tcPr>
          <w:p w14:paraId="524D13E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DQ-01</w:t>
            </w:r>
          </w:p>
        </w:tc>
        <w:tc>
          <w:tcPr>
            <w:tcW w:w="907" w:type="dxa"/>
            <w:vAlign w:val="center"/>
          </w:tcPr>
          <w:p w14:paraId="5CE2EF7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608" w:type="dxa"/>
            <w:vAlign w:val="center"/>
          </w:tcPr>
          <w:p w14:paraId="7596B18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按日统计标注或剔除</w:t>
            </w:r>
          </w:p>
        </w:tc>
        <w:tc>
          <w:tcPr>
            <w:tcW w:w="1020" w:type="dxa"/>
            <w:vAlign w:val="center"/>
          </w:tcPr>
          <w:p w14:paraId="23D9A26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已规避</w:t>
            </w:r>
          </w:p>
        </w:tc>
      </w:tr>
      <w:tr w14:paraId="5C3ED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5D50CCC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P-06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73D7CD6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仅载客轨迹、非全方式出行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0370C95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DQ-15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08DB3A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210F946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结论限定出租车载客出行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4291A44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已披露</w:t>
            </w:r>
          </w:p>
        </w:tc>
      </w:tr>
      <w:tr w14:paraId="19667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1E92236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P-07</w:t>
            </w:r>
          </w:p>
        </w:tc>
        <w:tc>
          <w:tcPr>
            <w:tcW w:w="2835" w:type="dxa"/>
            <w:vAlign w:val="center"/>
          </w:tcPr>
          <w:p w14:paraId="6A3489E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机场样本极少</w:t>
            </w:r>
          </w:p>
        </w:tc>
        <w:tc>
          <w:tcPr>
            <w:tcW w:w="907" w:type="dxa"/>
            <w:vAlign w:val="center"/>
          </w:tcPr>
          <w:p w14:paraId="6ABEF92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DQ-16</w:t>
            </w:r>
          </w:p>
        </w:tc>
        <w:tc>
          <w:tcPr>
            <w:tcW w:w="907" w:type="dxa"/>
            <w:vAlign w:val="center"/>
          </w:tcPr>
          <w:p w14:paraId="49C7727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608" w:type="dxa"/>
            <w:vAlign w:val="center"/>
          </w:tcPr>
          <w:p w14:paraId="1ABB739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改用完整数据集验证</w:t>
            </w:r>
          </w:p>
        </w:tc>
        <w:tc>
          <w:tcPr>
            <w:tcW w:w="1020" w:type="dxa"/>
            <w:vAlign w:val="center"/>
          </w:tcPr>
          <w:p w14:paraId="07A9B98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待反馈</w:t>
            </w:r>
          </w:p>
        </w:tc>
      </w:tr>
      <w:tr w14:paraId="7E9B5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66656C5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P-08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2B4DB08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个别低频站台定位离散偏大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235CC0F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DQ-12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128322F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669F28D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以中位数为准并标注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76D2A3C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已规避</w:t>
            </w:r>
          </w:p>
        </w:tc>
      </w:tr>
    </w:tbl>
    <w:p w14:paraId="1AC4827A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9.2　需数据提供方确认的事项</w:t>
      </w:r>
    </w:p>
    <w:p w14:paraId="4933274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8 对重复 TRIP_ID 与 15 趟越界首点是采集还是导出问题；</w:t>
      </w:r>
    </w:p>
    <w:p w14:paraId="20BC294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100k 子集的抽样规则，是否随机抽取、是否保持与完整数据一致的口径；</w:t>
      </w:r>
    </w:p>
    <w:p w14:paraId="46B3A14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ORIGIN_CALL、ORIGIN_STAND 编号的完整字典及站台正式工参；</w:t>
      </w:r>
    </w:p>
    <w:p w14:paraId="5EA111D7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后续交付数据是否保持相同的字段定义与采样方式。</w:t>
      </w:r>
    </w:p>
    <w:p w14:paraId="4DD551B7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9.3　持续质量监控建议</w:t>
      </w:r>
    </w:p>
    <w:p w14:paraId="2B3778D3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9-2　日常稽核规则建议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8DC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3864"/>
            <w:vAlign w:val="center"/>
          </w:tcPr>
          <w:p w14:paraId="0D652C2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规则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78A4DA4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检查对象</w:t>
            </w:r>
          </w:p>
        </w:tc>
        <w:tc>
          <w:tcPr>
            <w:tcW w:w="2721" w:type="dxa"/>
            <w:shd w:val="clear" w:color="auto" w:fill="1F3864"/>
            <w:vAlign w:val="center"/>
          </w:tcPr>
          <w:p w14:paraId="5992C09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建议阈值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61B89C7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触发动作</w:t>
            </w:r>
          </w:p>
        </w:tc>
      </w:tr>
      <w:tr w14:paraId="5DBAA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1A417B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记录量波动</w:t>
            </w:r>
          </w:p>
        </w:tc>
        <w:tc>
          <w:tcPr>
            <w:tcW w:w="2381" w:type="dxa"/>
            <w:vAlign w:val="center"/>
          </w:tcPr>
          <w:p w14:paraId="2838CC4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当日发车趟次</w:t>
            </w:r>
          </w:p>
        </w:tc>
        <w:tc>
          <w:tcPr>
            <w:tcW w:w="2721" w:type="dxa"/>
            <w:vAlign w:val="center"/>
          </w:tcPr>
          <w:p w14:paraId="2C53098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与近 7 日均值偏差超 30%</w:t>
            </w:r>
          </w:p>
        </w:tc>
        <w:tc>
          <w:tcPr>
            <w:tcW w:w="2494" w:type="dxa"/>
            <w:vAlign w:val="center"/>
          </w:tcPr>
          <w:p w14:paraId="248F0AB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告警，人工确认</w:t>
            </w:r>
          </w:p>
        </w:tc>
      </w:tr>
      <w:tr w14:paraId="52BEF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4FB7188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空轨迹率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0FAA843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POLYLINE 为空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03937D0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超过 0.5%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171DC98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告警，反馈提供方</w:t>
            </w:r>
          </w:p>
        </w:tc>
      </w:tr>
      <w:tr w14:paraId="70977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1C5E4A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起点字段一致</w:t>
            </w:r>
          </w:p>
        </w:tc>
        <w:tc>
          <w:tcPr>
            <w:tcW w:w="2381" w:type="dxa"/>
            <w:vAlign w:val="center"/>
          </w:tcPr>
          <w:p w14:paraId="1E1694A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起点缺失与 CALL_TYPE</w:t>
            </w:r>
          </w:p>
        </w:tc>
        <w:tc>
          <w:tcPr>
            <w:tcW w:w="2721" w:type="dxa"/>
            <w:vAlign w:val="center"/>
          </w:tcPr>
          <w:p w14:paraId="4B2E53A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缺失与类型不匹配</w:t>
            </w:r>
          </w:p>
        </w:tc>
        <w:tc>
          <w:tcPr>
            <w:tcW w:w="2494" w:type="dxa"/>
            <w:vAlign w:val="center"/>
          </w:tcPr>
          <w:p w14:paraId="42863DD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阻断发布</w:t>
            </w:r>
          </w:p>
        </w:tc>
      </w:tr>
      <w:tr w14:paraId="67CE7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55ADB8C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越界首点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2535359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首点超出都市区框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1418B80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超过 0.1%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6DE3D52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告警</w:t>
            </w:r>
          </w:p>
        </w:tc>
      </w:tr>
      <w:tr w14:paraId="1A4A8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63B2EB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重复行程</w:t>
            </w:r>
          </w:p>
        </w:tc>
        <w:tc>
          <w:tcPr>
            <w:tcW w:w="2381" w:type="dxa"/>
            <w:vAlign w:val="center"/>
          </w:tcPr>
          <w:p w14:paraId="3AFAE69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TRIP_ID 与轨迹</w:t>
            </w:r>
          </w:p>
        </w:tc>
        <w:tc>
          <w:tcPr>
            <w:tcW w:w="2721" w:type="dxa"/>
            <w:vAlign w:val="center"/>
          </w:tcPr>
          <w:p w14:paraId="64D1DF7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出现 ID 重复</w:t>
            </w:r>
          </w:p>
        </w:tc>
        <w:tc>
          <w:tcPr>
            <w:tcW w:w="2494" w:type="dxa"/>
            <w:vAlign w:val="center"/>
          </w:tcPr>
          <w:p w14:paraId="136F497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登记并核查</w:t>
            </w:r>
          </w:p>
        </w:tc>
      </w:tr>
      <w:tr w14:paraId="4CD45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0D73C16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站台关联率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1BD39B1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型关联站台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279DBA4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低于 98%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ADB923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告警</w:t>
            </w:r>
          </w:p>
        </w:tc>
      </w:tr>
    </w:tbl>
    <w:p w14:paraId="7C3BE58F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10　结论</w:t>
      </w:r>
    </w:p>
    <w:p w14:paraId="025730B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本次评估覆盖 train_100k 及其加工结果，共执行 16 项质量检查：通过 9 项、警告 6 项、不通过 1 项。</w:t>
      </w:r>
    </w:p>
    <w:p w14:paraId="105B2A2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从记录质量看，数据整体良好。空轨迹与越界首点合计仅 0.38%，无完全重复行，清洗后 99.6% 的行程进入明细层，B 型站台关联率 98.78%，GPS 点间距与采样稳定；清洗流程已封装为可重复运行、结果幂等的流水线。</w:t>
      </w:r>
    </w:p>
    <w:p w14:paraId="302C660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从完整性与口径看，两个起点字段按叫车类型存在结构性缺失，必须按类型分别使用；样本仅为 430 辆出租车的载客轨迹、机场等长尾场景代表性弱。这些问题已通过清洗与口径限定规避。</w:t>
      </w:r>
    </w:p>
    <w:p w14:paraId="1E8CCCA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该数据适合分析波尔图出租车在 2013 年 7 月上中旬的载客上客分布、热点候客、发车潮汐与候客停留，不适合用于全市全方式出行、季节对比和机场等长尾场景。建议在数据提供方确认抽样口径前，所有交付物均注明结论的适用范围，并将 16 项检查固化为每日自动稽核规则。</w:t>
      </w:r>
    </w:p>
    <w:p w14:paraId="1F5F0874">
      <w:r>
        <w:br w:type="page"/>
      </w:r>
    </w:p>
    <w:p w14:paraId="1948FB5A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附录 A　数据质量检查明细表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3A665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7" w:type="dxa"/>
            <w:shd w:val="clear" w:color="auto" w:fill="1F3864"/>
            <w:vAlign w:val="center"/>
          </w:tcPr>
          <w:p w14:paraId="13D545A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18DDC64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维度</w:t>
            </w:r>
          </w:p>
        </w:tc>
        <w:tc>
          <w:tcPr>
            <w:tcW w:w="1587" w:type="dxa"/>
            <w:shd w:val="clear" w:color="auto" w:fill="1F3864"/>
            <w:vAlign w:val="center"/>
          </w:tcPr>
          <w:p w14:paraId="459D011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检查项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1B518FD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结果</w:t>
            </w:r>
          </w:p>
        </w:tc>
        <w:tc>
          <w:tcPr>
            <w:tcW w:w="794" w:type="dxa"/>
            <w:shd w:val="clear" w:color="auto" w:fill="1F3864"/>
            <w:vAlign w:val="center"/>
          </w:tcPr>
          <w:p w14:paraId="7963036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状态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4E53DF2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处理决定</w:t>
            </w:r>
          </w:p>
        </w:tc>
      </w:tr>
      <w:tr w14:paraId="75CE3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0AFB45F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DQ-01</w:t>
            </w:r>
          </w:p>
        </w:tc>
        <w:tc>
          <w:tcPr>
            <w:tcW w:w="907" w:type="dxa"/>
            <w:vAlign w:val="center"/>
          </w:tcPr>
          <w:p w14:paraId="2091084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时效性</w:t>
            </w:r>
          </w:p>
        </w:tc>
        <w:tc>
          <w:tcPr>
            <w:tcW w:w="1587" w:type="dxa"/>
            <w:vAlign w:val="center"/>
          </w:tcPr>
          <w:p w14:paraId="0AE2A70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各日数据完整度</w:t>
            </w:r>
          </w:p>
        </w:tc>
        <w:tc>
          <w:tcPr>
            <w:tcW w:w="2494" w:type="dxa"/>
            <w:vAlign w:val="center"/>
          </w:tcPr>
          <w:p w14:paraId="695B342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21 天，末日 3502 趟不完整</w:t>
            </w:r>
          </w:p>
        </w:tc>
        <w:tc>
          <w:tcPr>
            <w:tcW w:w="794" w:type="dxa"/>
            <w:vAlign w:val="center"/>
          </w:tcPr>
          <w:p w14:paraId="39E9518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警告</w:t>
            </w:r>
          </w:p>
        </w:tc>
        <w:tc>
          <w:tcPr>
            <w:tcW w:w="2381" w:type="dxa"/>
            <w:vAlign w:val="center"/>
          </w:tcPr>
          <w:p w14:paraId="4807BEE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按日统计标注或剔除末日</w:t>
            </w:r>
          </w:p>
        </w:tc>
      </w:tr>
      <w:tr w14:paraId="29961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53033BE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DQ-02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42D61D9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完整性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12255DC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结构性字段缺失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1B7FA9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CALL 缺 79.0%、STAND 缺 50.7%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3B866D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警告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43DDFEB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按叫车类型分别使用</w:t>
            </w:r>
          </w:p>
        </w:tc>
      </w:tr>
      <w:tr w14:paraId="0D2C6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4AA1E26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DQ-03</w:t>
            </w:r>
          </w:p>
        </w:tc>
        <w:tc>
          <w:tcPr>
            <w:tcW w:w="907" w:type="dxa"/>
            <w:vAlign w:val="center"/>
          </w:tcPr>
          <w:p w14:paraId="65D78AE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完整性</w:t>
            </w:r>
          </w:p>
        </w:tc>
        <w:tc>
          <w:tcPr>
            <w:tcW w:w="1587" w:type="dxa"/>
            <w:vAlign w:val="center"/>
          </w:tcPr>
          <w:p w14:paraId="000173C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空轨迹</w:t>
            </w:r>
          </w:p>
        </w:tc>
        <w:tc>
          <w:tcPr>
            <w:tcW w:w="2494" w:type="dxa"/>
            <w:vAlign w:val="center"/>
          </w:tcPr>
          <w:p w14:paraId="472311F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367 趟（0.37%）</w:t>
            </w:r>
          </w:p>
        </w:tc>
        <w:tc>
          <w:tcPr>
            <w:tcW w:w="794" w:type="dxa"/>
            <w:vAlign w:val="center"/>
          </w:tcPr>
          <w:p w14:paraId="4899050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不通过</w:t>
            </w:r>
          </w:p>
        </w:tc>
        <w:tc>
          <w:tcPr>
            <w:tcW w:w="2381" w:type="dxa"/>
            <w:vAlign w:val="center"/>
          </w:tcPr>
          <w:p w14:paraId="24FFDDA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剔除</w:t>
            </w:r>
          </w:p>
        </w:tc>
      </w:tr>
      <w:tr w14:paraId="3387F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5B2AE93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DQ-04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2BA56E0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完整性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76E9210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关键列缺失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15941BC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四列均 0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92CDE1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178E687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无需处理</w:t>
            </w:r>
          </w:p>
        </w:tc>
      </w:tr>
      <w:tr w14:paraId="33895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DB1E79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DQ-05</w:t>
            </w:r>
          </w:p>
        </w:tc>
        <w:tc>
          <w:tcPr>
            <w:tcW w:w="907" w:type="dxa"/>
            <w:vAlign w:val="center"/>
          </w:tcPr>
          <w:p w14:paraId="503E7F8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规范性</w:t>
            </w:r>
          </w:p>
        </w:tc>
        <w:tc>
          <w:tcPr>
            <w:tcW w:w="1587" w:type="dxa"/>
            <w:vAlign w:val="center"/>
          </w:tcPr>
          <w:p w14:paraId="0576BC3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枚举取值</w:t>
            </w:r>
          </w:p>
        </w:tc>
        <w:tc>
          <w:tcPr>
            <w:tcW w:w="2494" w:type="dxa"/>
            <w:vAlign w:val="center"/>
          </w:tcPr>
          <w:p w14:paraId="2604C03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A/B/C；DAY 全 A；MISSING 全 False</w:t>
            </w:r>
          </w:p>
        </w:tc>
        <w:tc>
          <w:tcPr>
            <w:tcW w:w="794" w:type="dxa"/>
            <w:vAlign w:val="center"/>
          </w:tcPr>
          <w:p w14:paraId="4E4A0AE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vAlign w:val="center"/>
          </w:tcPr>
          <w:p w14:paraId="3C9B45B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无需处理</w:t>
            </w:r>
          </w:p>
        </w:tc>
      </w:tr>
      <w:tr w14:paraId="3D147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6784E5E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DQ-06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44756DB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规范性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0145F06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格式合法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3DF19F3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全可解析、时间全为正整数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D736E9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7022DEC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无需处理</w:t>
            </w:r>
          </w:p>
        </w:tc>
      </w:tr>
      <w:tr w14:paraId="4253B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75B92F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DQ-07</w:t>
            </w:r>
          </w:p>
        </w:tc>
        <w:tc>
          <w:tcPr>
            <w:tcW w:w="907" w:type="dxa"/>
            <w:vAlign w:val="center"/>
          </w:tcPr>
          <w:p w14:paraId="5A70249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规范性</w:t>
            </w:r>
          </w:p>
        </w:tc>
        <w:tc>
          <w:tcPr>
            <w:tcW w:w="1587" w:type="dxa"/>
            <w:vAlign w:val="center"/>
          </w:tcPr>
          <w:p w14:paraId="058A9A1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坐标范围</w:t>
            </w:r>
          </w:p>
        </w:tc>
        <w:tc>
          <w:tcPr>
            <w:tcW w:w="2494" w:type="dxa"/>
            <w:vAlign w:val="center"/>
          </w:tcPr>
          <w:p w14:paraId="6628E88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越界 15 趟，范围异常宽</w:t>
            </w:r>
          </w:p>
        </w:tc>
        <w:tc>
          <w:tcPr>
            <w:tcW w:w="794" w:type="dxa"/>
            <w:vAlign w:val="center"/>
          </w:tcPr>
          <w:p w14:paraId="446AE4B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警告</w:t>
            </w:r>
          </w:p>
        </w:tc>
        <w:tc>
          <w:tcPr>
            <w:tcW w:w="2381" w:type="dxa"/>
            <w:vAlign w:val="center"/>
          </w:tcPr>
          <w:p w14:paraId="0149D09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按都市区框剔除</w:t>
            </w:r>
          </w:p>
        </w:tc>
      </w:tr>
      <w:tr w14:paraId="6B0A9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0750B2F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DQ-08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EFB8D8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唯一性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4620E42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完全重复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0DE5319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 行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BF0563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632D5EB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无需处理</w:t>
            </w:r>
          </w:p>
        </w:tc>
      </w:tr>
      <w:tr w14:paraId="0EDDA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7D99754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DQ-09</w:t>
            </w:r>
          </w:p>
        </w:tc>
        <w:tc>
          <w:tcPr>
            <w:tcW w:w="907" w:type="dxa"/>
            <w:vAlign w:val="center"/>
          </w:tcPr>
          <w:p w14:paraId="64E4102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唯一性</w:t>
            </w:r>
          </w:p>
        </w:tc>
        <w:tc>
          <w:tcPr>
            <w:tcW w:w="1587" w:type="dxa"/>
            <w:vAlign w:val="center"/>
          </w:tcPr>
          <w:p w14:paraId="690B471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行程主键</w:t>
            </w:r>
          </w:p>
        </w:tc>
        <w:tc>
          <w:tcPr>
            <w:tcW w:w="2494" w:type="dxa"/>
            <w:vAlign w:val="center"/>
          </w:tcPr>
          <w:p w14:paraId="3B75EB3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唯一 99992，16 行（8 对）重复</w:t>
            </w:r>
          </w:p>
        </w:tc>
        <w:tc>
          <w:tcPr>
            <w:tcW w:w="794" w:type="dxa"/>
            <w:vAlign w:val="center"/>
          </w:tcPr>
          <w:p w14:paraId="23D0A2F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警告</w:t>
            </w:r>
          </w:p>
        </w:tc>
        <w:tc>
          <w:tcPr>
            <w:tcW w:w="2381" w:type="dxa"/>
            <w:vAlign w:val="center"/>
          </w:tcPr>
          <w:p w14:paraId="2E781B1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以完整记录区分并登记</w:t>
            </w:r>
          </w:p>
        </w:tc>
      </w:tr>
      <w:tr w14:paraId="19ABF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0F00E13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DQ-10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268D04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一致性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089131E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站台关联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33DC840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 型 98.78%；62 站台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1F1EED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0F5ADD1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关联不上的不参与空间分析</w:t>
            </w:r>
          </w:p>
        </w:tc>
      </w:tr>
      <w:tr w14:paraId="44F5A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2C822C4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DQ-11</w:t>
            </w:r>
          </w:p>
        </w:tc>
        <w:tc>
          <w:tcPr>
            <w:tcW w:w="907" w:type="dxa"/>
            <w:vAlign w:val="center"/>
          </w:tcPr>
          <w:p w14:paraId="41BEB63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一致性</w:t>
            </w:r>
          </w:p>
        </w:tc>
        <w:tc>
          <w:tcPr>
            <w:tcW w:w="1587" w:type="dxa"/>
            <w:vAlign w:val="center"/>
          </w:tcPr>
          <w:p w14:paraId="147D955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GPS 采样/跳点</w:t>
            </w:r>
          </w:p>
        </w:tc>
        <w:tc>
          <w:tcPr>
            <w:tcW w:w="2494" w:type="dxa"/>
            <w:vAlign w:val="center"/>
          </w:tcPr>
          <w:p w14:paraId="1CF81AE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点距中位 92.3m，跳点 3.33%</w:t>
            </w:r>
          </w:p>
        </w:tc>
        <w:tc>
          <w:tcPr>
            <w:tcW w:w="794" w:type="dxa"/>
            <w:vAlign w:val="center"/>
          </w:tcPr>
          <w:p w14:paraId="0301DB5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vAlign w:val="center"/>
          </w:tcPr>
          <w:p w14:paraId="6B441AC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按阈值识别跳点</w:t>
            </w:r>
          </w:p>
        </w:tc>
      </w:tr>
      <w:tr w14:paraId="29510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54D7A1B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DQ-12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1A2340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准确性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44BFD8B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站台定位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2E794F9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离散中位 6.5m、P90 14.7m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CDB23C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23171AC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以中位数为准，标注低频站台</w:t>
            </w:r>
          </w:p>
        </w:tc>
      </w:tr>
      <w:tr w14:paraId="4DBD2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3BA1AD9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DQ-13</w:t>
            </w:r>
          </w:p>
        </w:tc>
        <w:tc>
          <w:tcPr>
            <w:tcW w:w="907" w:type="dxa"/>
            <w:vAlign w:val="center"/>
          </w:tcPr>
          <w:p w14:paraId="631FB1A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准确性</w:t>
            </w:r>
          </w:p>
        </w:tc>
        <w:tc>
          <w:tcPr>
            <w:tcW w:w="1587" w:type="dxa"/>
            <w:vAlign w:val="center"/>
          </w:tcPr>
          <w:p w14:paraId="3663086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网格/区域归属</w:t>
            </w:r>
          </w:p>
        </w:tc>
        <w:tc>
          <w:tcPr>
            <w:tcW w:w="2494" w:type="dxa"/>
            <w:vAlign w:val="center"/>
          </w:tcPr>
          <w:p w14:paraId="077A1A8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293 网格，区域占比合理</w:t>
            </w:r>
          </w:p>
        </w:tc>
        <w:tc>
          <w:tcPr>
            <w:tcW w:w="794" w:type="dxa"/>
            <w:vAlign w:val="center"/>
          </w:tcPr>
          <w:p w14:paraId="252EBB6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vAlign w:val="center"/>
          </w:tcPr>
          <w:p w14:paraId="52DEF81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无需处理</w:t>
            </w:r>
          </w:p>
        </w:tc>
      </w:tr>
      <w:tr w14:paraId="037E6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358EE09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DQ-14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1AA692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代表性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3794DE0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地理覆盖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608B0C9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最密网格占 21.6%，框内 99618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6441C1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4E6440A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无需处理</w:t>
            </w:r>
          </w:p>
        </w:tc>
      </w:tr>
      <w:tr w14:paraId="5717D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29962AC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DQ-15</w:t>
            </w:r>
          </w:p>
        </w:tc>
        <w:tc>
          <w:tcPr>
            <w:tcW w:w="907" w:type="dxa"/>
            <w:vAlign w:val="center"/>
          </w:tcPr>
          <w:p w14:paraId="098F754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代表性</w:t>
            </w:r>
          </w:p>
        </w:tc>
        <w:tc>
          <w:tcPr>
            <w:tcW w:w="1587" w:type="dxa"/>
            <w:vAlign w:val="center"/>
          </w:tcPr>
          <w:p w14:paraId="0BEC711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样本口径</w:t>
            </w:r>
          </w:p>
        </w:tc>
        <w:tc>
          <w:tcPr>
            <w:tcW w:w="2494" w:type="dxa"/>
            <w:vAlign w:val="center"/>
          </w:tcPr>
          <w:p w14:paraId="2193B27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430 辆、车均 232.6 趟，仅载客</w:t>
            </w:r>
          </w:p>
        </w:tc>
        <w:tc>
          <w:tcPr>
            <w:tcW w:w="794" w:type="dxa"/>
            <w:vAlign w:val="center"/>
          </w:tcPr>
          <w:p w14:paraId="4B65D05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警告</w:t>
            </w:r>
          </w:p>
        </w:tc>
        <w:tc>
          <w:tcPr>
            <w:tcW w:w="2381" w:type="dxa"/>
            <w:vAlign w:val="center"/>
          </w:tcPr>
          <w:p w14:paraId="4C1ED10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结论限定出租车载客出行</w:t>
            </w:r>
          </w:p>
        </w:tc>
      </w:tr>
      <w:tr w14:paraId="50CCD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00B43E0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DQ-16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0F4E87D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代表性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609D514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机场长尾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26537D5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机场内 59 趟（0.059%）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F8D879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警告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63BBE3A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改用完整数据集验证</w:t>
            </w:r>
          </w:p>
        </w:tc>
      </w:tr>
    </w:tbl>
    <w:p w14:paraId="19BF20CF">
      <w:r>
        <w:br w:type="page"/>
      </w:r>
    </w:p>
    <w:p w14:paraId="6CA9860F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附录 B　字段可信度字典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06E9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3864"/>
            <w:vAlign w:val="center"/>
          </w:tcPr>
          <w:p w14:paraId="47E0759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</w:t>
            </w:r>
          </w:p>
        </w:tc>
        <w:tc>
          <w:tcPr>
            <w:tcW w:w="1928" w:type="dxa"/>
            <w:shd w:val="clear" w:color="auto" w:fill="1F3864"/>
            <w:vAlign w:val="center"/>
          </w:tcPr>
          <w:p w14:paraId="5055AF0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含义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041C33A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可信度</w:t>
            </w:r>
          </w:p>
        </w:tc>
        <w:tc>
          <w:tcPr>
            <w:tcW w:w="4649" w:type="dxa"/>
            <w:shd w:val="clear" w:color="auto" w:fill="1F3864"/>
            <w:vAlign w:val="center"/>
          </w:tcPr>
          <w:p w14:paraId="765C008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依据与使用建议</w:t>
            </w:r>
          </w:p>
        </w:tc>
      </w:tr>
      <w:tr w14:paraId="2D7D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23F217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TRIP_ID</w:t>
            </w:r>
          </w:p>
        </w:tc>
        <w:tc>
          <w:tcPr>
            <w:tcW w:w="1928" w:type="dxa"/>
            <w:vAlign w:val="center"/>
          </w:tcPr>
          <w:p w14:paraId="6ECD2E0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行程标识</w:t>
            </w:r>
          </w:p>
        </w:tc>
        <w:tc>
          <w:tcPr>
            <w:tcW w:w="1020" w:type="dxa"/>
            <w:vAlign w:val="center"/>
          </w:tcPr>
          <w:p w14:paraId="74078A8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vAlign w:val="center"/>
          </w:tcPr>
          <w:p w14:paraId="7882418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99,992 唯一，8 对重复需登记（4.3）</w:t>
            </w:r>
          </w:p>
        </w:tc>
      </w:tr>
      <w:tr w14:paraId="5AF89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5BA730C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CALL_TYPE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25D7C7D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叫车类型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0DD080C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shd w:val="clear" w:color="auto" w:fill="F2F2F2"/>
            <w:vAlign w:val="center"/>
          </w:tcPr>
          <w:p w14:paraId="30D5A56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取值规范，作为起点字段使用依据</w:t>
            </w:r>
          </w:p>
        </w:tc>
      </w:tr>
      <w:tr w14:paraId="7A4C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7BF004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ORIGIN_CALL</w:t>
            </w:r>
          </w:p>
        </w:tc>
        <w:tc>
          <w:tcPr>
            <w:tcW w:w="1928" w:type="dxa"/>
            <w:vAlign w:val="center"/>
          </w:tcPr>
          <w:p w14:paraId="56184D1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电话叫车起点</w:t>
            </w:r>
          </w:p>
        </w:tc>
        <w:tc>
          <w:tcPr>
            <w:tcW w:w="1020" w:type="dxa"/>
            <w:vAlign w:val="center"/>
          </w:tcPr>
          <w:p w14:paraId="44070A7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vAlign w:val="center"/>
          </w:tcPr>
          <w:p w14:paraId="766B37A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 A 型有值，按类型使用</w:t>
            </w:r>
          </w:p>
        </w:tc>
      </w:tr>
      <w:tr w14:paraId="5A048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9C3497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ORIGIN_STAND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4450874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站台编号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68C444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shd w:val="clear" w:color="auto" w:fill="F2F2F2"/>
            <w:vAlign w:val="center"/>
          </w:tcPr>
          <w:p w14:paraId="1118BD4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 B 型 98.78% 有值，按类型使用</w:t>
            </w:r>
          </w:p>
        </w:tc>
      </w:tr>
      <w:tr w14:paraId="16599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B9809B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TAXI_ID</w:t>
            </w:r>
          </w:p>
        </w:tc>
        <w:tc>
          <w:tcPr>
            <w:tcW w:w="1928" w:type="dxa"/>
            <w:vAlign w:val="center"/>
          </w:tcPr>
          <w:p w14:paraId="48412F7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车辆标识</w:t>
            </w:r>
          </w:p>
        </w:tc>
        <w:tc>
          <w:tcPr>
            <w:tcW w:w="1020" w:type="dxa"/>
            <w:vAlign w:val="center"/>
          </w:tcPr>
          <w:p w14:paraId="5FB15FB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vAlign w:val="center"/>
          </w:tcPr>
          <w:p w14:paraId="0A6B1C4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辆，用于按车归并</w:t>
            </w:r>
          </w:p>
        </w:tc>
      </w:tr>
      <w:tr w14:paraId="77FBE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07FA3B3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TIMESTAMP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16FA7E7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行程开始 UTC 秒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B07201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shd w:val="clear" w:color="auto" w:fill="F2F2F2"/>
            <w:vAlign w:val="center"/>
          </w:tcPr>
          <w:p w14:paraId="5F4A2F9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小时分布符合作息，转本地时间</w:t>
            </w:r>
          </w:p>
        </w:tc>
      </w:tr>
      <w:tr w14:paraId="443C8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32B246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DAY_TYPE</w:t>
            </w:r>
          </w:p>
        </w:tc>
        <w:tc>
          <w:tcPr>
            <w:tcW w:w="1928" w:type="dxa"/>
            <w:vAlign w:val="center"/>
          </w:tcPr>
          <w:p w14:paraId="5D9D61B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日类型</w:t>
            </w:r>
          </w:p>
        </w:tc>
        <w:tc>
          <w:tcPr>
            <w:tcW w:w="1020" w:type="dxa"/>
            <w:vAlign w:val="center"/>
          </w:tcPr>
          <w:p w14:paraId="093B8EC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vAlign w:val="center"/>
          </w:tcPr>
          <w:p w14:paraId="0126AA1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全为 A，不参与区分</w:t>
            </w:r>
          </w:p>
        </w:tc>
      </w:tr>
      <w:tr w14:paraId="6B8A1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288BFB3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MISSING_DATA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07C18A9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是否缺失点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DCE167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shd w:val="clear" w:color="auto" w:fill="F2F2F2"/>
            <w:vAlign w:val="center"/>
          </w:tcPr>
          <w:p w14:paraId="687E224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全为 False</w:t>
            </w:r>
          </w:p>
        </w:tc>
      </w:tr>
      <w:tr w14:paraId="27F90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47AAEE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POLYLINE</w:t>
            </w:r>
          </w:p>
        </w:tc>
        <w:tc>
          <w:tcPr>
            <w:tcW w:w="1928" w:type="dxa"/>
            <w:vAlign w:val="center"/>
          </w:tcPr>
          <w:p w14:paraId="0CA1D61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GPS 轨迹（15s）</w:t>
            </w:r>
          </w:p>
        </w:tc>
        <w:tc>
          <w:tcPr>
            <w:tcW w:w="1020" w:type="dxa"/>
            <w:vAlign w:val="center"/>
          </w:tcPr>
          <w:p w14:paraId="750037B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vAlign w:val="center"/>
          </w:tcPr>
          <w:p w14:paraId="03109FE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趟为空需剔除，跳点 3.33% 可识别</w:t>
            </w:r>
          </w:p>
        </w:tc>
      </w:tr>
    </w:tbl>
    <w:p w14:paraId="316C3167">
      <w:r>
        <w:br w:type="page"/>
      </w:r>
    </w:p>
    <w:p w14:paraId="62463B51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附录 C　图表索引与复核说明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E0D1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3864"/>
            <w:vAlign w:val="center"/>
          </w:tcPr>
          <w:p w14:paraId="5C01CDB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图号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417029C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图名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1D2DAB5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源文件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64A701F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关联检查</w:t>
            </w:r>
          </w:p>
        </w:tc>
      </w:tr>
      <w:tr w14:paraId="0CC39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63CE573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1-1</w:t>
            </w:r>
          </w:p>
        </w:tc>
        <w:tc>
          <w:tcPr>
            <w:tcW w:w="2835" w:type="dxa"/>
            <w:vAlign w:val="center"/>
          </w:tcPr>
          <w:p w14:paraId="14F112D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数据分层流转</w:t>
            </w:r>
          </w:p>
        </w:tc>
        <w:tc>
          <w:tcPr>
            <w:tcW w:w="2608" w:type="dxa"/>
            <w:vAlign w:val="center"/>
          </w:tcPr>
          <w:p w14:paraId="42992CD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R_图1-1（新绘）</w:t>
            </w:r>
          </w:p>
        </w:tc>
        <w:tc>
          <w:tcPr>
            <w:tcW w:w="2608" w:type="dxa"/>
            <w:vAlign w:val="center"/>
          </w:tcPr>
          <w:p w14:paraId="18B644B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  <w:tr w14:paraId="19636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70B2989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2-1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194F714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质量维度汇总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1B49E96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R_图2-1（新绘）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21DF508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DQ-01—16</w:t>
            </w:r>
          </w:p>
        </w:tc>
      </w:tr>
      <w:tr w14:paraId="259ED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71F7D09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3-1</w:t>
            </w:r>
          </w:p>
        </w:tc>
        <w:tc>
          <w:tcPr>
            <w:tcW w:w="2835" w:type="dxa"/>
            <w:vAlign w:val="center"/>
          </w:tcPr>
          <w:p w14:paraId="4A888DA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各日趟次</w:t>
            </w:r>
          </w:p>
        </w:tc>
        <w:tc>
          <w:tcPr>
            <w:tcW w:w="2608" w:type="dxa"/>
            <w:vAlign w:val="center"/>
          </w:tcPr>
          <w:p w14:paraId="75764E2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D1_01</w:t>
            </w:r>
          </w:p>
        </w:tc>
        <w:tc>
          <w:tcPr>
            <w:tcW w:w="2608" w:type="dxa"/>
            <w:vAlign w:val="center"/>
          </w:tcPr>
          <w:p w14:paraId="711BED1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DQ-01</w:t>
            </w:r>
          </w:p>
        </w:tc>
      </w:tr>
      <w:tr w14:paraId="0ACEF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78BB15F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3-2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05635A6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小时趟次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20CF416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D1_02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7C0F604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DQ-01</w:t>
            </w:r>
          </w:p>
        </w:tc>
      </w:tr>
      <w:tr w14:paraId="48233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35CE69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4-1</w:t>
            </w:r>
          </w:p>
        </w:tc>
        <w:tc>
          <w:tcPr>
            <w:tcW w:w="2835" w:type="dxa"/>
            <w:vAlign w:val="center"/>
          </w:tcPr>
          <w:p w14:paraId="4A26485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字段缺失率</w:t>
            </w:r>
          </w:p>
        </w:tc>
        <w:tc>
          <w:tcPr>
            <w:tcW w:w="2608" w:type="dxa"/>
            <w:vAlign w:val="center"/>
          </w:tcPr>
          <w:p w14:paraId="3AC13DB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D2_01</w:t>
            </w:r>
          </w:p>
        </w:tc>
        <w:tc>
          <w:tcPr>
            <w:tcW w:w="2608" w:type="dxa"/>
            <w:vAlign w:val="center"/>
          </w:tcPr>
          <w:p w14:paraId="4BD92F9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DQ-02/03/04</w:t>
            </w:r>
          </w:p>
        </w:tc>
      </w:tr>
      <w:tr w14:paraId="084A7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7C18A5B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5-1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3336E55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清洗瀑布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703FF29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D2_02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09E8148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DQ-03/07/08</w:t>
            </w:r>
          </w:p>
        </w:tc>
      </w:tr>
      <w:tr w14:paraId="23901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FF7AC0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5-2</w:t>
            </w:r>
          </w:p>
        </w:tc>
        <w:tc>
          <w:tcPr>
            <w:tcW w:w="2835" w:type="dxa"/>
            <w:vAlign w:val="center"/>
          </w:tcPr>
          <w:p w14:paraId="5FDF7C7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相邻趟次间隔</w:t>
            </w:r>
          </w:p>
        </w:tc>
        <w:tc>
          <w:tcPr>
            <w:tcW w:w="2608" w:type="dxa"/>
            <w:vAlign w:val="center"/>
          </w:tcPr>
          <w:p w14:paraId="2A517C1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D2_03</w:t>
            </w:r>
          </w:p>
        </w:tc>
        <w:tc>
          <w:tcPr>
            <w:tcW w:w="2608" w:type="dxa"/>
            <w:vAlign w:val="center"/>
          </w:tcPr>
          <w:p w14:paraId="3B0E82A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  <w:tr w14:paraId="5E80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639898D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6-1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1220D53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站台发车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3629282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D3_01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753BE4E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DQ-10</w:t>
            </w:r>
          </w:p>
        </w:tc>
      </w:tr>
      <w:tr w14:paraId="31BC7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2296EC7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6-2</w:t>
            </w:r>
          </w:p>
        </w:tc>
        <w:tc>
          <w:tcPr>
            <w:tcW w:w="2835" w:type="dxa"/>
            <w:vAlign w:val="center"/>
          </w:tcPr>
          <w:p w14:paraId="6A7E2CC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网格热力</w:t>
            </w:r>
          </w:p>
        </w:tc>
        <w:tc>
          <w:tcPr>
            <w:tcW w:w="2608" w:type="dxa"/>
            <w:vAlign w:val="center"/>
          </w:tcPr>
          <w:p w14:paraId="275F0A4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D3_02</w:t>
            </w:r>
          </w:p>
        </w:tc>
        <w:tc>
          <w:tcPr>
            <w:tcW w:w="2608" w:type="dxa"/>
            <w:vAlign w:val="center"/>
          </w:tcPr>
          <w:p w14:paraId="17219D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DQ-14</w:t>
            </w:r>
          </w:p>
        </w:tc>
      </w:tr>
      <w:tr w14:paraId="79224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2E5450F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6-3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6423D1C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站台间距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2E53DBC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D3_03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601778B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DQ-12</w:t>
            </w:r>
          </w:p>
        </w:tc>
      </w:tr>
      <w:tr w14:paraId="63E45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10296B3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7-1</w:t>
            </w:r>
          </w:p>
        </w:tc>
        <w:tc>
          <w:tcPr>
            <w:tcW w:w="2835" w:type="dxa"/>
            <w:vAlign w:val="center"/>
          </w:tcPr>
          <w:p w14:paraId="7E8831D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热点空间</w:t>
            </w:r>
          </w:p>
        </w:tc>
        <w:tc>
          <w:tcPr>
            <w:tcW w:w="2608" w:type="dxa"/>
            <w:vAlign w:val="center"/>
          </w:tcPr>
          <w:p w14:paraId="128D895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D4_01</w:t>
            </w:r>
          </w:p>
        </w:tc>
        <w:tc>
          <w:tcPr>
            <w:tcW w:w="2608" w:type="dxa"/>
            <w:vAlign w:val="center"/>
          </w:tcPr>
          <w:p w14:paraId="69F580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DQ-15</w:t>
            </w:r>
          </w:p>
        </w:tc>
      </w:tr>
      <w:tr w14:paraId="17AC2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25FD5D1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7-2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188E096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离热点距离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1B18E8F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D4_02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3F37A13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DQ-15</w:t>
            </w:r>
          </w:p>
        </w:tc>
      </w:tr>
      <w:tr w14:paraId="311D3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952DEE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7-3</w:t>
            </w:r>
          </w:p>
        </w:tc>
        <w:tc>
          <w:tcPr>
            <w:tcW w:w="2835" w:type="dxa"/>
            <w:vAlign w:val="center"/>
          </w:tcPr>
          <w:p w14:paraId="09238E1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热点小时</w:t>
            </w:r>
          </w:p>
        </w:tc>
        <w:tc>
          <w:tcPr>
            <w:tcW w:w="2608" w:type="dxa"/>
            <w:vAlign w:val="center"/>
          </w:tcPr>
          <w:p w14:paraId="519F40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D4_03</w:t>
            </w:r>
          </w:p>
        </w:tc>
        <w:tc>
          <w:tcPr>
            <w:tcW w:w="2608" w:type="dxa"/>
            <w:vAlign w:val="center"/>
          </w:tcPr>
          <w:p w14:paraId="6727745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DQ-15</w:t>
            </w:r>
          </w:p>
        </w:tc>
      </w:tr>
      <w:tr w14:paraId="6B018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4DBC2B1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7-4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2A1930D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潮汐矩阵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157BB5B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D4_04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5AAFF6B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DQ-15</w:t>
            </w:r>
          </w:p>
        </w:tc>
      </w:tr>
      <w:tr w14:paraId="6CCE7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18403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7-5</w:t>
            </w:r>
          </w:p>
        </w:tc>
        <w:tc>
          <w:tcPr>
            <w:tcW w:w="2835" w:type="dxa"/>
            <w:vAlign w:val="center"/>
          </w:tcPr>
          <w:p w14:paraId="1808092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各时刻分布</w:t>
            </w:r>
          </w:p>
        </w:tc>
        <w:tc>
          <w:tcPr>
            <w:tcW w:w="2608" w:type="dxa"/>
            <w:vAlign w:val="center"/>
          </w:tcPr>
          <w:p w14:paraId="192D4ED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D4_05</w:t>
            </w:r>
          </w:p>
        </w:tc>
        <w:tc>
          <w:tcPr>
            <w:tcW w:w="2608" w:type="dxa"/>
            <w:vAlign w:val="center"/>
          </w:tcPr>
          <w:p w14:paraId="571B558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DQ-15</w:t>
            </w:r>
          </w:p>
        </w:tc>
      </w:tr>
      <w:tr w14:paraId="25280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03B5C9D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8-1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16AF76F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流水线耗时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43794D2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D5_01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0815309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  <w:tr w14:paraId="2E999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6984BE4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8-2</w:t>
            </w:r>
          </w:p>
        </w:tc>
        <w:tc>
          <w:tcPr>
            <w:tcW w:w="2835" w:type="dxa"/>
            <w:vAlign w:val="center"/>
          </w:tcPr>
          <w:p w14:paraId="23D7FB4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GPS 漂移</w:t>
            </w:r>
          </w:p>
        </w:tc>
        <w:tc>
          <w:tcPr>
            <w:tcW w:w="2608" w:type="dxa"/>
            <w:vAlign w:val="center"/>
          </w:tcPr>
          <w:p w14:paraId="4726775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D6_02</w:t>
            </w:r>
          </w:p>
        </w:tc>
        <w:tc>
          <w:tcPr>
            <w:tcW w:w="2608" w:type="dxa"/>
            <w:vAlign w:val="center"/>
          </w:tcPr>
          <w:p w14:paraId="458E63D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</w:tbl>
    <w:p w14:paraId="5DBCFA3F">
      <w:pPr>
        <w:spacing w:before="8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复核说明：本报告全部图均为本项目按 docs/图表规范.md 重绘（200dpi、开源字体、结论式标题、地图长宽比校正），数字经代码读回与结果表核对，未沿用早期测试稿。</w:t>
      </w:r>
    </w:p>
    <w:p w14:paraId="62B9C747">
      <w:r>
        <w:br w:type="page"/>
      </w:r>
    </w:p>
    <w:p w14:paraId="38465089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附录 D　术语与缩写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AC30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3864"/>
            <w:vAlign w:val="center"/>
          </w:tcPr>
          <w:p w14:paraId="6C3C359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术语</w:t>
            </w:r>
          </w:p>
        </w:tc>
        <w:tc>
          <w:tcPr>
            <w:tcW w:w="6803" w:type="dxa"/>
            <w:shd w:val="clear" w:color="auto" w:fill="1F3864"/>
            <w:vAlign w:val="center"/>
          </w:tcPr>
          <w:p w14:paraId="6F7545B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说明</w:t>
            </w:r>
          </w:p>
        </w:tc>
      </w:tr>
      <w:tr w14:paraId="0179D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8F3E24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 TRIP</w:t>
            </w:r>
          </w:p>
        </w:tc>
        <w:tc>
          <w:tcPr>
            <w:tcW w:w="6803" w:type="dxa"/>
            <w:vAlign w:val="center"/>
          </w:tcPr>
          <w:p w14:paraId="29FF2C9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一趟完整的载客出行，由 TRIP_ID 标识</w:t>
            </w:r>
          </w:p>
        </w:tc>
      </w:tr>
      <w:tr w14:paraId="05EAC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CA7188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TAXI_ID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773C660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车辆（司机）标识</w:t>
            </w:r>
          </w:p>
        </w:tc>
      </w:tr>
      <w:tr w14:paraId="43C35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80AE5F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POLYLINE</w:t>
            </w:r>
          </w:p>
        </w:tc>
        <w:tc>
          <w:tcPr>
            <w:tcW w:w="6803" w:type="dxa"/>
            <w:vAlign w:val="center"/>
          </w:tcPr>
          <w:p w14:paraId="4EDD7C9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GPS 轨迹，相邻点标称间隔 15 秒</w:t>
            </w:r>
          </w:p>
        </w:tc>
      </w:tr>
      <w:tr w14:paraId="2A78F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130BE9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候客站台 STAND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4158B8B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出租车固定候客点，共 62 个</w:t>
            </w:r>
          </w:p>
        </w:tc>
      </w:tr>
      <w:tr w14:paraId="6322A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CF980F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CALL_TYPE</w:t>
            </w:r>
          </w:p>
        </w:tc>
        <w:tc>
          <w:tcPr>
            <w:tcW w:w="6803" w:type="dxa"/>
            <w:vAlign w:val="center"/>
          </w:tcPr>
          <w:p w14:paraId="099FD12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叫车类型：A 电话、B 站台、C 随机拦车</w:t>
            </w:r>
          </w:p>
        </w:tc>
      </w:tr>
      <w:tr w14:paraId="4FEF9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EC7B2C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ODS/DWD/DIM/ADS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602753C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数据分层：原始 / 明细 / 维度 / 应用</w:t>
            </w:r>
          </w:p>
        </w:tc>
      </w:tr>
      <w:tr w14:paraId="3423A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20EFDF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网格</w:t>
            </w:r>
          </w:p>
        </w:tc>
        <w:tc>
          <w:tcPr>
            <w:tcW w:w="6803" w:type="dxa"/>
            <w:vAlign w:val="center"/>
          </w:tcPr>
          <w:p w14:paraId="0A4AC0C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都市区 1km 方格，用于空间聚合</w:t>
            </w:r>
          </w:p>
        </w:tc>
      </w:tr>
      <w:tr w14:paraId="2C083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138999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ECDF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0F6499C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经验累计分布函数</w:t>
            </w:r>
          </w:p>
        </w:tc>
      </w:tr>
      <w:tr w14:paraId="547F8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26667B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跳点</w:t>
            </w:r>
          </w:p>
        </w:tc>
        <w:tc>
          <w:tcPr>
            <w:tcW w:w="6803" w:type="dxa"/>
            <w:vAlign w:val="center"/>
          </w:tcPr>
          <w:p w14:paraId="24F6332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相邻 GPS 点距离异常大（&gt;420m），多为漂移</w:t>
            </w:r>
          </w:p>
        </w:tc>
      </w:tr>
      <w:tr w14:paraId="08D58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BBFA2B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锚点法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2C2E4DF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以连续点在固定半径内、持续达最短时长来识别停留</w:t>
            </w:r>
          </w:p>
        </w:tc>
      </w:tr>
      <w:tr w14:paraId="3A7E8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3FE496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幂等</w:t>
            </w:r>
          </w:p>
        </w:tc>
        <w:tc>
          <w:tcPr>
            <w:tcW w:w="6803" w:type="dxa"/>
            <w:vAlign w:val="center"/>
          </w:tcPr>
          <w:p w14:paraId="40352C8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同一操作重复执行，结果与执行一次相同</w:t>
            </w:r>
          </w:p>
        </w:tc>
      </w:tr>
    </w:tbl>
    <w:p w14:paraId="2CDA39E0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A0F38">
    <w:pPr>
      <w:pStyle w:val="24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I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DB1C8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color w:val="000000"/>
        <w:sz w:val="21"/>
      </w:rPr>
      <w:instrText xml:space="preserve">PAGE</w:instrText>
    </w:r>
    <w:r>
      <w:rPr>
        <w:rFonts w:ascii="Times New Roman" w:hAnsi="Times New Roman" w:eastAsia="宋体"/>
        <w:b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E30D8F"/>
    <w:rsid w:val="4E024FB2"/>
    <w:rsid w:val="775A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4934</Words>
  <Characters>6503</Characters>
  <Lines>0</Lines>
  <Paragraphs>0</Paragraphs>
  <TotalTime>27</TotalTime>
  <ScaleCrop>false</ScaleCrop>
  <LinksUpToDate>false</LinksUpToDate>
  <CharactersWithSpaces>7019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WPS_1625448227</cp:lastModifiedBy>
  <dcterms:modified xsi:type="dcterms:W3CDTF">2026-10-21T08:31:46Z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eyJoZGlkIjoiMzEwNTM5NzYwMDRjMzkwZTVkZjY2ODkwMGIxNGU0OTUiLCJ1c2VySWQiOiIxMjMxMzM2NDQ5In0=</vt:lpwstr>
  </property>
  <property fmtid="{D5CDD505-2E9C-101B-9397-08002B2CF9AE}" pid="3" name="KSOProductBuildVer">
    <vt:lpwstr>2052-12.1.0.29161</vt:lpwstr>
  </property>
  <property fmtid="{D5CDD505-2E9C-101B-9397-08002B2CF9AE}" pid="4" name="ICV">
    <vt:lpwstr>45FAC64D1EE84BD88750FF7854832CC1_13</vt:lpwstr>
  </property>
</Properties>
</file>