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当前系统评价研究方案（第二轮方法学修订版）</w:t>
      </w:r>
    </w:p>
    <w:p>
      <w:r>
        <w:t>原始文件：当前系统评价研究方案_待作者确认.docx（保留不变）</w:t>
      </w:r>
    </w:p>
    <w:p>
      <w:r>
        <w:t>第一轮拟修订方案形成时间：2026-10-11；本轮第二次方法学修订实际日期：2026-10-11。本文档为待作者/导师确认的事后工作文件，不是PROSPERO Version 1.0的预先方案。</w:t>
      </w:r>
    </w:p>
    <w:p>
      <w:pPr>
        <w:pStyle w:val="Heading1"/>
      </w:pPr>
      <w:r>
        <w:t>一、本轮修订原则</w:t>
      </w:r>
    </w:p>
    <w:p>
      <w:r>
        <w:t>研究方向保持为《大语言模型生成运动处方的系统评价》。本轮严格区分：运动处方生成；对生成处方进行的安全失效评价；以及只评价风险分层/医学清除而不生成处方的独立安全决策。第三类不因出现安全术语而自动纳入。</w:t>
      </w:r>
    </w:p>
    <w:p>
      <w:pPr>
        <w:pStyle w:val="Heading1"/>
      </w:pPr>
      <w:r>
        <w:t>二、研究问题与目标（拟修订规则，2026-10-11）</w:t>
      </w:r>
    </w:p>
    <w:p>
      <w:r>
        <w:t>评价明确个体、病例或运动目标下，LLM生成可执行运动处方的质量、准确性、完整性、安全性和适用性；比较模型、提示、知识约束和人工监督条件；描述重复生成和人体实施证据，但不把复合干预结局自动归因于LLM。</w:t>
      </w:r>
    </w:p>
    <w:p>
      <w:pPr>
        <w:pStyle w:val="Heading1"/>
      </w:pPr>
      <w:r>
        <w:t>三、运动处方操作性定义（拟修订规则，2026-10-11）</w:t>
      </w:r>
    </w:p>
    <w:p>
      <w:r>
        <w:t>可执行处方必须包含具体运动类型/动作及频率、强度、时间、总量、进阶中的至少一个剂量维度，或对明确风险/症状给出可执行的继续、调整、停止或转诊决定。一般健康问答、训练原则罗列、界面/接受度评价和单独安全问答不构成运动处方。</w:t>
      </w:r>
    </w:p>
    <w:p>
      <w:pPr>
        <w:pStyle w:val="Heading1"/>
      </w:pPr>
      <w:r>
        <w:t>四、A/B/C研究场景及纳入条件（拟修订规则，2026-10-11）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8"/>
          </w:tcPr>
          <w:p>
            <w:r>
              <w:t>类别</w:t>
            </w:r>
          </w:p>
        </w:tc>
        <w:tc>
          <w:tcPr>
            <w:tcW w:type="dxa" w:w="2880"/>
            <w:shd w:fill="1F4E78"/>
          </w:tcPr>
          <w:p>
            <w:r>
              <w:t>纳入条件</w:t>
            </w:r>
          </w:p>
        </w:tc>
        <w:tc>
          <w:tcPr>
            <w:tcW w:type="dxa" w:w="2880"/>
            <w:shd w:fill="1F4E78"/>
          </w:tcPr>
          <w:p>
            <w:r>
              <w:t>分析边界</w:t>
            </w:r>
          </w:p>
        </w:tc>
      </w:tr>
      <w:tr>
        <w:tc>
          <w:tcPr>
            <w:tcW w:type="dxa" w:w="2880"/>
          </w:tcPr>
          <w:p>
            <w:r>
              <w:t>A类：标准化/合成病例</w:t>
            </w:r>
          </w:p>
        </w:tc>
        <w:tc>
          <w:tcPr>
            <w:tcW w:type="dxa" w:w="2880"/>
          </w:tcPr>
          <w:p>
            <w:r>
              <w:t>虚构/标准化病例；LLM实际生成可执行处方；有提示和病例信息；有质量、安全、准确性、完整性或适配性结果。</w:t>
            </w:r>
          </w:p>
        </w:tc>
        <w:tc>
          <w:tcPr>
            <w:tcW w:type="dxa" w:w="2880"/>
          </w:tcPr>
          <w:p>
            <w:r>
              <w:t>模拟输出证据层；不推断真实临床效果。</w:t>
            </w:r>
          </w:p>
        </w:tc>
      </w:tr>
      <w:tr>
        <w:tc>
          <w:tcPr>
            <w:tcW w:type="dxa" w:w="2880"/>
          </w:tcPr>
          <w:p>
            <w:r>
              <w:t>B类：真实世界输出评价</w:t>
            </w:r>
          </w:p>
        </w:tc>
        <w:tc>
          <w:tcPr>
            <w:tcW w:type="dxa" w:w="2880"/>
          </w:tcPr>
          <w:p>
            <w:r>
              <w:t>真实用户/患者资料用于生成处方，但主要评价输出；LLM贡献、输入、输出和评价标准可区分。</w:t>
            </w:r>
          </w:p>
        </w:tc>
        <w:tc>
          <w:tcPr>
            <w:tcW w:type="dxa" w:w="2880"/>
          </w:tcPr>
          <w:p>
            <w:r>
              <w:t>单独分层；不与A类直接合并总体效果。</w:t>
            </w:r>
          </w:p>
        </w:tc>
      </w:tr>
      <w:tr>
        <w:tc>
          <w:tcPr>
            <w:tcW w:type="dxa" w:w="2880"/>
          </w:tcPr>
          <w:p>
            <w:r>
              <w:t>C类：人体实施研究</w:t>
            </w:r>
          </w:p>
        </w:tc>
        <w:tc>
          <w:tcPr>
            <w:tcW w:type="dxa" w:w="2880"/>
          </w:tcPr>
          <w:p>
            <w:r>
              <w:t>参与者实际接受LLM生成/修改或LLM参与决策的方案；可提取分配、监督、共干预、LLM贡献和结局。</w:t>
            </w:r>
          </w:p>
        </w:tc>
        <w:tc>
          <w:tcPr>
            <w:tcW w:type="dxa" w:w="2880"/>
          </w:tcPr>
          <w:p>
            <w:r>
              <w:t>单独实施证据层；不与A/B合并；不可分离LLM贡献则PENDING_ELIGIBILITY或排除。</w:t>
            </w:r>
          </w:p>
        </w:tc>
      </w:tr>
    </w:tbl>
    <w:p>
      <w:pPr>
        <w:pStyle w:val="Heading1"/>
      </w:pPr>
      <w:r>
        <w:t>五、纳排规则与全文状态（拟修订规则，2026-10-11）</w:t>
      </w:r>
    </w:p>
    <w:p>
      <w:r>
        <w:t>纳入原始研究、LLM实际生成/实质修改可执行处方、满足A/B/C条件、报告预设结局且全文可核查。排除综述、述评、方案、无原始结果、一般健康问答、仅界面/接受度、无法确认LLM参与、独立安全决策无处方、全文核查后明确不符合标准的研究。</w:t>
      </w:r>
    </w:p>
    <w:p>
      <w:pPr>
        <w:pStyle w:val="ListBullet"/>
      </w:pPr>
      <w:r>
        <w:t>FULLTEXT_RETRIEVED_READABLE：全文可读取；</w:t>
      </w:r>
    </w:p>
    <w:p>
      <w:pPr>
        <w:pStyle w:val="ListBullet"/>
      </w:pPr>
      <w:r>
        <w:t>FULLTEXT_RETRIEVED_UNREADABLE：已获得但关键内容不能可靠读取；</w:t>
      </w:r>
    </w:p>
    <w:p>
      <w:pPr>
        <w:pStyle w:val="ListBullet"/>
      </w:pPr>
      <w:r>
        <w:t>FULLTEXT_NOT_RETRIEVED：未获得全文，不能写成排除；</w:t>
      </w:r>
    </w:p>
    <w:p>
      <w:pPr>
        <w:pStyle w:val="ListBullet"/>
      </w:pPr>
      <w:r>
        <w:t>FULLTEXT_RETRIEVAL_PENDING：已有定位但仍待获取；</w:t>
      </w:r>
    </w:p>
    <w:p>
      <w:pPr>
        <w:pStyle w:val="ListBullet"/>
      </w:pPr>
      <w:r>
        <w:t>ELIGIBILITY_EXCLUDED_AFTER_FULLTEXT：全文已读且有具体标准和页码支持排除；</w:t>
      </w:r>
    </w:p>
    <w:p>
      <w:pPr>
        <w:pStyle w:val="ListBullet"/>
      </w:pPr>
      <w:r>
        <w:t>PENDING_ELIGIBILITY：全文已读/部分可读，但场景、LLM贡献、设计或规则仍需确认。</w:t>
      </w:r>
    </w:p>
    <w:p>
      <w:r>
        <w:t>全文无法获取与研究不符合纳排标准是两个独立字段；前者不等同于后者。</w:t>
      </w:r>
    </w:p>
    <w:p>
      <w:pPr>
        <w:pStyle w:val="Heading1"/>
      </w:pPr>
      <w:r>
        <w:t>六、研究设计与评价工具（拟修订规则，2026-10-11）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8"/>
          </w:tcPr>
          <w:p>
            <w:r>
              <w:t>研究类型</w:t>
            </w:r>
          </w:p>
        </w:tc>
        <w:tc>
          <w:tcPr>
            <w:tcW w:type="dxa" w:w="2880"/>
            <w:shd w:fill="1F4E78"/>
          </w:tcPr>
          <w:p>
            <w:r>
              <w:t>工具原则</w:t>
            </w:r>
          </w:p>
        </w:tc>
        <w:tc>
          <w:tcPr>
            <w:tcW w:type="dxa" w:w="2880"/>
            <w:shd w:fill="1F4E78"/>
          </w:tcPr>
          <w:p>
            <w:r>
              <w:t>禁止事项</w:t>
            </w:r>
          </w:p>
        </w:tc>
      </w:tr>
      <w:tr>
        <w:tc>
          <w:tcPr>
            <w:tcW w:type="dxa" w:w="2880"/>
          </w:tcPr>
          <w:p>
            <w:r>
              <w:t>纯模型输出/模拟定量研究</w:t>
            </w:r>
          </w:p>
        </w:tc>
        <w:tc>
          <w:tcPr>
            <w:tcW w:type="dxa" w:w="2880"/>
          </w:tcPr>
          <w:p>
            <w:r>
              <w:t>全文确认设计后，选择匹配的MMAT定量类别、横断面/比较研究工具或报告完整性框架。</w:t>
            </w:r>
          </w:p>
        </w:tc>
        <w:tc>
          <w:tcPr>
            <w:tcW w:type="dxa" w:w="2880"/>
          </w:tcPr>
          <w:p>
            <w:r>
              <w:t>不得因LLM+专家评分自动套MMAT。</w:t>
            </w:r>
          </w:p>
        </w:tc>
      </w:tr>
      <w:tr>
        <w:tc>
          <w:tcPr>
            <w:tcW w:type="dxa" w:w="2880"/>
          </w:tcPr>
          <w:p>
            <w:r>
              <w:t>随机人体实施</w:t>
            </w:r>
          </w:p>
        </w:tc>
        <w:tc>
          <w:tcPr>
            <w:tcW w:type="dxa" w:w="2880"/>
          </w:tcPr>
          <w:p>
            <w:r>
              <w:t>RoB 2。</w:t>
            </w:r>
          </w:p>
        </w:tc>
        <w:tc>
          <w:tcPr>
            <w:tcW w:type="dxa" w:w="2880"/>
          </w:tcPr>
          <w:p>
            <w:r>
              <w:t>不得用MMAT替代。</w:t>
            </w:r>
          </w:p>
        </w:tc>
      </w:tr>
      <w:tr>
        <w:tc>
          <w:tcPr>
            <w:tcW w:type="dxa" w:w="2880"/>
          </w:tcPr>
          <w:p>
            <w:r>
              <w:t>非随机人体干预</w:t>
            </w:r>
          </w:p>
        </w:tc>
        <w:tc>
          <w:tcPr>
            <w:tcW w:type="dxa" w:w="2880"/>
          </w:tcPr>
          <w:p>
            <w:r>
              <w:t>ROBINS-I V2或与目标估计量匹配的工具。</w:t>
            </w:r>
          </w:p>
        </w:tc>
        <w:tc>
          <w:tcPr>
            <w:tcW w:type="dxa" w:w="2880"/>
          </w:tcPr>
          <w:p>
            <w:r>
              <w:t>不得因前后测而当作模型输出研究。</w:t>
            </w:r>
          </w:p>
        </w:tc>
      </w:tr>
      <w:tr>
        <w:tc>
          <w:tcPr>
            <w:tcW w:type="dxa" w:w="2880"/>
          </w:tcPr>
          <w:p>
            <w:r>
              <w:t>混合方法</w:t>
            </w:r>
          </w:p>
        </w:tc>
        <w:tc>
          <w:tcPr>
            <w:tcW w:type="dxa" w:w="2880"/>
          </w:tcPr>
          <w:p>
            <w:r>
              <w:t>量化和质性部分均真实存在且可分别评价时使用MMAT混合方法。</w:t>
            </w:r>
          </w:p>
        </w:tc>
        <w:tc>
          <w:tcPr>
            <w:tcW w:type="dxa" w:w="2880"/>
          </w:tcPr>
          <w:p>
            <w:r>
              <w:t>专家文字评论不自动等于混合方法。</w:t>
            </w:r>
          </w:p>
        </w:tc>
      </w:tr>
      <w:tr>
        <w:tc>
          <w:tcPr>
            <w:tcW w:type="dxa" w:w="2880"/>
          </w:tcPr>
          <w:p>
            <w:r>
              <w:t>诊断/预测/病例报告</w:t>
            </w:r>
          </w:p>
        </w:tc>
        <w:tc>
          <w:tcPr>
            <w:tcW w:type="dxa" w:w="2880"/>
          </w:tcPr>
          <w:p>
            <w:r>
              <w:t>设计确认后分别考虑QUADAS类、PROBAST+AI或JBI。</w:t>
            </w:r>
          </w:p>
        </w:tc>
        <w:tc>
          <w:tcPr>
            <w:tcW w:type="dxa" w:w="2880"/>
          </w:tcPr>
          <w:p>
            <w:r>
              <w:t>未确认设计前不得启用。</w:t>
            </w:r>
          </w:p>
        </w:tc>
      </w:tr>
      <w:tr>
        <w:tc>
          <w:tcPr>
            <w:tcW w:type="dxa" w:w="2880"/>
          </w:tcPr>
          <w:p>
            <w:r>
              <w:t>框架/软件描述无可评价输出</w:t>
            </w:r>
          </w:p>
        </w:tc>
        <w:tc>
          <w:tcPr>
            <w:tcW w:type="dxa" w:w="2880"/>
          </w:tcPr>
          <w:p>
            <w:r>
              <w:t>不强行套传统偏倚工具，采用报告完整性/可重复性核查，必要时排除主要综合。</w:t>
            </w:r>
          </w:p>
        </w:tc>
        <w:tc>
          <w:tcPr>
            <w:tcW w:type="dxa" w:w="2880"/>
          </w:tcPr>
          <w:p>
            <w:r>
              <w:t>不得虚构质量评分。</w:t>
            </w:r>
          </w:p>
        </w:tc>
      </w:tr>
    </w:tbl>
    <w:p>
      <w:r>
        <w:t>工具路由、条目创建和正式条目评价是三个阶段；工具匹配不等于完成质量评价。</w:t>
      </w:r>
    </w:p>
    <w:p>
      <w:pPr>
        <w:pStyle w:val="Heading1"/>
      </w:pPr>
      <w:r>
        <w:t>七、结局、分析单位和分母（拟修订规则，2026-10-11）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8"/>
          </w:tcPr>
          <w:p>
            <w:r>
              <w:t>结局</w:t>
            </w:r>
          </w:p>
        </w:tc>
        <w:tc>
          <w:tcPr>
            <w:tcW w:type="dxa" w:w="2880"/>
            <w:shd w:fill="1F4E78"/>
          </w:tcPr>
          <w:p>
            <w:r>
              <w:t>操作性定义</w:t>
            </w:r>
          </w:p>
        </w:tc>
        <w:tc>
          <w:tcPr>
            <w:tcW w:type="dxa" w:w="2880"/>
            <w:shd w:fill="1F4E78"/>
          </w:tcPr>
          <w:p>
            <w:r>
              <w:t>分析单位与分母</w:t>
            </w:r>
          </w:p>
        </w:tc>
      </w:tr>
      <w:tr>
        <w:tc>
          <w:tcPr>
            <w:tcW w:type="dxa" w:w="2880"/>
          </w:tcPr>
          <w:p>
            <w:r>
              <w:t>主要：质量/准确性/完整性/适配性</w:t>
            </w:r>
          </w:p>
        </w:tc>
        <w:tc>
          <w:tcPr>
            <w:tcW w:type="dxa" w:w="2880"/>
          </w:tcPr>
          <w:p>
            <w:r>
              <w:t>质量为专家量表或预定义标准；准确性为指南/独立参考一致性；完整性为应报告字段的实际报告比例；适配性为病例目标和风险匹配。</w:t>
            </w:r>
          </w:p>
        </w:tc>
        <w:tc>
          <w:tcPr>
            <w:tcW w:type="dxa" w:w="2880"/>
          </w:tcPr>
          <w:p>
            <w:r>
              <w:t>研究、病例、处方；评价者评分嵌套于处方；无共同量表不合并。</w:t>
            </w:r>
          </w:p>
        </w:tc>
      </w:tr>
      <w:tr>
        <w:tc>
          <w:tcPr>
            <w:tcW w:type="dxa" w:w="2880"/>
          </w:tcPr>
          <w:p>
            <w:r>
              <w:t>主要：处方内安全失效</w:t>
            </w:r>
          </w:p>
        </w:tc>
        <w:tc>
          <w:tcPr>
            <w:tcW w:type="dxa" w:w="2880"/>
          </w:tcPr>
          <w:p>
            <w:r>
              <w:t>禁忌、危险剂量、错误进阶、缺失监测、停止/转诊缺口等，须有预定义标准和原文依据。</w:t>
            </w:r>
          </w:p>
        </w:tc>
        <w:tc>
          <w:tcPr>
            <w:tcW w:type="dxa" w:w="2880"/>
          </w:tcPr>
          <w:p>
            <w:r>
              <w:t>处方×安全域；同一处方同一域最多一次；按可判读处方作分母，NR不等于零。</w:t>
            </w:r>
          </w:p>
        </w:tc>
      </w:tr>
      <w:tr>
        <w:tc>
          <w:tcPr>
            <w:tcW w:type="dxa" w:w="2880"/>
          </w:tcPr>
          <w:p>
            <w:r>
              <w:t>次要：稳定性/重复性</w:t>
            </w:r>
          </w:p>
        </w:tc>
        <w:tc>
          <w:tcPr>
            <w:tcW w:type="dxa" w:w="2880"/>
          </w:tcPr>
          <w:p>
            <w:r>
              <w:t>同一病例、模型、提示和条件下重复输出的一致性或差异。</w:t>
            </w:r>
          </w:p>
        </w:tc>
        <w:tc>
          <w:tcPr>
            <w:tcW w:type="dxa" w:w="2880"/>
          </w:tcPr>
          <w:p>
            <w:r>
              <w:t>保留病例内聚类；重复输出不是独立样本。</w:t>
            </w:r>
          </w:p>
        </w:tc>
      </w:tr>
      <w:tr>
        <w:tc>
          <w:tcPr>
            <w:tcW w:type="dxa" w:w="2880"/>
          </w:tcPr>
          <w:p>
            <w:r>
              <w:t>次要：人体实施结局</w:t>
            </w:r>
          </w:p>
        </w:tc>
        <w:tc>
          <w:tcPr>
            <w:tcW w:type="dxa" w:w="2880"/>
          </w:tcPr>
          <w:p>
            <w:r>
              <w:t>功能、症状、依从性、不良事件、可及性/信任。</w:t>
            </w:r>
          </w:p>
        </w:tc>
        <w:tc>
          <w:tcPr>
            <w:tcW w:type="dxa" w:w="2880"/>
          </w:tcPr>
          <w:p>
            <w:r>
              <w:t>C类单独综合；不与A/B处方评分合并。</w:t>
            </w:r>
          </w:p>
        </w:tc>
      </w:tr>
    </w:tbl>
    <w:p>
      <w:r>
        <w:t>不同研究类型、量表、分母、模型条件和分析单位不得直接合并计算总体效果或总体安全失效率。只有同质亚组才考虑Meta分析，否则采用分层叙述综合。</w:t>
      </w:r>
    </w:p>
    <w:p>
      <w:pPr>
        <w:pStyle w:val="Heading1"/>
      </w:pPr>
      <w:r>
        <w:t>八、筛选、提取和综合（拟修订规则，2026-10-11）</w:t>
      </w:r>
    </w:p>
    <w:p>
      <w:r>
        <w:t>规则确认后重新核查全部候选记录。至少两名评价者独立筛选并记录分歧/共识；一人提取、一人核查，保留页码、表格、补充材料和原始输出定位。AI仅用于整理和逻辑核查，不作为独立评价者。综合顺序为A类、B类、C类，先分层再判断是否可合并。</w:t>
      </w:r>
    </w:p>
    <w:p>
      <w:pPr>
        <w:pStyle w:val="Heading1"/>
      </w:pPr>
      <w:r>
        <w:t>九、PROSPERO路径A/B第二轮审查</w:t>
      </w:r>
    </w:p>
    <w:p>
      <w:r>
        <w:t>路径A：只有在总体问题仍与原注册一致，且作者能解释人口、设计、结局、检索、筛选和质量评价偏离时考虑；需保留Version 1.0、重新筛选受影响记录并透明报告重大修订。</w:t>
      </w:r>
    </w:p>
    <w:p>
      <w:r>
        <w:t>路径B：若核心问题已由原注册的模拟场景/干预结局转为处方质量、安全和重复性，且要纳入真实世界或人体研究，可考虑新的系统评价。当前已发生检索、筛选、候选锁定和部分提取，不能把既有工作追溯改写为新的前瞻性注册；若走B，应从新方案确认后重新检索和筛选，并在新的正式筛选/提取开始前，依据PROSPERO当前官方规则、期刊政策和机构要求核实是否仍可接受前瞻性注册。</w:t>
      </w:r>
    </w:p>
    <w:p>
      <w:r>
        <w:t>本文件不登录、修改或提交PROSPERO；路径选择和既有36项如何处理由作者/导师决定。</w:t>
      </w:r>
    </w:p>
    <w:p>
      <w:pPr>
        <w:pStyle w:val="Heading1"/>
      </w:pPr>
      <w:r>
        <w:t>十、时间与边界</w:t>
      </w:r>
    </w:p>
    <w:p>
      <w:r>
        <w:t>2026-10-11为第一轮拟修订方案形成时间；2026-10-11为本轮第二轮方法学修订实际日期。两者均是事后工作文件，不得写成注册时预先确定。当前不宣布W01-W36全部纳入。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