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需要作者确认的最终纳排规则</w:t>
      </w:r>
    </w:p>
    <w:p>
      <w:r>
        <w:t>依据PROSPERO Version 1.0（CRD420261495731）和当前论文方法部分整理；差异不自动视为错误，也不用于倒推保留36项研究。</w:t>
      </w:r>
    </w:p>
    <w:p>
      <w:pPr>
        <w:pStyle w:val="Heading1"/>
      </w:pPr>
      <w:r>
        <w:t>1. 场景范围</w:t>
      </w:r>
    </w:p>
    <w:p>
      <w:r>
        <w:t>是否仅纳入标准化/合成临床场景？若保留真实世界资料或人体实施研究，请说明依据并考虑更新注册。重点为W03、W17、W26、W27。</w:t>
      </w:r>
    </w:p>
    <w:p>
      <w:pPr>
        <w:pStyle w:val="Heading1"/>
      </w:pPr>
      <w:r>
        <w:t>2. 研究设计</w:t>
      </w:r>
    </w:p>
    <w:p>
      <w:r>
        <w:t>是否坚持仅非随机研究？随机或其他人体研究需逐项核对，不能因已列入36项而倒推保留。</w:t>
      </w:r>
    </w:p>
    <w:p>
      <w:pPr>
        <w:pStyle w:val="Heading1"/>
      </w:pPr>
      <w:r>
        <w:t>3. LLM和处方定义</w:t>
      </w:r>
    </w:p>
    <w:p>
      <w:r>
        <w:t>是否坚持公开可用LLM？一般训练计划、风险处置决定和至少一个剂量维度分别如何判定为运动处方？</w:t>
      </w:r>
    </w:p>
    <w:p>
      <w:pPr>
        <w:pStyle w:val="Heading1"/>
      </w:pPr>
      <w:r>
        <w:t>4. 语言与信息源</w:t>
      </w:r>
    </w:p>
    <w:p>
      <w:r>
        <w:t>是否接受无语言限制及新增数据库、arXiv和PubMed补检？需保留完整检索审计链。</w:t>
      </w:r>
    </w:p>
    <w:p>
      <w:pPr>
        <w:pStyle w:val="Heading1"/>
      </w:pPr>
      <w:r>
        <w:t>5. 筛选与提取</w:t>
      </w:r>
    </w:p>
    <w:p>
      <w:r>
        <w:t>如何处理未恢复的独立筛选、共识和第二评价者记录？机器预筛不能替代注册承诺。</w:t>
      </w:r>
    </w:p>
    <w:p>
      <w:pPr>
        <w:pStyle w:val="Heading1"/>
      </w:pPr>
      <w:r>
        <w:t>6. 结局与综合</w:t>
      </w:r>
    </w:p>
    <w:p>
      <w:r>
        <w:t>是否确认将安全失效、风险-处置一致性、重复性替代PROSPERO中的干预后身体功能/疼痛和Meta分析计划？</w:t>
      </w:r>
    </w:p>
    <w:p>
      <w:pPr>
        <w:pStyle w:val="Heading1"/>
      </w:pPr>
      <w:r>
        <w:t>W08-W12状态</w:t>
      </w:r>
    </w:p>
    <w:p>
      <w:r>
        <w:t>W08-W12当前均为PENDING_FULLTEXT：S4有全文定位，但当前项目未找到本地PDF，DOI访问返回403 CONNECT tunnel failed，未作资格判断。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