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第六轮启动前剩余确认事项</w:t>
      </w:r>
    </w:p>
    <w:p>
      <w:pPr>
        <w:jc w:val="center"/>
      </w:pPr>
      <w:r>
        <w:rPr>
          <w:i/>
          <w:sz w:val="18"/>
        </w:rPr>
        <w:t>工作副本｜截至：2026-10-11</w:t>
      </w:r>
    </w:p>
    <w:p>
      <w:r>
        <w:t>状态说明：本文件区分作者选择、作者转述导师确认、已有书面确认和未确认事项。当前没有导师签字、确认人或确认日期的书面记录；因此以下项目均不能直接作为正式锁定规则。</w:t>
      </w:r>
    </w:p>
    <w:p>
      <w:pPr>
        <w:pStyle w:val="Heading1"/>
      </w:pPr>
      <w:r>
        <w:t>一、作者转述导师确认，但尚无书面确认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二、作者本次选择，尚待导师核验</w:t>
      </w:r>
    </w:p>
    <w:p>
      <w:pPr>
        <w:pStyle w:val="ListBullet"/>
      </w:pPr>
      <w:r>
        <w:t>LLM模型：公开及专用模型均可；确认实际生成或实质性修改；需明确专用/内部模型的外推边界。</w:t>
      </w:r>
    </w:p>
    <w:p>
      <w:pPr>
        <w:pStyle w:val="ListBullet"/>
      </w:pPr>
      <w:r>
        <w:t>语言：不限语言；需确认非中文/英文研究的翻译、核查和引用安排。</w:t>
      </w:r>
    </w:p>
    <w:p>
      <w:pPr>
        <w:pStyle w:val="ListBullet"/>
      </w:pPr>
      <w:r>
        <w:t>会议全文/预印本：有条件纳入；完整方法和结果；仅摘要不作主要综合；需确认Study-Report合并规则。</w:t>
      </w:r>
    </w:p>
    <w:p>
      <w:pPr>
        <w:pStyle w:val="ListBullet"/>
      </w:pPr>
      <w:r>
        <w:t>研究设计：随机和非随机均可、按设计分层；需确认随机人体研究与质量工具路由。</w:t>
      </w:r>
    </w:p>
    <w:p>
      <w:pPr>
        <w:pStyle w:val="ListBullet"/>
      </w:pPr>
      <w:r>
        <w:t>检索：暂不重新检索；覆盖性审计为UNKNOWN；需导师明确是否接受此风险。</w:t>
      </w:r>
    </w:p>
    <w:p>
      <w:pPr>
        <w:pStyle w:val="Heading1"/>
      </w:pPr>
      <w:r>
        <w:t>三、必须单独确认的研究与规则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四、现有证据中仍为UNKNOWN或缺失</w:t>
      </w:r>
    </w:p>
    <w:p>
      <w:pPr>
        <w:pStyle w:val="ListBullet"/>
      </w:pPr>
      <w:r>
        <w:t>逐数据库原始检索式、平台、日期、范围、语言和文献类型设置。</w:t>
      </w:r>
    </w:p>
    <w:p>
      <w:pPr>
        <w:pStyle w:val="ListBullet"/>
      </w:pPr>
      <w:r>
        <w:t>每库原始RIS/CSV导出文件及导出日期。</w:t>
      </w:r>
    </w:p>
    <w:p>
      <w:pPr>
        <w:pStyle w:val="ListBullet"/>
      </w:pPr>
      <w:r>
        <w:t>去重、重复判定、题录筛选、全文获取、全文排除和排除理由日志。</w:t>
      </w:r>
    </w:p>
    <w:p>
      <w:pPr>
        <w:pStyle w:val="ListBullet"/>
      </w:pPr>
      <w:r>
        <w:t>完整Study-ID/Report-ID映射，尤其W28预印本及W13/W29关联。</w:t>
      </w:r>
    </w:p>
    <w:p>
      <w:pPr>
        <w:pStyle w:val="ListBullet"/>
      </w:pPr>
      <w:r>
        <w:t>真实第二评价者信息、独立评价表、分歧解决和共识记录。</w:t>
      </w:r>
    </w:p>
    <w:p>
      <w:pPr>
        <w:pStyle w:val="ListBullet"/>
      </w:pPr>
      <w:r>
        <w:t>全文缺失研究的最终可获取性和资格判断。</w:t>
      </w:r>
    </w:p>
    <w:p>
      <w:pPr>
        <w:pStyle w:val="Heading1"/>
      </w:pPr>
      <w:r>
        <w:t>五、确认前执行边界</w:t>
      </w:r>
    </w:p>
    <w:p>
      <w:r>
        <w:t>在上述决策形成书面确认前，仅可进行证据清点、全文定位和候选证据提取；不得将候选集变为最终纳入集，不得生成正式质量评价结果，不得把Codex记录作为第二评价者。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