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最终投稿障碍与证据状态说明</w:t>
      </w:r>
    </w:p>
    <w:p>
      <w:r>
        <w:t>本次交付为内容完整的导师审阅稿。文件名“终稿”不代表已满足投稿条件。日期：2026-10-17；机器执行时间（UTC）见工作簿。</w:t>
      </w:r>
    </w:p>
    <w:p>
      <w:pPr>
        <w:pStyle w:val="Heading1"/>
      </w:pPr>
      <w:r>
        <w:t>已真正完成</w:t>
      </w:r>
    </w:p>
    <w:p>
      <w:r>
        <w:t>核对751条保留记录、来源/去重映射及36项候选的DOI关联；14份正确主报告全文复用与复核。751条AI建议为送全文15、排除603、待定133，均未填作人工决定。完成226项原文提取字段、A/B类110个结构化证据域、C类15个领域及66条信号问题工作表。</w:t>
      </w:r>
    </w:p>
    <w:p>
      <w:pPr>
        <w:pStyle w:val="Heading1"/>
      </w:pPr>
      <w:r>
        <w:t>资格与证据层级</w:t>
      </w:r>
    </w:p>
    <w:p>
      <w:r>
        <w:t>14项有原文支持的纳入建议（A9/B2/C3），36项中另22项PENDING；独立原文核实排除0项。MAIN-0004、MAIN-0066的2条排除建议依据作者本次转述Opinion及无实证评价事实，本地原件未获，不能声称本轮已读全文。</w:t>
      </w:r>
    </w:p>
    <w:p>
      <w:pPr>
        <w:pStyle w:val="Heading1"/>
      </w:pPr>
      <w:r>
        <w:t>新增文件缺口</w:t>
      </w:r>
    </w:p>
    <w:p>
      <w:r>
        <w:t>所列4份新增筛选/16条线索工作簿未找到。16条仅4条可识别，且都在751条内；12条身份未知，未从其他候选中凑数。新增线索不增加1046或751。</w:t>
      </w:r>
    </w:p>
    <w:p>
      <w:pPr>
        <w:pStyle w:val="Heading1"/>
      </w:pPr>
      <w:r>
        <w:t>全文和版本阻断</w:t>
      </w:r>
    </w:p>
    <w:p>
      <w:r>
        <w:t>W13需完整正确全文/作者稿；W29需2309.12555预印本；W36需PhysioAgent正确IEEE报告；W28需真实报告及关联版本。MAIN-0270仅摘要；MAIN-0442需全文并核对与W13数据重用。29次定向访问（含扩展权限）均403，未取得新全文。其余缺全文：W08、W09、W10、W11、W12、W13、W14、W15、W16、W18、W19、W20、W22、W23、W24、W25、W28、W30、W32、W33、W34、W36。</w:t>
      </w:r>
    </w:p>
    <w:p>
      <w:pPr>
        <w:pStyle w:val="Heading1"/>
      </w:pPr>
      <w:r>
        <w:t>真实人工工作</w:t>
      </w:r>
    </w:p>
    <w:p>
      <w:r>
        <w:t>未找到可审计的非空作者逐条决定。现有信息已自动带入，无需重新录入题录；真实作者只需补决定、理由和实际姓名/日期，并提供已完成原件（如有）。没有第二名真实评价者，也未生成双人共识。</w:t>
      </w:r>
    </w:p>
    <w:p>
      <w:pPr>
        <w:pStyle w:val="Heading1"/>
      </w:pPr>
      <w:r>
        <w:t>质量评价与统计阻断</w:t>
      </w:r>
    </w:p>
    <w:p>
      <w:r>
        <w:t>A/B为本次事后描述框架，不是验证的风险量表。C类等级仅AI建议，工具版本/目标效应/分支仍需真实评价者确认；正式完成0项，不冒充实际RoB结果。PRISMA仅历史1046/295/751数量映射可重建（4组多DOI关系待核）；题录正式排除、寻求/未取回全文、全文排除、最终Study/Report均PENDING，不倒推。</w:t>
      </w:r>
    </w:p>
    <w:p>
      <w:pPr>
        <w:pStyle w:val="Heading1"/>
      </w:pPr>
      <w:r>
        <w:t>可以使用与不可宣称</w:t>
      </w:r>
    </w:p>
    <w:p>
      <w:r>
        <w:t>论文已扩展到结果3.1–3.9，保留三层证据与原文数值，含4张表、3幅图及统一参考文献，可供导师实质性审阅。正式投稿条件尚不满足：需要真实筛选及全文去留、关键全文/版本、正式评价和最终数量闭合。上述外部证据和人工操作不能通过继续润色替代。</w:t>
      </w:r>
    </w:p>
    <w:p>
      <w:r>
        <w:t>新增去重阻断：4组含不同DOI，涉及3组预印本/期刊和1组不同第一作者报告。已保全8条报告原始元数据与摘要；1046/295/751仅为可重建的历史映射，去重正确性和报告归并仍需核实。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