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大语言模型生成运动处方的安全性、质量与应用适用性：系统评价</w:t>
      </w:r>
    </w:p>
    <w:p>
      <w:r>
        <w:t>Safety, Quality, and Applicability of Large Language Model–Generated Exercise Prescriptions: A Systematic Review</w:t>
      </w:r>
    </w:p>
    <w:p>
      <w:r>
        <w:t>作者：吕昕芸　指导教师：周志雄</w:t>
      </w:r>
    </w:p>
    <w:p>
      <w:r>
        <w:t>第十九轮导师实质性审阅稿｜2026-10-17。14项为当前有原文支持的纳入候选；最终研究选择、报告数及正式偏倚评价仍待完成。</w:t>
      </w:r>
    </w:p>
    <w:p>
      <w:pPr>
        <w:pStyle w:val="Heading1"/>
      </w:pPr>
      <w:r>
        <w:t>摘要</w:t>
      </w:r>
    </w:p>
    <w:p>
      <w:r>
        <w:t>目的：评价大语言模型（LLM）生成运动处方的质量、处方原则符合度、安全相关问题、输出稳定性及应用适用性。</w:t>
      </w:r>
    </w:p>
    <w:p>
      <w:r>
        <w:t>方法：按PRISMA 2020框架报告，采用独立修订方案，明确其不属于原PROSPERO方案的前瞻性注册。复用主检索449条与PubMed补检597条，合计1046条，删除295条重复后保留751条。作者负责筛选，AI辅助整理；后续人工筛选节点尚未闭合。依据最新全文核查，对14项具有原文支持的纳入候选作暂定叙述性整合：标准化/模拟输出评价9项、真实资料输出评价2项、人体实施3项；其余22项历史候选资格PENDING。三层证据分别分析，不作Meta分析。</w:t>
      </w:r>
    </w:p>
    <w:p>
      <w:r>
        <w:t>结果：模型能生成包含动作和剂量的计划，但格式完整不代表剂量或风险处置适宜。跑步研究三档提示所得计划的总体评分中位数为2、3、4分；同一模型的评分表现受任务及提示条件影响。游泳研究四模型各生成5次，评分最高模型的生成级变异系数为3.989%，而评分最低模型为1.525%，提示稳定性与质量并非同一概念。真实数据系统的满意度指标包含模拟器预测，不能解释为患者获益。包涵体肌炎输出研究中，4/12名专家将一则回答评为“错误且不安全”，该比例不是人体伤害率。三项人体研究分别涉及26个家庭、9名和20名参与者，存在短期活动或体适能改善信号，但支持措施与模型贡献难以分离，均未报告人体不良事件结局。正式偏倚评价尚未完成。</w:t>
      </w:r>
    </w:p>
    <w:p>
      <w:r>
        <w:t>结论：现有可读证据支持LLM辅助生成运动处方草案和沟通的潜在价值，不能据此确认独立处方能力或人体安全。实际应用需专业人员复核个体条件、动作、剂量和风险。最终选择链、缺失全文及正式评价仍限制本评价的完整性。</w:t>
      </w:r>
    </w:p>
    <w:p>
      <w:r>
        <w:t>关键词：大语言模型；运动处方；系统评价；安全性；输出质量；可重复性</w:t>
      </w:r>
    </w:p>
    <w:p>
      <w:pPr>
        <w:pStyle w:val="Heading1"/>
      </w:pPr>
      <w:r>
        <w:t>Abstract</w:t>
      </w:r>
    </w:p>
    <w:p>
      <w:r>
        <w:t>Objective: To examine the quality, prescription content, safety-related features, reproducibility, and applicability of exercise prescriptions generated by large language models (LLMs). Methods: This working review follows PRISMA 2020 and an independent revised protocol. Historical searches yielded 449 records plus 597 supplementary PubMed records; 295 duplicates were removed from 1,046 records, leaving 751. Author-led screening remains incompletely documented. Fourteen studies with evidence-supported eligibility are provisionally described: nine standardized/simulated output studies, two real-data output studies, and three human implementation studies. Twenty-two other historical candidates remain PENDING. The three evidence classes were synthesized separately without meta-analysis. Results: LLMs generated structured plans, but prescription completeness did not establish dose appropriateness. In a running study, overall median ratings were 2, 3, and 4 across three prompting conditions. In a swimming study with five generations per model, coefficients of variation were 3.989% for the highest-rated model and 1.525% for the lowest-rated model. One real-data system used simulated user-satisfaction metrics. In an inclusion-body-myositis output study, 4 of 12 experts rated one response as wrong and unsafe; this was not a human adverse-event rate. Human implementation studies involved 26 families, nine participants, and 20 participants. They provided preliminary short-term signals but did not isolate the contribution of LLMs; human adverse-event outcomes were not reported. Formal risk-of-bias assessment remains incomplete. Conclusions: Available evidence supports a potential role in drafting and communication, while autonomous prescription and human safety remain unestablished. Final eligibility, missing full texts, screening documentation, and formal appraisal require completion.</w:t>
      </w:r>
    </w:p>
    <w:p>
      <w:pPr>
        <w:pStyle w:val="Heading1"/>
      </w:pPr>
      <w:r>
        <w:t>1 Introduction</w:t>
      </w:r>
    </w:p>
    <w:p>
      <w:r>
        <w:t>运动处方的核心是把健康状况、运动能力与个人目标转化为可执行的动作和剂量。频率、强度、时间、类型、总量和进阶构成FITT-VP框架，但这些要素需要结合个体反应调整[4]。同样的训练形式，对健康青年、慢性病患者和明显肌无力者可能具有不同的负荷意义。处方评价因此既要关注要素是否出现，也要关注剂量是否适宜、监测是否可行以及何时需要停止或转诊。</w:t>
      </w:r>
    </w:p>
    <w:p>
      <w:r>
        <w:t>LLM能够理解自然语言需求，组织训练日程，并通过对话修改动作与剂量。现有原始研究已覆盖合成病例、抗阻和跑步训练、真实用户计划生成以及家庭和健身场景实施[5,6,10,12,16]。这种生成方式可能降低草案制作和信息解释的负担，但也把提示设计、数据完整性和专业审核变成了影响处方质量的环节。对使用者而言，语言流畅、表格齐整的计划不一定容易暴露剂量或适用条件上的缺陷。</w:t>
      </w:r>
    </w:p>
    <w:p>
      <w:r>
        <w:t>现有评价的证据对象并不统一。专家评分测量的是输出内容；文本相似度测量的是表达或语义接近程度；用户问卷反映的是使用体验；活动量和体适能变化才涉及人体实施。即使同属“安全性”，指南符合度、专家对风险的判断与真实不良事件也不能互换。若不区分这些层次，容易把可生成、可接受或可重复误解为临床有效且安全。</w:t>
      </w:r>
    </w:p>
    <w:p>
      <w:r>
        <w:t>本评价聚焦LLM实际生成或实质性修改运动处方的研究，考察五个问题：输出质量如何，是否符合基本处方原则，存在哪些安全相关问题，输出是否稳定，以及是否具有真实应用价值。按标准化/模拟输出、真实资料输出和人体实施分别整合，以明确每类结果能支持的实践判断。当前稿以已获得全文支持的候选证据展开，保留尚未完成的筛选和评价边界。</w:t>
      </w:r>
    </w:p>
    <w:p>
      <w:pPr>
        <w:pStyle w:val="Heading1"/>
      </w:pPr>
      <w:r>
        <w:t>2 Methods</w:t>
      </w:r>
    </w:p>
    <w:p>
      <w:pPr>
        <w:pStyle w:val="Heading2"/>
      </w:pPr>
      <w:r>
        <w:t>2.1 Protocol and reporting framework</w:t>
      </w:r>
    </w:p>
    <w:p>
      <w:r>
        <w:t>参照PRISMA 2020及PRISMA-S报告选择与检索过程[1,2]。作者转述导师已确认路径B，即当前问题作为独立系统评价处理。原PROSPERO记录CRD420261495731不作为本修订方案的前瞻性注册证明。现存方案及修订记录标注形成日期为2026年10月11日，属于事后方案工作记录；实际导师确认日期、确认人及新注册处理凭证仍为PENDING，不追溯填造。</w:t>
      </w:r>
    </w:p>
    <w:p>
      <w:r>
        <w:t>本稿采用作者确认的A/B/C研究范围，并按第十八轮全文证据修正具体分类：W29为真实用户资料输出评价，归B类；W31为标准化临床问题输出评价，归A类。该处理依据既有定义，不是为了维持任何研究数量重新制定标准。</w:t>
      </w:r>
    </w:p>
    <w:p>
      <w:pPr>
        <w:pStyle w:val="Heading2"/>
      </w:pPr>
      <w:r>
        <w:t>2.2 Eligibility criteria and evidence classes</w:t>
      </w:r>
    </w:p>
    <w:p>
      <w:r>
        <w:t>研究需有可提取原始结果，且LLM实际生成或实质性修改运动处方。处方须包含具体运动类型或动作，以及至少一个可执行剂量维度：频率、强度、时间、总量或进阶。只有健康教育、人工计划解释、一般聊天或独立风险/转诊建议而无上述处方内容，不满足核心定义。</w:t>
      </w:r>
    </w:p>
    <w:p>
      <w:r>
        <w:t>A类指标准化、模拟或合成病例中对生成处方进行评价的研究；B类指使用真实用户或患者资料生成并评价输出的研究；C类要求生成计划实际进入人体实施，并有可提取的实施或人体结局。B类用户参与系统操作不等于已执行运动；C类无法识别LLM独立因果贡献时仍可描述整套干预，但不能将其效果归因于模型。</w:t>
      </w:r>
    </w:p>
    <w:p>
      <w:r>
        <w:t>公开与专用模型、语言、会议全文及预印本处理等规则的最终书面确认仍有PENDING。本文不追溯增加检索限制。全文获取状态独立于资格状态：缺少正确全文时保留PENDING，不能把未获取全文或未进入优先集合当作资格排除理由。研究级资格可根据全文明确报告的生成流程和处方评价形成建议；若缺完整原始输出，则逐处方安全编码和具体剂量复核仍不能视为完成。</w:t>
      </w:r>
    </w:p>
    <w:p>
      <w:pPr>
        <w:pStyle w:val="Heading2"/>
      </w:pPr>
      <w:r>
        <w:t>2.3 Information sources and search records</w:t>
      </w:r>
    </w:p>
    <w:p>
      <w:r>
        <w:t>复用PubMed/MEDLINE、Embase、Scopus、Web of Science、IEEE Xplore及arXiv的既有检索资料，本轮不开展新检索。记录级核验支持主检索449条、PubMed补检597条，合计1046条。原稿记载主检索于2026年9月27日至28日、补检于10月5日开展；逐库检索式、日期、字段及限制的原始凭证尚不完整，因此这些日期按历史记录注明，未描述为本轮全部核验完成。</w:t>
      </w:r>
    </w:p>
    <w:p>
      <w:r>
        <w:t>原始导出与历史记录级数据分别保留。PubMed主检索已恢复文本含68个PMID，不代表六库449条均已有原始导出；IEEE当前18条RIS对应历史27条的子集。既有映射可用于去重核验，但不能代替缺失数据库的完整检索凭证。</w:t>
      </w:r>
    </w:p>
    <w:p>
      <w:pPr>
        <w:pStyle w:val="Heading2"/>
      </w:pPr>
      <w:r>
        <w:t>2.4 Deduplication and study selection</w:t>
      </w:r>
    </w:p>
    <w:p>
      <w:r>
        <w:t>1046条合并记录具有原始记录ID、保留ID与来源映射。按该映射核实删除295条重复，保留751条。作者是唯一真实评价者，AI辅助排序、提出筛选建议和整理原文。当前751条人工确认主队列未填写逐条决定，不能把AI排除或全文建议视为作者已完成的判断，也不报告虚构的独立双人筛选、一致率或共识。</w:t>
      </w:r>
    </w:p>
    <w:p>
      <w:r>
        <w:t>36项为历史候选集合。最新资格表中14项具有原文支持的纳入建议，其余22项资格PENDING；这并不等于751条的最终筛选结果。人工题名摘要排除、寻求全文、未取回全文、全文排除及最终Study/Report数量均待真实日志闭合。W13和W29预印本关系、W28关联版本及W36正确报告分别记录，不凭历史Report_ID自动认定同一研究。</w:t>
      </w:r>
    </w:p>
    <w:p>
      <w:pPr>
        <w:pStyle w:val="Heading2"/>
      </w:pPr>
      <w:r>
        <w:t>2.5 Data extraction and source traceability</w:t>
      </w:r>
    </w:p>
    <w:p>
      <w:r>
        <w:t>按Study_ID与Report_ID提取作者/年份、来源国家或场景、设计、病例/人群、模型、版本、提示与生成条件、LLM作用、动作和剂量、评价方法、结局、安全性、主要结果及局限。14项名单由第十八轮资格表的EVIDENCE_SUPPORTED_INCLUDE状态读取，不从旧9项或36项数量倒推。每项研究保存PDF物理页及表格/章节定位，三张主表及逐字段定位见配套工作簿。</w:t>
      </w:r>
    </w:p>
    <w:p>
      <w:r>
        <w:t>已读来源未报告的信息记为NR；尚需材料或人工核对的信息记为PENDING。国家不能由作者机构推断，界面或产品版本不能自动当作底层模型架构。病例数、输出数、用户数、评价者数和评分记录数分别提取；不将它们简单相加为总体样本量。本文数据为AI辅助原文提取，仍需作者核对，未声称完成独立人工复核。</w:t>
      </w:r>
    </w:p>
    <w:p>
      <w:pPr>
        <w:pStyle w:val="Heading2"/>
      </w:pPr>
      <w:r>
        <w:t>2.6 Outcomes and safety definitions</w:t>
      </w:r>
    </w:p>
    <w:p>
      <w:r>
        <w:t>主要关注处方质量、完整性、准确性、个体适配与安全相关内容；重复生成、模型差异、用户接受度、实施可行性及人体活动/体适能作为相应证据层的结局。安全性分为输出评价与人体实施事件。前者包括禁忌、风险提示、剂量、监测、停止/转诊以及专家判断；后者须有真实人体观察，不由前者推断。</w:t>
      </w:r>
    </w:p>
    <w:p>
      <w:r>
        <w:t>若逐处方编码资料充分，“至少一次安全失效的处方比例”以至少出现一次预定义失效的可评价处方数为分子，以符合该复合指标可评价规则的处方数为分母；“各安全域失效比例”以对应域可评价处方为分母；“事件数量”记录可识别的独立失效事件。同一事件可带多个域标签，但事件数需去重；缺失域与缺失输出不按零处理，并另报缺失量。分母规则必须预先明确，不能把研究数、专家数或评分记录充当处方数。当前资料不足以跨研究计算上述总体比率。</w:t>
      </w:r>
    </w:p>
    <w:p>
      <w:r>
        <w:t>文本相似度、唯一输出比例、动作/剂量的一致性、生成级评分CV和评价者一致性分别解释。人体研究未报告不良事件时写为“未报告”，不写成没有事件或已证明安全。</w:t>
      </w:r>
    </w:p>
    <w:p>
      <w:pPr>
        <w:pStyle w:val="Heading2"/>
      </w:pPr>
      <w:r>
        <w:t>2.7 Methodological quality and risk-of-bias assessment</w:t>
      </w:r>
    </w:p>
    <w:p>
      <w:r>
        <w:t>质量工具按真实设计及目标结局选择。作者报告随机分组的人体研究可条件匹配RoB 2[19]；若证实为非随机干预，再核对ROBINS-I或适用JBI工具[20,21]。评价需先确定目标效应和结局，再执行正式条目及分支规则。</w:t>
      </w:r>
    </w:p>
    <w:p>
      <w:r>
        <w:t>模拟输出、推荐系统和交互式评价不能默认等同分析性横断面研究，也不默认使用MMAT。当前输出研究的正式工具及适用条目仍待锁定。已有66行C类信号问题工作表中15行附AI证据建议；这些是准备材料，尚无可审计的正式人工评价结果。无法评价的条目保留NOT_ASSESSED，不生成偏倚等级或质量总分。</w:t>
      </w:r>
    </w:p>
    <w:p>
      <w:pPr>
        <w:pStyle w:val="Heading2"/>
      </w:pPr>
      <w:r>
        <w:t>2.8 Evidence synthesis</w:t>
      </w:r>
    </w:p>
    <w:p>
      <w:r>
        <w:t>采用分层叙述性综合，报告组织借鉴不作Meta分析时的透明综合原则[3]。A/B/C分别描述；在各研究内保留模型、提示、比较条件、量表方向、原始分母和时间点。不同设计或量表不合并总体效果，也不按不同研究的分值排出统一模型优劣。人体结果保留组内/组间、均值/中位数及组合干预的区别。缺失全文研究不进入已核实结果叙述，原有证据线索仍保留。</w:t>
      </w:r>
    </w:p>
    <w:p>
      <w:pPr>
        <w:pStyle w:val="Heading1"/>
      </w:pPr>
      <w:r>
        <w:t>3 Results</w:t>
      </w:r>
    </w:p>
    <w:p>
      <w:pPr>
        <w:pStyle w:val="Heading2"/>
      </w:pPr>
      <w:r>
        <w:t>3.1 Study selection</w:t>
      </w:r>
    </w:p>
    <w:p>
      <w:r>
        <w:t>经核实，历史主检索449条与补检597条合并为1046条；删除295条重复后保留751条。题名摘要排除、寻求全文、未获取全文及全文排除的完整人工记录仍为PENDING，Figure 1仅展示有审计依据的数量。</w:t>
      </w:r>
    </w:p>
    <w:p>
      <w:r>
        <w:t>在36项历史候选中，14项当前具有原文支持的纳入建议，22项仍PENDING，暂未形成有充分证据支持的排除。本节描述这14项的可读证据，不将其称为最终纳入集合。W01–W06全部保留在当前证据整合中；它们未进入此前9项优先集合不构成排除理由。最终Study/Report数待选择链和版本关系核验后确定。</w:t>
      </w:r>
    </w:p>
    <w:p>
      <w:r>
        <w:t>Figure 1. PRISMA flow diagram (working version).</w:t>
      </w:r>
    </w:p>
    <w:p>
      <w:r>
        <w:drawing>
          <wp:inline xmlns:a="http://schemas.openxmlformats.org/drawingml/2006/main" xmlns:pic="http://schemas.openxmlformats.org/drawingml/2006/picture">
            <wp:extent cx="5652000" cy="622149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652000" cy="6221498"/>
                    </a:xfrm>
                    <a:prstGeom prst="rect"/>
                  </pic:spPr>
                </pic:pic>
              </a:graphicData>
            </a:graphic>
          </wp:inline>
        </w:drawing>
      </w:r>
    </w:p>
    <w:p>
      <w:r>
        <w:t>Only audited counts are shown. The 14 evidence-supported candidates are a separate inventory, not a final included-study count. PENDING nodes must not be reconstructed by subtraction.</w:t>
      </w:r>
    </w:p>
    <w:p>
      <w:pPr>
        <w:pStyle w:val="Heading2"/>
      </w:pPr>
      <w:r>
        <w:t>3.2 Characteristics of studies with evidence-supported eligibility</w:t>
      </w:r>
    </w:p>
    <w:p>
      <w:r>
        <w:t>14项候选按现有定义暂分A类9项（W01、W02、W04、W05、W06、W07、W21、W31、W35）、B类2项（W03、W29）、C类3项（W17、W26、W27）。A类涉及慢性病病例、抗阻、跑步、游泳赛日安排及康复情境；B类分别为真实历史数据上的训练推荐系统和真实用户交互计划；C类涉及ASD儿童家庭活动、超重青年和男性抗阻训练。Table 1列出设计、模型与病例来源，Figure 2概括证据结构。</w:t>
      </w:r>
    </w:p>
    <w:p>
      <w:r>
        <w:t>输出研究的样本规模不可按数字直接比较。W07为30合成病例、120输出和3专家；W21为1模拟情境、20输出和32专家。W03的85,420名历史用户是数据来源规模，不是运动干预人数。C类分别为26个家庭、9名及20名参与者，也不合并为单一疗效分母。</w:t>
      </w:r>
    </w:p>
    <w:p>
      <w:r>
        <w:t>W02正文引用栏和出版行均为2025年，虽然其DOI含2026，本稿按PDF使用Havers 2025[6]。W26卷期页眉不一致，保留题名、年份和DOI，卷期细节PENDING。14份主报告身份可与本地PDF对应；这不表示全部多报告关系或不同论文之间的重复队列已经排除。</w:t>
      </w:r>
    </w:p>
    <w:p>
      <w:r>
        <w:t>Figure 2. Provisional evidence structure of 14 evidence-supported eligibility candidates.</w:t>
      </w:r>
    </w:p>
    <w:p>
      <w:r>
        <w:drawing>
          <wp:inline xmlns:a="http://schemas.openxmlformats.org/drawingml/2006/main" xmlns:pic="http://schemas.openxmlformats.org/drawingml/2006/picture">
            <wp:extent cx="5760000" cy="328371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000" cy="3283710"/>
                    </a:xfrm>
                    <a:prstGeom prst="rect"/>
                  </pic:spPr>
                </pic:pic>
              </a:graphicData>
            </a:graphic>
          </wp:inline>
        </w:drawing>
      </w:r>
    </w:p>
    <w:p>
      <w:r>
        <w:t>Classes A, B and C are synthesized separately. The 22 other historical candidates remain PENDING.</w:t>
      </w:r>
    </w:p>
    <w:p>
      <w:pPr>
        <w:pStyle w:val="Heading2"/>
      </w:pPr>
      <w:r>
        <w:t>3.3 Exercise prescription quality and completeness</w:t>
      </w:r>
    </w:p>
    <w:p>
      <w:r>
        <w:t>W01为5个假想病例生成30日计划，并在文中保留提示和细化对话[5]。输出能够同时给出动作和剂量，例如Table 2列出深蹲、弓步和俯卧撑各3×10、60%1RM、RPE5–6，以及30分钟分段步行。专家叙述性评价同时指出疾病特异性、目标匹配和训练进阶仍不充分。研究没有可跨病例汇总的统一评分或安全失效分母，不能据五个示例计算总体正确率。</w:t>
      </w:r>
    </w:p>
    <w:p>
      <w:r>
        <w:t>W04在假想中/高级训练者情境中比较GPT3.5和GPT4.0[8]。三种方案均给出分期训练，频率约3、5、4次/周；GPT3.5多数动作建议2–4组、4–8次，GPT4中级为3–5组、5–12次，高级为3–6组、3–12次。专家结合文献讨论休息、负荷与高级训练策略的适配。该结果说明模型能够列出完整训练变量，但不能据此断定所有变量组合适合真实使用者。</w:t>
      </w:r>
    </w:p>
    <w:p>
      <w:r>
        <w:t>W02的10名教练按27项、1–5分评价三接口生成的增肌和最大力量方案[6]。增肌总体评分中位数依ChatGPT、Gemini、Copilot顺序为3.5、4、3，总体检验P=0.241；最大力量为3、4、3，P=0.091。部分具体条目存在差异，但总体评分不能概括为某一接口普遍优于其他接口。ChatGPT和Copilot在该研究均标为GPT-3.5渠道，也不宜将结果解释成三个独立架构的比较。</w:t>
      </w:r>
    </w:p>
    <w:p>
      <w:r>
        <w:t>W06比较三档提示所得的6周跑步计划，10名教练评价22项内容[10]。总体中位数依次为2、3、4分；TP1较TP2低（P=0.005），较TP3低（P=0.003），TP2与TP3未检出总体差异（P=1.0）。健康筛查中位数仅为2、2、3。较详细的计划仍被指出总量进阶问题。由于详细提示也允许更多追问，不能把差异全部归因于信息量。原文摘要与讨论中个别条目差异计数不一致，本稿不使用这些计数作二次汇总。</w:t>
      </w:r>
    </w:p>
    <w:p>
      <w:r>
        <w:t>W05在两模型、两档信息和两位输入者组合下生成8份增肌计划，由12名教练评价[9]。详细提示能够获得更多动作、组次、休息和进阶内容，但部分回答偏向训练原则而非完整计划。评分中的0表示“不适用”，不能自动解释为不安全。不同输出达到处方定义的程度仍须在逐输出提取时保留差异。</w:t>
      </w:r>
    </w:p>
    <w:p>
      <w:r>
        <w:t>W07对30合成画像、四模型共120份处方进行FITT-VP评价，每域0–10、总分0–60[11]。§3.1.1报告Claude3.7为50.23±1.75，Grok-3为47.42±1.50，GPT-4o为44.02±1.68，DeepSeekR1为40.30±1.46。主文均值与Table 3部分模型差值不能对应，因此本稿仅按原位置描述均值，不沿用相关差值、效应量或据其计算新效应。研究每病例每模型单次生成，也不能证明重复输出稳定。</w:t>
      </w:r>
    </w:p>
    <w:p>
      <w:r>
        <w:t>W35以同一透析情境比较三模型的乌克兰语和英语回答[18]。输出包含有氧、抗阻和柔韧安排，例如步行/骑行/游泳20–30分钟、每周3–5次。英语回答通常更细列进阶、RPE、监测和透析中训练。研究采用五域0–2框架和描述性比较，未做推断统计；不能写为英语输出具有统计学显著优势。作者后续整合的康复协议也不计作额外原始模型输出。</w:t>
      </w:r>
    </w:p>
    <w:p>
      <w:pPr>
        <w:pStyle w:val="Heading2"/>
      </w:pPr>
      <w:r>
        <w:t>3.4 Safety-related output and risk-response concordance</w:t>
      </w:r>
    </w:p>
    <w:p>
      <w:r>
        <w:t>安全相关信息主要来自指南一致性、专家评分与评论，而非人体事件。W07明确将评分限定为指南建议符合度，并指出低分不等于经过验证的直接临床风险[11]。W01、W04和W06提供了剂量、休息、风险筛查或进阶适配的具体问题，但没有共同标准和统一逐处方分母，不能计算跨研究安全失效率[5,8,10]。</w:t>
      </w:r>
    </w:p>
    <w:p>
      <w:r>
        <w:t>W31提供了可核对的风险判断分布[17]。对MRC 2/5股四头肌情境的Q4回答，4/12名物理治疗师评为“错误且不安全”；争议包含功能性电刺激及适用细节。对MRC 4/5情境的Q3，3/12评为完整准确，6/12评为安全但不完整，3/12评为安全但基础。Q3输出含坐位伸膝保持3–5秒、10–15次、每腿1–2组、每日1–2次。专家对频率适配存在分歧，原文亦指出部分风险判断反映专业意见而非直接伤害证据。4/12的分母是评价者，不是患者或发生伤害的处方。</w:t>
      </w:r>
    </w:p>
    <w:p>
      <w:r>
        <w:t>W29在18份初始计划中有14份包含休息日；专家评论指出个别连续七日安排可能导致疲劳或损伤风险[16]。这一观察反映计划与用户时间约束之间的冲突，不能把4份不满足该研究休息规则的计划直接转换为4起安全事件。W03的专家安全评分及W35的血管通路/症状监测内容同样属于输出层证据[7,18]。</w:t>
      </w:r>
    </w:p>
    <w:p>
      <w:r>
        <w:t>目前未获得可统一编码的独立参考处置与全部逐处方输出，故不报告风险—处置一致率，也不把相同安全表述视为正确处置。原稿W10/W15的历史安全编码线索继续保留在作者确认表的待核范围；两项仍为PENDING，相关数值未迁移到这14项研究。</w:t>
      </w:r>
    </w:p>
    <w:p>
      <w:pPr>
        <w:pStyle w:val="Heading2"/>
      </w:pPr>
      <w:r>
        <w:t>3.5 Reproducibility and model-to-model differences</w:t>
      </w:r>
    </w:p>
    <w:p>
      <w:r>
        <w:t>W05把重复输入后专家评分是否存在差异作为可重复性指标，作者报告28项中27项未检出差异[9]。但每个模型每档提示仅有两份输出，且Fleiss kappa分别约为0.046–0.216，提示评价者一致性有限。未检出差异不能证明等效，更不能证明动作、剂量和风险处置逐项相同。</w:t>
      </w:r>
    </w:p>
    <w:p>
      <w:r>
        <w:t>W21在固定模拟100米自由泳情境下使四模型各生成5次，由32名专家评估[13]。总体评分依ChatGPT、Gemini、DeepSeek、Doubao顺序为4.23±0.22、3.94±0.22、3.93±0.26、3.22±0.26。每模型160条记录来自32专家×5生成，不是160份独立计划；生成级稳定性仅以5份输出计算。其总体评分CV依次为3.989%、2.561%、3.295%、1.525%。质量最高的模型并非评分最稳定的模型。该结果属于单一任务的评分稳定性，不能推断全部动作或剂量的临床一致性。</w:t>
      </w:r>
    </w:p>
    <w:p>
      <w:r>
        <w:t>W13仅有网页局部截图，未获得正确完整全文，不进入本稿已核实结果。其重复生成、文本唯一率和安全表达只能作为待核线索保留；不能用摘要数字与已读全文模型作排名。综合现有研究，单次跨模型评分、重复生成差异和评价者一致性必须分别报告。</w:t>
      </w:r>
    </w:p>
    <w:p>
      <w:pPr>
        <w:pStyle w:val="Heading2"/>
      </w:pPr>
      <w:r>
        <w:t>3.6 Real-world output evaluations</w:t>
      </w:r>
    </w:p>
    <w:p>
      <w:r>
        <w:t>W03使用SportFit-1M历史数据构建LLM-SPTRec，骨干为LLaMA-2-7B，结合用户画像、知识图谱和训练优化[7]。数据集报告85,420用户和1,256,910训练日志；计划结构定义包含动作、组次、负荷和休息。Table 8报告PCS为4.62、GAI为0.91、USAT为4.55，相应P5比较值为3.51、0.78、3.91。USAT是基于历史反馈训练的模拟器所预测的1–5分满意度，不是前瞻性收集的用户满意度；GAI也不等于实际目标达成率。</w:t>
      </w:r>
    </w:p>
    <w:p>
      <w:r>
        <w:t>W03另报告5名认证教练评价100份随机计划，LLM-SPTRec安全评分4.8/5，对一般LLaMA-2为3.1/5。原文抽样、评价者分配及评分细节仍需补核。该结果支持知识约束可能改善特定离线指标的信号，但不能把指标差异推断为真实患者伤害降低或LLM独立效应。</w:t>
      </w:r>
    </w:p>
    <w:p>
      <w:r>
        <w:t>W29的PlanFitting让18名用户依据自身目标、时间和障碍生成并修改周计划，另由3名专家各评价6份初始计划[16]。15/18份初始计划达到研究设定的周运动总量要求；FITT频率、强度、时间、类型的7分均值分别为5.67±1.53、4.28±1.32、5.06±1.80、3.89±1.45。用户易用性为6.00±1.12/7，反映交互体验而非长期训练依从性。后续迭代要求用户想象下一周成功或受阻的情境，没有验证连续运动周的实施。正式版与arXiv预印本关系仍PENDING，目前W29只作为一个Study记录。</w:t>
      </w:r>
    </w:p>
    <w:p>
      <w:pPr>
        <w:pStyle w:val="Heading2"/>
      </w:pPr>
      <w:r>
        <w:t>3.7 Human implementation evidence</w:t>
      </w:r>
    </w:p>
    <w:p>
      <w:r>
        <w:t>三项C类研究的运动计划均有LLM参与生成并进入实施，具体见Table 3；样本量与监督条件不同，不合并总体效果。</w:t>
      </w:r>
    </w:p>
    <w:p>
      <w:r>
        <w:t>W17在26个ASD儿童家庭中比较4周活动，组间各13[12]。ChatGPT推荐活动包括平衡步行5分钟、抛接球10分钟等，父母接受培训并在研究者支持下每周实施3次、每次40分钟。LTEQ均值由6.69升至34，对照由7.46变为7.23；Table 3交互F(1,24)=353.069，P&lt;0.001，ηp²=0.936。该结果来自家长报告，并与培训、亲子参与和WhatsApp答疑共同发生，不能解释为LLM单独提高活动量。</w:t>
      </w:r>
    </w:p>
    <w:p>
      <w:r>
        <w:t>W26为9名19岁健康超重男性提供8周运动，干预6人、对照3人[14]。主训练为有氧、抗阻和柔韧45–60分钟，每周3次。8周末BMI中位数为22.99与24.46kg/m²（P=0.020），3分钟原地抬膝后心率为128与152bpm（P=0.019），30秒坐站为37与32次（P=0.019）。这些是末次组间中位数比较，不是均值或组间变化值。对照不接受运动干预，结果不能证明LLM优于专业人员处方；极小样本和受伤排除条款仍限制解释。</w:t>
      </w:r>
    </w:p>
    <w:p>
      <w:r>
        <w:t>W27比较GPT-4固定方案与私人教练方案，两组各10名男性，训练12周、每周3次、每次90分钟[15]。GPT组左臂力量由20.31±3.80升至22.99±4.05kg（组内P&lt;0.001）。教练组多项指标有组内变化，但其方案可周期性调整，两组支持方式不同。不能通过一组显著、另一组不显著判断两种服务的相对效果。</w:t>
      </w:r>
    </w:p>
    <w:p>
      <w:r>
        <w:t>三项研究均未报告人体不良事件结局，记为NR。未报告不代表零事件，也不证明实施安全。W26把训练中受伤列入排除条件，但尚无法从现有报告确认该条款实际影响了多少人；不能据此填造伤害或退出人数。</w:t>
      </w:r>
    </w:p>
    <w:p>
      <w:pPr>
        <w:pStyle w:val="Heading2"/>
      </w:pPr>
      <w:r>
        <w:t>3.8 Methodological quality and risk-of-bias assessment status</w:t>
      </w:r>
    </w:p>
    <w:p>
      <w:r>
        <w:t>当前正式偏倚评价完成数为0，指现有文件中没有可核查的正式人工条目判断，不据此断言作者从未开展评价。已准备66条C类信号问题工作行，其中15条有AI原文证据建议，其余保留NOT_ASSESSED。未生成低、中、高风险分组。</w:t>
      </w:r>
    </w:p>
    <w:p>
      <w:r>
        <w:t>已识别的评价重点包括：C类随机序列和隐藏不足、家长自报及共干预、受伤排除与结局缺失、组内分析替代组间效应；输出研究的场景代表性、完整原始输出、评价标准、盲法、评价者一致性及统计单位。W07的部分数值关系、W03代理结局和评分流程、W35缺完整评分矩阵也需作者核对。这些是具体评价依据与缺口，不是已经完成的偏倚等级。</w:t>
      </w:r>
    </w:p>
    <w:p>
      <w:pPr>
        <w:pStyle w:val="Heading1"/>
      </w:pPr>
      <w:r>
        <w:t>4 Discussion</w:t>
      </w:r>
    </w:p>
    <w:p>
      <w:pPr>
        <w:pStyle w:val="Heading2"/>
      </w:pPr>
      <w:r>
        <w:t>4.1 What current generation capability does and does not establish</w:t>
      </w:r>
    </w:p>
    <w:p>
      <w:r>
        <w:t>当前可读证据支持LLM在多个运动与康复情境生成结构化计划。W01/W04展示了动作、负荷、组次及训练阶段，W06/W05显示输入和交互方式会改变内容，W29展示了真实用户约束可进入计划生成。其价值主要在于将需求转化为可讨论的草案。要素出现、专家认为可用、用户愿意使用，以及真实人体获益，是不同层次的判断，不能依次自动成立。</w:t>
      </w:r>
    </w:p>
    <w:p>
      <w:r>
        <w:t>与早期仅检查计划能否生成相比，现有研究开始关注任务特异性、重复生成和实施支持。但证据仍分散于小型输出实验、离线系统和短期人体研究。按三类分层后可以看到，数量较多的是输出评价；能直接回答长期依从性、有效性及人体安全的问题仍很有限。</w:t>
      </w:r>
    </w:p>
    <w:p>
      <w:pPr>
        <w:pStyle w:val="Heading2"/>
      </w:pPr>
      <w:r>
        <w:t>4.2 Dose, individualization, and risk-response decisions</w:t>
      </w:r>
    </w:p>
    <w:p>
      <w:r>
        <w:t>完整的FITT-VP结构并不保证剂量适配。W06详细计划的总体评分提高，健康筛查却仅达到中性水平，且仍有进阶问题；W31的MRC 2/5情境则提示，动作看似合理也可能忽略双侧无力、辅助方式可行性或疾病特异性证据。这些发现需要围绕具体动作和患者条件解释，不能由总分替代专业判断。</w:t>
      </w:r>
    </w:p>
    <w:p>
      <w:r>
        <w:t>对风险处置的评价还需要明确参考标准。专家可能对相同频率或治疗方式提出不同意见，W31已显示这种差异；W29的时间限制也可能使系统难以同时满足休息规则。因此，应分别记录模型建议、参考处置、支持理由及不确定性。当前不能用专家意见分歧或缺一条安全提醒直接计算通用危险率。</w:t>
      </w:r>
    </w:p>
    <w:p>
      <w:r>
        <w:t>提示更详细可能有帮助，但也提高了使用门槛。W06的提示信息与追问次数同时变化，W05也存在评分者一致性限制。不能据这些结果要求所有使用者只需“写好提示”便能获得可靠处方。模型应辅助信息结构化，专业人员仍需核对输入是否足以作出处方判断。</w:t>
      </w:r>
    </w:p>
    <w:p>
      <w:pPr>
        <w:pStyle w:val="Heading2"/>
      </w:pPr>
      <w:r>
        <w:t>4.3 Reproducibility should be separated from quality</w:t>
      </w:r>
    </w:p>
    <w:p>
      <w:r>
        <w:t>W21提供了直观例子：平均评分较低的模型反而有更小的生成级CV。持续生成相似结果既可能反映稳定，也可能反复保留相同缺陷。W05的未检出评分差异则受重复次数少和评分者一致性不足影响，不能视为等效性证据。</w:t>
      </w:r>
    </w:p>
    <w:p>
      <w:r>
        <w:t>后续评价应把文本、动作、剂量和风险处置四层重复性分别报告。同一输入下的模型参数、会话历史和版本需要记录；评分稳定性应与具体内容的一致性同时检验。单次研究内表现较好不等于模型在所有人群或后续版本中更优，也不能从本评价形成统一排行榜。</w:t>
      </w:r>
    </w:p>
    <w:p>
      <w:pPr>
        <w:pStyle w:val="Heading2"/>
      </w:pPr>
      <w:r>
        <w:t>4.4 The gap between output safety and human safety</w:t>
      </w:r>
    </w:p>
    <w:p>
      <w:r>
        <w:t>输出安全分可以帮助定位需要专业复核的内容，却不能直接预测伤害。W31的4/12为评价者比例，W03的4.8/5为计划评分，W29休息日规则反映计划结构。这些指标的分母和测量对象不同，即使数值可用，也不宜统一换算为“安全率”。</w:t>
      </w:r>
    </w:p>
    <w:p>
      <w:r>
        <w:t>三项人体研究均未报告不良事件，尚不能判断未发生事件还是未系统观察。正式人体研究需预先定义事件类型、严重性、暴露时间、退出原因和监督强度，并记录全部参与者。受伤后排除尤其需要透明说明，以避免只分析完成者而低估风险。现有证据既不足以断言LLM普遍安全，也不足以将所有输出问题等同实际伤害。</w:t>
      </w:r>
    </w:p>
    <w:p>
      <w:pPr>
        <w:pStyle w:val="Heading2"/>
      </w:pPr>
      <w:r>
        <w:t>4.5 Real-world evaluation, implementation, and human–LLM collaboration</w:t>
      </w:r>
    </w:p>
    <w:p>
      <w:r>
        <w:t>真实数据并不自动意味着真实应用效果。W03使用真实日志，但满意度和目标匹配部分是代理指标；W29使用真实个人需求，却在模拟后续情境中调整计划。它们为系统开发和交互设计提供依据，不能代替长期追踪。</w:t>
      </w:r>
    </w:p>
    <w:p>
      <w:r>
        <w:t>C类研究显示，在家长培训、研究者答疑或教练参与的条件下，LLM生成计划可以进入运动实施。对于运动科学与康复实践，更可行的用途是草案组织、方案沟通与修改记录，而非把生成结果直接当作个体化医疗决定。对疾病、显著肌无力或负荷风险较高者，专业人员应复核禁忌、强度、进阶和停止条件，再依据实际反应调整。当前不能宣称该协作模式已优于常规专业服务。</w:t>
      </w:r>
    </w:p>
    <w:p>
      <w:r>
        <w:t>作为背景文献，WMRE2030提出可穿戴、多组学与实时反馈构成日尺度闭环[22]。其启示是将处方置于持续观察与调整中，而不是只评价一次文本。但该文为框架性综述，不是本评价候选的临床试验证据，也不能据此补写已开展的反馈流程或疗效。此前学习材料中的FITT-VP研究与游泳研究已分别按W07、W21记录，不重复计数。</w:t>
      </w:r>
    </w:p>
    <w:p>
      <w:pPr>
        <w:pStyle w:val="Heading2"/>
      </w:pPr>
      <w:r>
        <w:t>4.6 Heterogeneity and limitations of the present review</w:t>
      </w:r>
    </w:p>
    <w:p>
      <w:r>
        <w:t>首先，本稿的14项是有全文支持的资格建议，不是完成选择链后的最终集合；22项历史候选仍待核，其中包括W13以及其他可能相关研究。当前不能声称研究覆盖完整，也不能据14项的分布估计整个领域的证据比例。W13局部截图、W29多报告关系和W36错误附件均未被升级为完成核验。</w:t>
      </w:r>
    </w:p>
    <w:p>
      <w:r>
        <w:t>其次，检索与去重映射可以复核，但完整人工题录和全文去留日志尚缺。只有作者一名真实评价者，也没有可报告的独立复核完成记录。这些缺口会影响遗漏和选择偏倚，须在投稿前通过真实操作关闭。</w:t>
      </w:r>
    </w:p>
    <w:p>
      <w:r>
        <w:t>第三，研究的模型、版本、提示、任务、量表、分析单位和比较服务差异明显。评分可以反映内容质量，也受参考标准和评价者经验影响；代理指标不能直接解释为人体结局。正式质量评价尚未完成，原始研究部分数值和报告细节仍待作者核对，因此不能提供确定性等级或跨研究总体效果。</w:t>
      </w:r>
    </w:p>
    <w:p>
      <w:r>
        <w:t>最后，本文保持了缺失与未报告的区分，但部分原始输出、提示和评分附件仍未获得，限制逐处方完整性和安全分析。当前稿适用于导师审查证据解释、章节逻辑和方法补做安排，不能据此认定已满足投稿完整性要求。</w:t>
      </w:r>
    </w:p>
    <w:p>
      <w:pPr>
        <w:pStyle w:val="Heading2"/>
      </w:pPr>
      <w:r>
        <w:t>4.7 Priorities for further research</w:t>
      </w:r>
    </w:p>
    <w:p>
      <w:r>
        <w:t>后续输出研究应公开原始提示、参数、全部生成结果及失败输出，用标准化病例覆盖不同训练水平、疾病和可执行约束，并预设风险处置参考标准。相同任务应有足够重复生成，分别检查剂量、动作和安全决策，而非只报告相似度或平均分。</w:t>
      </w:r>
    </w:p>
    <w:p>
      <w:r>
        <w:t>真实应用研究应区分模型、知识约束、专业支持及动态调整的贡献，预先指定主要结局和分析单位。人体研究需采用能够回答增量价值的比较设计，报告依从性、随访、不良事件和资源投入。工具选择应与真实设计一致，不能因传统量表易用就强行评分。</w:t>
      </w:r>
    </w:p>
    <w:p>
      <w:pPr>
        <w:pStyle w:val="Heading1"/>
      </w:pPr>
      <w:r>
        <w:t>5 Conclusion</w:t>
      </w:r>
    </w:p>
    <w:p>
      <w:r>
        <w:t>当前14项有原文支持的候选证据表明，LLM可以辅助生成结构化运动计划，但内容完整性、剂量适配、风险处置和输出稳定性并不一致。真实资料系统的代理评价与短期人体研究提供了应用信号，尚不足以支持LLM独立制定运动处方或确认人体安全。现阶段应保留专业人员审核和实施反馈。最终筛选、缺失全文、版本关系及正式偏倚评价仍需关闭，结论限于当前可核对材料。</w:t>
      </w:r>
    </w:p>
    <w:p>
      <w:pPr>
        <w:pStyle w:val="Heading1"/>
      </w:pPr>
      <w:r>
        <w:t>Tables</w:t>
      </w:r>
    </w:p>
    <w:p>
      <w:r>
        <w:t>All tables describe provisional candidates. NR = not reported in the read source; PENDING = unresolved evidence or confirmation. Class A = standardized/simulated output; B = real-data output evaluation; C = human implementation. PDF locations use physical page numbers.</w:t>
      </w:r>
    </w:p>
    <w:p>
      <w:pPr>
        <w:pStyle w:val="Heading2"/>
      </w:pPr>
      <w:r>
        <w:t>Table 1. Characteristics of studies with evidence-supported eligibility (provisional). Part A.</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author-year</w:t>
            </w:r>
          </w:p>
        </w:tc>
        <w:tc>
          <w:tcPr>
            <w:tcW w:type="dxa" w:w="2493"/>
          </w:tcPr>
          <w:p>
            <w:r>
              <w:rPr>
                <w:sz w:val="16"/>
              </w:rPr>
              <w:t>Class / design</w:t>
            </w:r>
          </w:p>
        </w:tc>
        <w:tc>
          <w:tcPr>
            <w:tcW w:type="dxa" w:w="2493"/>
          </w:tcPr>
          <w:p>
            <w:r>
              <w:rPr>
                <w:sz w:val="16"/>
              </w:rPr>
              <w:t>Population / source</w:t>
            </w:r>
          </w:p>
        </w:tc>
        <w:tc>
          <w:tcPr>
            <w:tcW w:type="dxa" w:w="2493"/>
          </w:tcPr>
          <w:p>
            <w:r>
              <w:rPr>
                <w:sz w:val="16"/>
              </w:rPr>
              <w:t>LLM / generation</w:t>
            </w:r>
          </w:p>
        </w:tc>
      </w:tr>
      <w:tr>
        <w:trPr>
          <w:cantSplit/>
        </w:trPr>
        <w:tc>
          <w:tcPr>
            <w:tcW w:type="dxa" w:w="2493"/>
          </w:tcPr>
          <w:p>
            <w:r>
              <w:rPr>
                <w:sz w:val="16"/>
              </w:rPr>
              <w:t>W01 Dergaa et al. 2024</w:t>
            </w:r>
          </w:p>
        </w:tc>
        <w:tc>
          <w:tcPr>
            <w:tcW w:type="dxa" w:w="2493"/>
          </w:tcPr>
          <w:p>
            <w:r>
              <w:rPr>
                <w:sz w:val="16"/>
              </w:rPr>
              <w:t>A；五个假想病例的定性批判性输出评价</w:t>
            </w:r>
          </w:p>
        </w:tc>
        <w:tc>
          <w:tcPr>
            <w:tcW w:type="dxa" w:w="2493"/>
          </w:tcPr>
          <w:p>
            <w:r>
              <w:rPr>
                <w:sz w:val="16"/>
              </w:rPr>
              <w:t>5个合成健康/疾病情境；无患者实施</w:t>
            </w:r>
          </w:p>
        </w:tc>
        <w:tc>
          <w:tcPr>
            <w:tcW w:type="dxa" w:w="2493"/>
          </w:tcPr>
          <w:p>
            <w:r>
              <w:rPr>
                <w:sz w:val="16"/>
              </w:rPr>
              <w:t>GPT-4；逐病例30日方案；全文列提示和追加细化问答；完整生成参数NR</w:t>
            </w:r>
          </w:p>
        </w:tc>
      </w:tr>
      <w:tr>
        <w:trPr>
          <w:cantSplit/>
        </w:trPr>
        <w:tc>
          <w:tcPr>
            <w:tcW w:type="dxa" w:w="2493"/>
          </w:tcPr>
          <w:p>
            <w:r>
              <w:rPr>
                <w:sz w:val="16"/>
              </w:rPr>
              <w:t>W02 Havers et al. 2025</w:t>
            </w:r>
          </w:p>
        </w:tc>
        <w:tc>
          <w:tcPr>
            <w:tcW w:type="dxa" w:w="2493"/>
          </w:tcPr>
          <w:p>
            <w:r>
              <w:rPr>
                <w:sz w:val="16"/>
              </w:rPr>
              <w:t>A；三接口、两训练目标的标准化输出专家比较</w:t>
            </w:r>
          </w:p>
        </w:tc>
        <w:tc>
          <w:tcPr>
            <w:tcW w:type="dxa" w:w="2493"/>
          </w:tcPr>
          <w:p>
            <w:r>
              <w:rPr>
                <w:sz w:val="16"/>
              </w:rPr>
              <w:t>虚构高级抗阻训练者；10名教练</w:t>
            </w:r>
          </w:p>
        </w:tc>
        <w:tc>
          <w:tcPr>
            <w:tcW w:type="dxa" w:w="2493"/>
          </w:tcPr>
          <w:p>
            <w:r>
              <w:rPr>
                <w:sz w:val="16"/>
              </w:rPr>
              <w:t>GPT-3.5经ChatGPT/Copilot；Google Gemini（原文标签）；2024-04-30访问；初始目标及既往训练信息；详细提示见正文</w:t>
            </w:r>
          </w:p>
        </w:tc>
      </w:tr>
      <w:tr>
        <w:trPr>
          <w:cantSplit/>
        </w:trPr>
        <w:tc>
          <w:tcPr>
            <w:tcW w:type="dxa" w:w="2493"/>
          </w:tcPr>
          <w:p>
            <w:r>
              <w:rPr>
                <w:sz w:val="16"/>
              </w:rPr>
              <w:t>W03 He et al. 2026</w:t>
            </w:r>
          </w:p>
        </w:tc>
        <w:tc>
          <w:tcPr>
            <w:tcW w:type="dxa" w:w="2493"/>
          </w:tcPr>
          <w:p>
            <w:r>
              <w:rPr>
                <w:sz w:val="16"/>
              </w:rPr>
              <w:t>B；真实历史数据上的生成推荐框架/离线输出评价</w:t>
            </w:r>
          </w:p>
        </w:tc>
        <w:tc>
          <w:tcPr>
            <w:tcW w:type="dxa" w:w="2493"/>
          </w:tcPr>
          <w:p>
            <w:r>
              <w:rPr>
                <w:sz w:val="16"/>
              </w:rPr>
              <w:t>SportFit-1M：85,420用户、1,256,910训练日志；专家抽评100计划</w:t>
            </w:r>
          </w:p>
        </w:tc>
        <w:tc>
          <w:tcPr>
            <w:tcW w:type="dxa" w:w="2493"/>
          </w:tcPr>
          <w:p>
            <w:r>
              <w:rPr>
                <w:sz w:val="16"/>
              </w:rPr>
              <w:t>LLM-SPTRec；LLaMA-2-7B骨干；知识图谱、SFT与PPO/RLHF；用户画像+检索知识+JSON指令；p6 Table5；具体输出样本仍待补</w:t>
            </w:r>
          </w:p>
        </w:tc>
      </w:tr>
      <w:tr>
        <w:trPr>
          <w:cantSplit/>
        </w:trPr>
        <w:tc>
          <w:tcPr>
            <w:tcW w:type="dxa" w:w="2493"/>
          </w:tcPr>
          <w:p>
            <w:r>
              <w:rPr>
                <w:sz w:val="16"/>
              </w:rPr>
              <w:t>W04 Washif et al. 2024</w:t>
            </w:r>
          </w:p>
        </w:tc>
        <w:tc>
          <w:tcPr>
            <w:tcW w:type="dxa" w:w="2493"/>
          </w:tcPr>
          <w:p>
            <w:r>
              <w:rPr>
                <w:sz w:val="16"/>
              </w:rPr>
              <w:t>A；GPT3.5/GPT4标准化抗阻训练输出比较</w:t>
            </w:r>
          </w:p>
        </w:tc>
        <w:tc>
          <w:tcPr>
            <w:tcW w:type="dxa" w:w="2493"/>
          </w:tcPr>
          <w:p>
            <w:r>
              <w:rPr>
                <w:sz w:val="16"/>
              </w:rPr>
              <w:t>假想中/高级训练者；仅报告男性回答</w:t>
            </w:r>
          </w:p>
        </w:tc>
        <w:tc>
          <w:tcPr>
            <w:tcW w:type="dxa" w:w="2493"/>
          </w:tcPr>
          <w:p>
            <w:r>
              <w:rPr>
                <w:sz w:val="16"/>
              </w:rPr>
              <w:t>GPT3.5、GPT4.0（2023-07-20版本标签）；三条提示；12周方案，GPT4另设高级水平</w:t>
            </w:r>
          </w:p>
        </w:tc>
      </w:tr>
      <w:tr>
        <w:trPr>
          <w:cantSplit/>
        </w:trPr>
        <w:tc>
          <w:tcPr>
            <w:tcW w:type="dxa" w:w="2493"/>
          </w:tcPr>
          <w:p>
            <w:r>
              <w:rPr>
                <w:sz w:val="16"/>
              </w:rPr>
              <w:t>W05 Havers et al. 2025</w:t>
            </w:r>
          </w:p>
        </w:tc>
        <w:tc>
          <w:tcPr>
            <w:tcW w:type="dxa" w:w="2493"/>
          </w:tcPr>
          <w:p>
            <w:r>
              <w:rPr>
                <w:sz w:val="16"/>
              </w:rPr>
              <w:t>A；两模型×两信息水平×两输入者的重复输出评价</w:t>
            </w:r>
          </w:p>
        </w:tc>
        <w:tc>
          <w:tcPr>
            <w:tcW w:type="dxa" w:w="2493"/>
          </w:tcPr>
          <w:p>
            <w:r>
              <w:rPr>
                <w:sz w:val="16"/>
              </w:rPr>
              <w:t>1个虚构训练者情境；8份计划；12名教练</w:t>
            </w:r>
          </w:p>
        </w:tc>
        <w:tc>
          <w:tcPr>
            <w:tcW w:type="dxa" w:w="2493"/>
          </w:tcPr>
          <w:p>
            <w:r>
              <w:rPr>
                <w:sz w:val="16"/>
              </w:rPr>
              <w:t>Google Gemini；GPT-4经Microsoft Copilot；2024-02-15；简略/详细提示，由两人同日输入；详细提示要求16周增肌</w:t>
            </w:r>
          </w:p>
        </w:tc>
      </w:tr>
      <w:tr>
        <w:trPr>
          <w:cantSplit/>
        </w:trPr>
        <w:tc>
          <w:tcPr>
            <w:tcW w:type="dxa" w:w="2493"/>
          </w:tcPr>
          <w:p>
            <w:r>
              <w:rPr>
                <w:sz w:val="16"/>
              </w:rPr>
              <w:t>W06 Düking et al. 2024</w:t>
            </w:r>
          </w:p>
        </w:tc>
        <w:tc>
          <w:tcPr>
            <w:tcW w:type="dxa" w:w="2493"/>
          </w:tcPr>
          <w:p>
            <w:r>
              <w:rPr>
                <w:sz w:val="16"/>
              </w:rPr>
              <w:t>A；三档提示信息量的跑步计划专家评价</w:t>
            </w:r>
          </w:p>
        </w:tc>
        <w:tc>
          <w:tcPr>
            <w:tcW w:type="dxa" w:w="2493"/>
          </w:tcPr>
          <w:p>
            <w:r>
              <w:rPr>
                <w:sz w:val="16"/>
              </w:rPr>
              <w:t>虚构20岁男性跑者；3计划；10名教练</w:t>
            </w:r>
          </w:p>
        </w:tc>
        <w:tc>
          <w:tcPr>
            <w:tcW w:type="dxa" w:w="2493"/>
          </w:tcPr>
          <w:p>
            <w:r>
              <w:rPr>
                <w:sz w:val="16"/>
              </w:rPr>
              <w:t>ChatGPT（原文Version 3.0.1；不将界面版本当GPT架构）；2023-05-23；三档信息；详细档允许更多追问，非纯信息量隔离实验</w:t>
            </w:r>
          </w:p>
        </w:tc>
      </w:tr>
      <w:tr>
        <w:trPr>
          <w:cantSplit/>
        </w:trPr>
        <w:tc>
          <w:tcPr>
            <w:tcW w:type="dxa" w:w="2493"/>
          </w:tcPr>
          <w:p>
            <w:r>
              <w:rPr>
                <w:sz w:val="16"/>
              </w:rPr>
              <w:t>W07 Feng &amp; Wang 2026</w:t>
            </w:r>
          </w:p>
        </w:tc>
        <w:tc>
          <w:tcPr>
            <w:tcW w:type="dxa" w:w="2493"/>
          </w:tcPr>
          <w:p>
            <w:r>
              <w:rPr>
                <w:sz w:val="16"/>
              </w:rPr>
              <w:t>A；30合成病例的四模型配对输出评价</w:t>
            </w:r>
          </w:p>
        </w:tc>
        <w:tc>
          <w:tcPr>
            <w:tcW w:type="dxa" w:w="2493"/>
          </w:tcPr>
          <w:p>
            <w:r>
              <w:rPr>
                <w:sz w:val="16"/>
              </w:rPr>
              <w:t>30个合成画像；120份输出；3名专家</w:t>
            </w:r>
          </w:p>
        </w:tc>
        <w:tc>
          <w:tcPr>
            <w:tcW w:type="dxa" w:w="2493"/>
          </w:tcPr>
          <w:p>
            <w:r>
              <w:rPr>
                <w:sz w:val="16"/>
              </w:rPr>
              <w:t>GPT-4o、Claude3.7、DeepSeekR1、Grok-3；2025-04-15至20 API；temperature=.7、max_tokens=2000、top_p=.95；单次生成</w:t>
            </w:r>
          </w:p>
        </w:tc>
      </w:tr>
      <w:tr>
        <w:trPr>
          <w:cantSplit/>
        </w:trPr>
        <w:tc>
          <w:tcPr>
            <w:tcW w:type="dxa" w:w="2493"/>
          </w:tcPr>
          <w:p>
            <w:r>
              <w:rPr>
                <w:sz w:val="16"/>
              </w:rPr>
              <w:t>W17 Aydemir 2025</w:t>
            </w:r>
          </w:p>
        </w:tc>
        <w:tc>
          <w:tcPr>
            <w:tcW w:type="dxa" w:w="2493"/>
          </w:tcPr>
          <w:p>
            <w:r>
              <w:rPr>
                <w:sz w:val="16"/>
              </w:rPr>
              <w:t>C；作者报告随机分组的两组前后可行性研究</w:t>
            </w:r>
          </w:p>
        </w:tc>
        <w:tc>
          <w:tcPr>
            <w:tcW w:type="dxa" w:w="2493"/>
          </w:tcPr>
          <w:p>
            <w:r>
              <w:rPr>
                <w:sz w:val="16"/>
              </w:rPr>
              <w:t>26个ASD儿童家庭；13/13组</w:t>
            </w:r>
          </w:p>
        </w:tc>
        <w:tc>
          <w:tcPr>
            <w:tcW w:type="dxa" w:w="2493"/>
          </w:tcPr>
          <w:p>
            <w:r>
              <w:rPr>
                <w:sz w:val="16"/>
              </w:rPr>
              <w:t>ChatGPT；底层版本NR；家长按研究者提示生成4周、3天/周、40min方案；含解释追问与培训</w:t>
            </w:r>
          </w:p>
        </w:tc>
      </w:tr>
      <w:tr>
        <w:trPr>
          <w:cantSplit/>
        </w:trPr>
        <w:tc>
          <w:tcPr>
            <w:tcW w:type="dxa" w:w="2493"/>
          </w:tcPr>
          <w:p>
            <w:r>
              <w:rPr>
                <w:sz w:val="16"/>
              </w:rPr>
              <w:t>W21 Zhao et al. 2026</w:t>
            </w:r>
          </w:p>
        </w:tc>
        <w:tc>
          <w:tcPr>
            <w:tcW w:type="dxa" w:w="2493"/>
          </w:tcPr>
          <w:p>
            <w:r>
              <w:rPr>
                <w:sz w:val="16"/>
              </w:rPr>
              <w:t>A；四模型×五次重复生成、盲法专家评价</w:t>
            </w:r>
          </w:p>
        </w:tc>
        <w:tc>
          <w:tcPr>
            <w:tcW w:type="dxa" w:w="2493"/>
          </w:tcPr>
          <w:p>
            <w:r>
              <w:rPr>
                <w:sz w:val="16"/>
              </w:rPr>
              <w:t>1模拟16岁男性100m自由泳者；20输出；32专家</w:t>
            </w:r>
          </w:p>
        </w:tc>
        <w:tc>
          <w:tcPr>
            <w:tcW w:type="dxa" w:w="2493"/>
          </w:tcPr>
          <w:p>
            <w:r>
              <w:rPr>
                <w:sz w:val="16"/>
              </w:rPr>
              <w:t>Web GPT-5.2 Thinking；Gemini3 Flash Thinking；DeepSeek-V3.2；Doubao-Seed-2.0-pro；2026-03-01；同一中文提示，新对话，保留首次完整回答；无追加修正</w:t>
            </w:r>
          </w:p>
        </w:tc>
      </w:tr>
      <w:tr>
        <w:trPr>
          <w:cantSplit/>
        </w:trPr>
        <w:tc>
          <w:tcPr>
            <w:tcW w:type="dxa" w:w="2493"/>
          </w:tcPr>
          <w:p>
            <w:r>
              <w:rPr>
                <w:sz w:val="16"/>
              </w:rPr>
              <w:t>W26 Philuek et al. 2025</w:t>
            </w:r>
          </w:p>
        </w:tc>
        <w:tc>
          <w:tcPr>
            <w:tcW w:type="dxa" w:w="2493"/>
          </w:tcPr>
          <w:p>
            <w:r>
              <w:rPr>
                <w:sz w:val="16"/>
              </w:rPr>
              <w:t>C；作者报告随机对照试点；随机序列细节NR</w:t>
            </w:r>
          </w:p>
        </w:tc>
        <w:tc>
          <w:tcPr>
            <w:tcW w:type="dxa" w:w="2493"/>
          </w:tcPr>
          <w:p>
            <w:r>
              <w:rPr>
                <w:sz w:val="16"/>
              </w:rPr>
              <w:t>9名19岁健康超重男性；6/3组</w:t>
            </w:r>
          </w:p>
        </w:tc>
        <w:tc>
          <w:tcPr>
            <w:tcW w:type="dxa" w:w="2493"/>
          </w:tcPr>
          <w:p>
            <w:r>
              <w:rPr>
                <w:sz w:val="16"/>
              </w:rPr>
              <w:t>ChatGPT version4.0（原文标签）；要求减重运动；完整提示/生成参数PENDING；附录有计划</w:t>
            </w:r>
          </w:p>
        </w:tc>
      </w:tr>
      <w:tr>
        <w:trPr>
          <w:cantSplit/>
        </w:trPr>
        <w:tc>
          <w:tcPr>
            <w:tcW w:type="dxa" w:w="2493"/>
          </w:tcPr>
          <w:p>
            <w:r>
              <w:rPr>
                <w:sz w:val="16"/>
              </w:rPr>
              <w:t>W27 Genç et al. 2025</w:t>
            </w:r>
          </w:p>
        </w:tc>
        <w:tc>
          <w:tcPr>
            <w:tcW w:type="dxa" w:w="2493"/>
          </w:tcPr>
          <w:p>
            <w:r>
              <w:rPr>
                <w:sz w:val="16"/>
              </w:rPr>
              <w:t>C；作者报告随机分组的GPT4对私人教练研究</w:t>
            </w:r>
          </w:p>
        </w:tc>
        <w:tc>
          <w:tcPr>
            <w:tcW w:type="dxa" w:w="2493"/>
          </w:tcPr>
          <w:p>
            <w:r>
              <w:rPr>
                <w:sz w:val="16"/>
              </w:rPr>
              <w:t>20名男性；10/10组</w:t>
            </w:r>
          </w:p>
        </w:tc>
        <w:tc>
          <w:tcPr>
            <w:tcW w:type="dxa" w:w="2493"/>
          </w:tcPr>
          <w:p>
            <w:r>
              <w:rPr>
                <w:sz w:val="16"/>
              </w:rPr>
              <w:t>OpenAI GPT-4；输入年龄、身高体重、基线力量、增肌目标生成渐进方案；参数NR</w:t>
            </w:r>
          </w:p>
        </w:tc>
      </w:tr>
      <w:tr>
        <w:trPr>
          <w:cantSplit/>
        </w:trPr>
        <w:tc>
          <w:tcPr>
            <w:tcW w:type="dxa" w:w="2493"/>
          </w:tcPr>
          <w:p>
            <w:r>
              <w:rPr>
                <w:sz w:val="16"/>
              </w:rPr>
              <w:t>W29 Shin, Hsieh &amp; Kim 2025</w:t>
            </w:r>
          </w:p>
        </w:tc>
        <w:tc>
          <w:tcPr>
            <w:tcW w:type="dxa" w:w="2493"/>
          </w:tcPr>
          <w:p>
            <w:r>
              <w:rPr>
                <w:sz w:val="16"/>
              </w:rPr>
              <w:t>B；真实用户资料的交互式计划输出评价</w:t>
            </w:r>
          </w:p>
        </w:tc>
        <w:tc>
          <w:tcPr>
            <w:tcW w:type="dxa" w:w="2493"/>
          </w:tcPr>
          <w:p>
            <w:r>
              <w:rPr>
                <w:sz w:val="16"/>
              </w:rPr>
              <w:t>18用户；3名专家，各评6初始计划</w:t>
            </w:r>
          </w:p>
        </w:tc>
        <w:tc>
          <w:tcPr>
            <w:tcW w:type="dxa" w:w="2493"/>
          </w:tcPr>
          <w:p>
            <w:r>
              <w:rPr>
                <w:sz w:val="16"/>
              </w:rPr>
              <w:t>PlanFitting GPT-4；text-embedding-ada-002检索；用户目标/时间/障碍；temperature=.5、top_p=1、frequency/presence penalty=0</w:t>
            </w:r>
          </w:p>
        </w:tc>
      </w:tr>
      <w:tr>
        <w:trPr>
          <w:cantSplit/>
        </w:trPr>
        <w:tc>
          <w:tcPr>
            <w:tcW w:type="dxa" w:w="2493"/>
          </w:tcPr>
          <w:p>
            <w:r>
              <w:rPr>
                <w:sz w:val="16"/>
              </w:rPr>
              <w:t>W31 Schütze et al. 2026</w:t>
            </w:r>
          </w:p>
        </w:tc>
        <w:tc>
          <w:tcPr>
            <w:tcW w:type="dxa" w:w="2493"/>
          </w:tcPr>
          <w:p>
            <w:r>
              <w:rPr>
                <w:sz w:val="16"/>
              </w:rPr>
              <w:t>A；标准化IBM临床问题的ChatGPT输出专家评价</w:t>
            </w:r>
          </w:p>
        </w:tc>
        <w:tc>
          <w:tcPr>
            <w:tcW w:type="dxa" w:w="2493"/>
          </w:tcPr>
          <w:p>
            <w:r>
              <w:rPr>
                <w:sz w:val="16"/>
              </w:rPr>
              <w:t>6问题；12物理治疗师；Q3–5是运动子集</w:t>
            </w:r>
          </w:p>
        </w:tc>
        <w:tc>
          <w:tcPr>
            <w:tcW w:type="dxa" w:w="2493"/>
          </w:tcPr>
          <w:p>
            <w:r>
              <w:rPr>
                <w:sz w:val="16"/>
              </w:rPr>
              <w:t>ChatGPT-4；2025-07-09单次提问；p2列6问题；非真实患者个体资料</w:t>
            </w:r>
          </w:p>
        </w:tc>
      </w:tr>
      <w:tr>
        <w:trPr>
          <w:cantSplit/>
        </w:trPr>
        <w:tc>
          <w:tcPr>
            <w:tcW w:type="dxa" w:w="2493"/>
          </w:tcPr>
          <w:p>
            <w:r>
              <w:rPr>
                <w:sz w:val="16"/>
              </w:rPr>
              <w:t>W35 Bezruk et al. 2026</w:t>
            </w:r>
          </w:p>
        </w:tc>
        <w:tc>
          <w:tcPr>
            <w:tcW w:type="dxa" w:w="2493"/>
          </w:tcPr>
          <w:p>
            <w:r>
              <w:rPr>
                <w:sz w:val="16"/>
              </w:rPr>
              <w:t>A；三模型双语标准提示的结构化定性比较</w:t>
            </w:r>
          </w:p>
        </w:tc>
        <w:tc>
          <w:tcPr>
            <w:tcW w:type="dxa" w:w="2493"/>
          </w:tcPr>
          <w:p>
            <w:r>
              <w:rPr>
                <w:sz w:val="16"/>
              </w:rPr>
              <w:t>标准化血液透析情境；三模型×两语；3评价者</w:t>
            </w:r>
          </w:p>
        </w:tc>
        <w:tc>
          <w:tcPr>
            <w:tcW w:type="dxa" w:w="2493"/>
          </w:tcPr>
          <w:p>
            <w:r>
              <w:rPr>
                <w:sz w:val="16"/>
              </w:rPr>
              <w:t>Gemini2.5 flash；GPT-4.1；Copilot GPT-4-class；同一提示乌克兰语/英语；单次生成；模型盲、语言不盲</w:t>
            </w:r>
          </w:p>
        </w:tc>
      </w:tr>
    </w:tbl>
    <w:p>
      <w:pPr>
        <w:pStyle w:val="Heading2"/>
      </w:pPr>
      <w:r>
        <w:t>Table 1. Part B. Prescription, evaluation, and source.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Exercise / dose</w:t>
            </w:r>
          </w:p>
        </w:tc>
        <w:tc>
          <w:tcPr>
            <w:tcW w:type="dxa" w:w="2493"/>
          </w:tcPr>
          <w:p>
            <w:r>
              <w:rPr>
                <w:sz w:val="16"/>
              </w:rPr>
              <w:t>Evaluation / unit</w:t>
            </w:r>
          </w:p>
        </w:tc>
        <w:tc>
          <w:tcPr>
            <w:tcW w:type="dxa" w:w="2493"/>
          </w:tcPr>
          <w:p>
            <w:r>
              <w:rPr>
                <w:sz w:val="16"/>
              </w:rPr>
              <w:t>Evidence source</w:t>
            </w:r>
          </w:p>
        </w:tc>
      </w:tr>
      <w:tr>
        <w:trPr>
          <w:cantSplit/>
        </w:trPr>
        <w:tc>
          <w:tcPr>
            <w:tcW w:type="dxa" w:w="2493"/>
          </w:tcPr>
          <w:p>
            <w:r>
              <w:rPr>
                <w:sz w:val="16"/>
              </w:rPr>
              <w:t>W01</w:t>
            </w:r>
          </w:p>
        </w:tc>
        <w:tc>
          <w:tcPr>
            <w:tcW w:type="dxa" w:w="2493"/>
          </w:tcPr>
          <w:p>
            <w:r>
              <w:rPr>
                <w:sz w:val="16"/>
              </w:rPr>
              <w:t>步行30 min；深蹲/弓步/俯卧撑3×10、60%1RM、RPE5–6；个别剂量原文适宜性未获验证</w:t>
            </w:r>
          </w:p>
        </w:tc>
        <w:tc>
          <w:tcPr>
            <w:tcW w:type="dxa" w:w="2493"/>
          </w:tcPr>
          <w:p>
            <w:r>
              <w:rPr>
                <w:sz w:val="16"/>
              </w:rPr>
              <w:t>专家叙述性审阅；无统一数值量表；病例/生成计划；专家评论，不是患者</w:t>
            </w:r>
          </w:p>
        </w:tc>
        <w:tc>
          <w:tcPr>
            <w:tcW w:type="dxa" w:w="2493"/>
          </w:tcPr>
          <w:p>
            <w:r>
              <w:rPr>
                <w:sz w:val="16"/>
              </w:rPr>
              <w:t>W01-R1；pp2–3 Methods；p5 Table2；pp8–12 Discussion</w:t>
            </w:r>
          </w:p>
        </w:tc>
      </w:tr>
      <w:tr>
        <w:trPr>
          <w:cantSplit/>
        </w:trPr>
        <w:tc>
          <w:tcPr>
            <w:tcW w:type="dxa" w:w="2493"/>
          </w:tcPr>
          <w:p>
            <w:r>
              <w:rPr>
                <w:sz w:val="16"/>
              </w:rPr>
              <w:t>W02</w:t>
            </w:r>
          </w:p>
        </w:tc>
        <w:tc>
          <w:tcPr>
            <w:tcW w:type="dxa" w:w="2493"/>
          </w:tcPr>
          <w:p>
            <w:r>
              <w:rPr>
                <w:sz w:val="16"/>
              </w:rPr>
              <w:t>生成附录含深蹲3×10、4×6–8等；增肌/最大力量分别比较</w:t>
            </w:r>
          </w:p>
        </w:tc>
        <w:tc>
          <w:tcPr>
            <w:tcW w:type="dxa" w:w="2493"/>
          </w:tcPr>
          <w:p>
            <w:r>
              <w:rPr>
                <w:sz w:val="16"/>
              </w:rPr>
              <w:t>27项、1–5分；中位数/极差；Friedman及事后比较；生成方案×10名教练；27项评分不是27项研究</w:t>
            </w:r>
          </w:p>
        </w:tc>
        <w:tc>
          <w:tcPr>
            <w:tcW w:type="dxa" w:w="2493"/>
          </w:tcPr>
          <w:p>
            <w:r>
              <w:rPr>
                <w:sz w:val="16"/>
              </w:rPr>
              <w:t>W02-R1；p1引用栏；pp2–5 Methods；pp6–7 Tables4–5；pp16–26生成计划</w:t>
            </w:r>
          </w:p>
        </w:tc>
      </w:tr>
      <w:tr>
        <w:trPr>
          <w:cantSplit/>
        </w:trPr>
        <w:tc>
          <w:tcPr>
            <w:tcW w:type="dxa" w:w="2493"/>
          </w:tcPr>
          <w:p>
            <w:r>
              <w:rPr>
                <w:sz w:val="16"/>
              </w:rPr>
              <w:t>W03</w:t>
            </w:r>
          </w:p>
        </w:tc>
        <w:tc>
          <w:tcPr>
            <w:tcW w:type="dxa" w:w="2493"/>
          </w:tcPr>
          <w:p>
            <w:r>
              <w:rPr>
                <w:sz w:val="16"/>
              </w:rPr>
              <w:t>p3生成结构为动作及组、次、负荷、休息；p7 JSON校验；不能把输入训练日志作生成示例</w:t>
            </w:r>
          </w:p>
        </w:tc>
        <w:tc>
          <w:tcPr>
            <w:tcW w:type="dxa" w:w="2493"/>
          </w:tcPr>
          <w:p>
            <w:r>
              <w:rPr>
                <w:sz w:val="16"/>
              </w:rPr>
              <w:t>PCS/GAI/模拟器预测USAT；排序指标；5名教练安全和可行性评价；历史用户/日志、离线计划指标及100份抽样计划；不是85,420人干预</w:t>
            </w:r>
          </w:p>
        </w:tc>
        <w:tc>
          <w:tcPr>
            <w:tcW w:type="dxa" w:w="2493"/>
          </w:tcPr>
          <w:p>
            <w:r>
              <w:rPr>
                <w:sz w:val="16"/>
              </w:rPr>
              <w:t>W03-R1；p3结构；pp6–9 Methods/Tables5–8；p11专家评价</w:t>
            </w:r>
          </w:p>
        </w:tc>
      </w:tr>
      <w:tr>
        <w:trPr>
          <w:cantSplit/>
        </w:trPr>
        <w:tc>
          <w:tcPr>
            <w:tcW w:type="dxa" w:w="2493"/>
          </w:tcPr>
          <w:p>
            <w:r>
              <w:rPr>
                <w:sz w:val="16"/>
              </w:rPr>
              <w:t>W04</w:t>
            </w:r>
          </w:p>
        </w:tc>
        <w:tc>
          <w:tcPr>
            <w:tcW w:type="dxa" w:w="2493"/>
          </w:tcPr>
          <w:p>
            <w:r>
              <w:rPr>
                <w:sz w:val="16"/>
              </w:rPr>
              <w:t>3–5次/周；GPT3.5为2–4组、4–8次；GPT4中级3–5组、5–12次；高级3–6组、3–12次</w:t>
            </w:r>
          </w:p>
        </w:tc>
        <w:tc>
          <w:tcPr>
            <w:tcW w:type="dxa" w:w="2493"/>
          </w:tcPr>
          <w:p>
            <w:r>
              <w:rPr>
                <w:sz w:val="16"/>
              </w:rPr>
              <w:t>与NSCA及相关文献比较；strong/moderate/weak定性评价；模型方案及处方变量，无受训者实施</w:t>
            </w:r>
          </w:p>
        </w:tc>
        <w:tc>
          <w:tcPr>
            <w:tcW w:type="dxa" w:w="2493"/>
          </w:tcPr>
          <w:p>
            <w:r>
              <w:rPr>
                <w:sz w:val="16"/>
              </w:rPr>
              <w:t>W04-R1；p2 Methods；pp3–5 Results/Discussion；文内S1/S2引用</w:t>
            </w:r>
          </w:p>
        </w:tc>
      </w:tr>
      <w:tr>
        <w:trPr>
          <w:cantSplit/>
        </w:trPr>
        <w:tc>
          <w:tcPr>
            <w:tcW w:type="dxa" w:w="2493"/>
          </w:tcPr>
          <w:p>
            <w:r>
              <w:rPr>
                <w:sz w:val="16"/>
              </w:rPr>
              <w:t>W05</w:t>
            </w:r>
          </w:p>
        </w:tc>
        <w:tc>
          <w:tcPr>
            <w:tcW w:type="dxa" w:w="2493"/>
          </w:tcPr>
          <w:p>
            <w:r>
              <w:rPr>
                <w:sz w:val="16"/>
              </w:rPr>
              <w:t>附录深蹲3×8–12等；详细输出可含4×8–12、90s休息</w:t>
            </w:r>
          </w:p>
        </w:tc>
        <w:tc>
          <w:tcPr>
            <w:tcW w:type="dxa" w:w="2493"/>
          </w:tcPr>
          <w:p>
            <w:r>
              <w:rPr>
                <w:sz w:val="16"/>
              </w:rPr>
              <w:t>28项；0=不适用、1–5质量评分；重复输出比较及Fleiss kappa；8份输出、12教练、28个评分条目；不是28次重复生成</w:t>
            </w:r>
          </w:p>
        </w:tc>
        <w:tc>
          <w:tcPr>
            <w:tcW w:type="dxa" w:w="2493"/>
          </w:tcPr>
          <w:p>
            <w:r>
              <w:rPr>
                <w:sz w:val="16"/>
              </w:rPr>
              <w:t>W05-R1；p5 Methods/Results；p6 Table3；pp16–33附录</w:t>
            </w:r>
          </w:p>
        </w:tc>
      </w:tr>
      <w:tr>
        <w:trPr>
          <w:cantSplit/>
        </w:trPr>
        <w:tc>
          <w:tcPr>
            <w:tcW w:type="dxa" w:w="2493"/>
          </w:tcPr>
          <w:p>
            <w:r>
              <w:rPr>
                <w:sz w:val="16"/>
              </w:rPr>
              <w:t>W06</w:t>
            </w:r>
          </w:p>
        </w:tc>
        <w:tc>
          <w:tcPr>
            <w:tcW w:type="dxa" w:w="2493"/>
          </w:tcPr>
          <w:p>
            <w:r>
              <w:rPr>
                <w:sz w:val="16"/>
              </w:rPr>
              <w:t>6周；如每周8 km耐力跑及4×400 m间歇；附录有原始对话</w:t>
            </w:r>
          </w:p>
        </w:tc>
        <w:tc>
          <w:tcPr>
            <w:tcW w:type="dxa" w:w="2493"/>
          </w:tcPr>
          <w:p>
            <w:r>
              <w:rPr>
                <w:sz w:val="16"/>
              </w:rPr>
              <w:t>22项、1–5分；0=不适用；中位数/极差；Friedman检验；3计划×10教练×22条目</w:t>
            </w:r>
          </w:p>
        </w:tc>
        <w:tc>
          <w:tcPr>
            <w:tcW w:type="dxa" w:w="2493"/>
          </w:tcPr>
          <w:p>
            <w:r>
              <w:rPr>
                <w:sz w:val="16"/>
              </w:rPr>
              <w:t>W06-R1；pp2–3 Methods；p4 Table2；p5 Discussion；pp9–17原始计划</w:t>
            </w:r>
          </w:p>
        </w:tc>
      </w:tr>
      <w:tr>
        <w:trPr>
          <w:cantSplit/>
        </w:trPr>
        <w:tc>
          <w:tcPr>
            <w:tcW w:type="dxa" w:w="2493"/>
          </w:tcPr>
          <w:p>
            <w:r>
              <w:rPr>
                <w:sz w:val="16"/>
              </w:rPr>
              <w:t>W07</w:t>
            </w:r>
          </w:p>
        </w:tc>
        <w:tc>
          <w:tcPr>
            <w:tcW w:type="dxa" w:w="2493"/>
          </w:tcPr>
          <w:p>
            <w:r>
              <w:rPr>
                <w:sz w:val="16"/>
              </w:rPr>
              <w:t>报告按FITT-VP生成并评价；具体动作/剂量全量记录需Supplementary Table5</w:t>
            </w:r>
          </w:p>
        </w:tc>
        <w:tc>
          <w:tcPr>
            <w:tcW w:type="dxa" w:w="2493"/>
          </w:tcPr>
          <w:p>
            <w:r>
              <w:rPr>
                <w:sz w:val="16"/>
              </w:rPr>
              <w:t>6域各0–10分，总分0–60；配对/重复测量比较；30病例×4模型=120输出；3专家评分</w:t>
            </w:r>
          </w:p>
        </w:tc>
        <w:tc>
          <w:tcPr>
            <w:tcW w:type="dxa" w:w="2493"/>
          </w:tcPr>
          <w:p>
            <w:r>
              <w:rPr>
                <w:sz w:val="16"/>
              </w:rPr>
              <w:t>W07-R1；pp3–4 Methods；p5 §3.1.1及Tables2–3；p6维度结果</w:t>
            </w:r>
          </w:p>
        </w:tc>
      </w:tr>
      <w:tr>
        <w:trPr>
          <w:cantSplit/>
        </w:trPr>
        <w:tc>
          <w:tcPr>
            <w:tcW w:type="dxa" w:w="2493"/>
          </w:tcPr>
          <w:p>
            <w:r>
              <w:rPr>
                <w:sz w:val="16"/>
              </w:rPr>
              <w:t>W17</w:t>
            </w:r>
          </w:p>
        </w:tc>
        <w:tc>
          <w:tcPr>
            <w:tcW w:type="dxa" w:w="2493"/>
          </w:tcPr>
          <w:p>
            <w:r>
              <w:rPr>
                <w:sz w:val="16"/>
              </w:rPr>
              <w:t>平衡步行5min、抛接球10min；40min×3次/周×4周</w:t>
            </w:r>
          </w:p>
        </w:tc>
        <w:tc>
          <w:tcPr>
            <w:tcW w:type="dxa" w:w="2493"/>
          </w:tcPr>
          <w:p>
            <w:r>
              <w:rPr>
                <w:sz w:val="16"/>
              </w:rPr>
              <w:t>家长报告LTEQ及可行性；2×2混合ANOVA；儿童/家庭；13/13；非26份独立同质模型输出</w:t>
            </w:r>
          </w:p>
        </w:tc>
        <w:tc>
          <w:tcPr>
            <w:tcW w:type="dxa" w:w="2493"/>
          </w:tcPr>
          <w:p>
            <w:r>
              <w:rPr>
                <w:sz w:val="16"/>
              </w:rPr>
              <w:t>W17-R1；pp3–4 Methods/Table2；pp5–6 Results/Table3</w:t>
            </w:r>
          </w:p>
        </w:tc>
      </w:tr>
      <w:tr>
        <w:trPr>
          <w:cantSplit/>
        </w:trPr>
        <w:tc>
          <w:tcPr>
            <w:tcW w:type="dxa" w:w="2493"/>
          </w:tcPr>
          <w:p>
            <w:r>
              <w:rPr>
                <w:sz w:val="16"/>
              </w:rPr>
              <w:t>W21</w:t>
            </w:r>
          </w:p>
        </w:tc>
        <w:tc>
          <w:tcPr>
            <w:tcW w:type="dxa" w:w="2493"/>
          </w:tcPr>
          <w:p>
            <w:r>
              <w:rPr>
                <w:sz w:val="16"/>
              </w:rPr>
              <w:t>热身/放松含动作、时长、距离、次数、强度、休息；完整20输出待补</w:t>
            </w:r>
          </w:p>
        </w:tc>
        <w:tc>
          <w:tcPr>
            <w:tcW w:type="dxa" w:w="2493"/>
          </w:tcPr>
          <w:p>
            <w:r>
              <w:rPr>
                <w:sz w:val="16"/>
              </w:rPr>
              <w:t>40条目、1–5分；CLMM；生成级均分CV；20输出；每模型32×5=160评分记录；CV分母5生成</w:t>
            </w:r>
          </w:p>
        </w:tc>
        <w:tc>
          <w:tcPr>
            <w:tcW w:type="dxa" w:w="2493"/>
          </w:tcPr>
          <w:p>
            <w:r>
              <w:rPr>
                <w:sz w:val="16"/>
              </w:rPr>
              <w:t>W21-R1；pp3–7 Methods/Results；p8 Table2；p10 Table5</w:t>
            </w:r>
          </w:p>
        </w:tc>
      </w:tr>
      <w:tr>
        <w:trPr>
          <w:cantSplit/>
        </w:trPr>
        <w:tc>
          <w:tcPr>
            <w:tcW w:type="dxa" w:w="2493"/>
          </w:tcPr>
          <w:p>
            <w:r>
              <w:rPr>
                <w:sz w:val="16"/>
              </w:rPr>
              <w:t>W26</w:t>
            </w:r>
          </w:p>
        </w:tc>
        <w:tc>
          <w:tcPr>
            <w:tcW w:type="dxa" w:w="2493"/>
          </w:tcPr>
          <w:p>
            <w:r>
              <w:rPr>
                <w:sz w:val="16"/>
              </w:rPr>
              <w:t>8周3次/周；有氧/抗阻/柔韧45–60min；热身/放松各5–10min</w:t>
            </w:r>
          </w:p>
        </w:tc>
        <w:tc>
          <w:tcPr>
            <w:tcW w:type="dxa" w:w="2493"/>
          </w:tcPr>
          <w:p>
            <w:r>
              <w:rPr>
                <w:sz w:val="16"/>
              </w:rPr>
              <w:t>体成分/体适能；中位数（极差）；组间及组内非参数检验；人体受试者6/3；8周</w:t>
            </w:r>
          </w:p>
        </w:tc>
        <w:tc>
          <w:tcPr>
            <w:tcW w:type="dxa" w:w="2493"/>
          </w:tcPr>
          <w:p>
            <w:r>
              <w:rPr>
                <w:sz w:val="16"/>
              </w:rPr>
              <w:t>W26-R1；p2 Methods；p3统计/基线；p4 Table2；pp9–11附录</w:t>
            </w:r>
          </w:p>
        </w:tc>
      </w:tr>
      <w:tr>
        <w:trPr>
          <w:cantSplit/>
        </w:trPr>
        <w:tc>
          <w:tcPr>
            <w:tcW w:type="dxa" w:w="2493"/>
          </w:tcPr>
          <w:p>
            <w:r>
              <w:rPr>
                <w:sz w:val="16"/>
              </w:rPr>
              <w:t>W27</w:t>
            </w:r>
          </w:p>
        </w:tc>
        <w:tc>
          <w:tcPr>
            <w:tcW w:type="dxa" w:w="2493"/>
          </w:tcPr>
          <w:p>
            <w:r>
              <w:rPr>
                <w:sz w:val="16"/>
              </w:rPr>
              <w:t>12周；3次/周；90min/次；Table1有动作、组数与强度</w:t>
            </w:r>
          </w:p>
        </w:tc>
        <w:tc>
          <w:tcPr>
            <w:tcW w:type="dxa" w:w="2493"/>
          </w:tcPr>
          <w:p>
            <w:r>
              <w:rPr>
                <w:sz w:val="16"/>
              </w:rPr>
              <w:t>体成分和力量；表中主要为组内配对t检验；受试者10/10；前后测量不是独立人数</w:t>
            </w:r>
          </w:p>
        </w:tc>
        <w:tc>
          <w:tcPr>
            <w:tcW w:type="dxa" w:w="2493"/>
          </w:tcPr>
          <w:p>
            <w:r>
              <w:rPr>
                <w:sz w:val="16"/>
              </w:rPr>
              <w:t>W27-R1；pp3–5 Methods/Table1；p6 Tables3–4</w:t>
            </w:r>
          </w:p>
        </w:tc>
      </w:tr>
      <w:tr>
        <w:trPr>
          <w:cantSplit/>
        </w:trPr>
        <w:tc>
          <w:tcPr>
            <w:tcW w:type="dxa" w:w="2493"/>
          </w:tcPr>
          <w:p>
            <w:r>
              <w:rPr>
                <w:sz w:val="16"/>
              </w:rPr>
              <w:t>W29</w:t>
            </w:r>
          </w:p>
        </w:tc>
        <w:tc>
          <w:tcPr>
            <w:tcW w:type="dxa" w:w="2493"/>
          </w:tcPr>
          <w:p>
            <w:r>
              <w:rPr>
                <w:sz w:val="16"/>
              </w:rPr>
              <w:t>实际示例含徒手45min、游泳30min及中等强度；每周安排可交互调整</w:t>
            </w:r>
          </w:p>
        </w:tc>
        <w:tc>
          <w:tcPr>
            <w:tcW w:type="dxa" w:w="2493"/>
          </w:tcPr>
          <w:p>
            <w:r>
              <w:rPr>
                <w:sz w:val="16"/>
              </w:rPr>
              <w:t>指南核查、7分FITT、用户问卷和定性访谈；18用户/18初始计划；3专家非每人评全部18份</w:t>
            </w:r>
          </w:p>
        </w:tc>
        <w:tc>
          <w:tcPr>
            <w:tcW w:type="dxa" w:w="2493"/>
          </w:tcPr>
          <w:p>
            <w:r>
              <w:rPr>
                <w:sz w:val="16"/>
              </w:rPr>
              <w:t>W29-R1；p6 Fig1；pp8–9系统/用户方法；p13 Tables2–3及§6.3</w:t>
            </w:r>
          </w:p>
        </w:tc>
      </w:tr>
      <w:tr>
        <w:trPr>
          <w:cantSplit/>
        </w:trPr>
        <w:tc>
          <w:tcPr>
            <w:tcW w:type="dxa" w:w="2493"/>
          </w:tcPr>
          <w:p>
            <w:r>
              <w:rPr>
                <w:sz w:val="16"/>
              </w:rPr>
              <w:t>W31</w:t>
            </w:r>
          </w:p>
        </w:tc>
        <w:tc>
          <w:tcPr>
            <w:tcW w:type="dxa" w:w="2493"/>
          </w:tcPr>
          <w:p>
            <w:r>
              <w:rPr>
                <w:sz w:val="16"/>
              </w:rPr>
              <w:t>坐位伸膝3–5s、10–15次、每腿1–2组、每日1–2次；Q3–5逐项区分</w:t>
            </w:r>
          </w:p>
        </w:tc>
        <w:tc>
          <w:tcPr>
            <w:tcW w:type="dxa" w:w="2493"/>
          </w:tcPr>
          <w:p>
            <w:r>
              <w:rPr>
                <w:sz w:val="16"/>
              </w:rPr>
              <w:t>5级准确/完整/安全量表（1最好、5错误且不安全）及评论；每回答12评价者；6回答≠6处方</w:t>
            </w:r>
          </w:p>
        </w:tc>
        <w:tc>
          <w:tcPr>
            <w:tcW w:type="dxa" w:w="2493"/>
          </w:tcPr>
          <w:p>
            <w:r>
              <w:rPr>
                <w:sz w:val="16"/>
              </w:rPr>
              <w:t>W31-R1；p2 Methods/Q3结果；pp3–4 Table1；p5 Q4结果；p6讨论</w:t>
            </w:r>
          </w:p>
        </w:tc>
      </w:tr>
      <w:tr>
        <w:trPr>
          <w:cantSplit/>
        </w:trPr>
        <w:tc>
          <w:tcPr>
            <w:tcW w:type="dxa" w:w="2493"/>
          </w:tcPr>
          <w:p>
            <w:r>
              <w:rPr>
                <w:sz w:val="16"/>
              </w:rPr>
              <w:t>W35</w:t>
            </w:r>
          </w:p>
        </w:tc>
        <w:tc>
          <w:tcPr>
            <w:tcW w:type="dxa" w:w="2493"/>
          </w:tcPr>
          <w:p>
            <w:r>
              <w:rPr>
                <w:sz w:val="16"/>
              </w:rPr>
              <w:t>步行/骑行/游泳20–30min、3–5次/周；抗阻2–3次/周；英语示例有进阶/RPE</w:t>
            </w:r>
          </w:p>
        </w:tc>
        <w:tc>
          <w:tcPr>
            <w:tcW w:type="dxa" w:w="2493"/>
          </w:tcPr>
          <w:p>
            <w:r>
              <w:rPr>
                <w:sz w:val="16"/>
              </w:rPr>
              <w:t>5域0–2框架；描述/主题综合；未做推断检验；模型×语言输出及3专家；评分矩阵S2未获</w:t>
            </w:r>
          </w:p>
        </w:tc>
        <w:tc>
          <w:tcPr>
            <w:tcW w:type="dxa" w:w="2493"/>
          </w:tcPr>
          <w:p>
            <w:r>
              <w:rPr>
                <w:sz w:val="16"/>
              </w:rPr>
              <w:t>W35-R1；pp3–4 Methods；pp5–10 Results/Figures1–6；pp11–12作者整合方案</w:t>
            </w:r>
          </w:p>
        </w:tc>
      </w:tr>
    </w:tbl>
    <w:p>
      <w:pPr>
        <w:pStyle w:val="Heading2"/>
      </w:pPr>
      <w:r>
        <w:t>Table 2. Prescription quality, safety-related evidence, and principal findings.</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Principal finding</w:t>
            </w:r>
          </w:p>
        </w:tc>
        <w:tc>
          <w:tcPr>
            <w:tcW w:type="dxa" w:w="2493"/>
          </w:tcPr>
          <w:p>
            <w:r>
              <w:rPr>
                <w:sz w:val="16"/>
              </w:rPr>
              <w:t>Safety / denominator</w:t>
            </w:r>
          </w:p>
        </w:tc>
        <w:tc>
          <w:tcPr>
            <w:tcW w:type="dxa" w:w="2493"/>
          </w:tcPr>
          <w:p>
            <w:r>
              <w:rPr>
                <w:sz w:val="16"/>
              </w:rPr>
              <w:t>Interpretation limit</w:t>
            </w:r>
          </w:p>
        </w:tc>
      </w:tr>
      <w:tr>
        <w:trPr>
          <w:cantSplit/>
        </w:trPr>
        <w:tc>
          <w:tcPr>
            <w:tcW w:type="dxa" w:w="2493"/>
          </w:tcPr>
          <w:p>
            <w:r>
              <w:rPr>
                <w:sz w:val="16"/>
              </w:rPr>
              <w:t>W01</w:t>
            </w:r>
          </w:p>
        </w:tc>
        <w:tc>
          <w:tcPr>
            <w:tcW w:type="dxa" w:w="2493"/>
          </w:tcPr>
          <w:p>
            <w:r>
              <w:rPr>
                <w:sz w:val="16"/>
              </w:rPr>
              <w:t>可生成计划，但疾病特异性和训练目标精度不足；存在过度保守与进阶适配问题。无统一失效率。</w:t>
            </w:r>
          </w:p>
        </w:tc>
        <w:tc>
          <w:tcPr>
            <w:tcW w:type="dxa" w:w="2493"/>
          </w:tcPr>
          <w:p>
            <w:r>
              <w:rPr>
                <w:sz w:val="16"/>
              </w:rPr>
              <w:t>输出安全/适宜性评论；无人体安全事件；病例/生成计划；专家评论，不是患者</w:t>
            </w:r>
          </w:p>
        </w:tc>
        <w:tc>
          <w:tcPr>
            <w:tcW w:type="dxa" w:w="2493"/>
          </w:tcPr>
          <w:p>
            <w:r>
              <w:rPr>
                <w:sz w:val="16"/>
              </w:rPr>
              <w:t>五病例不能代表全部疾病；追加交互与初始回答分开；无量化统一安全分母；pp2–3 Methods；p5 Table2；pp8–12 Discussion</w:t>
            </w:r>
          </w:p>
        </w:tc>
      </w:tr>
      <w:tr>
        <w:trPr>
          <w:cantSplit/>
        </w:trPr>
        <w:tc>
          <w:tcPr>
            <w:tcW w:type="dxa" w:w="2493"/>
          </w:tcPr>
          <w:p>
            <w:r>
              <w:rPr>
                <w:sz w:val="16"/>
              </w:rPr>
              <w:t>W02</w:t>
            </w:r>
          </w:p>
        </w:tc>
        <w:tc>
          <w:tcPr>
            <w:tcW w:type="dxa" w:w="2493"/>
          </w:tcPr>
          <w:p>
            <w:r>
              <w:rPr>
                <w:sz w:val="16"/>
              </w:rPr>
              <w:t>增肌总体评分中位数ChatGPT/Gemini/Copilot为3.5/4/3；力量为3/4/3；总体比较P=.241/.091。</w:t>
            </w:r>
          </w:p>
        </w:tc>
        <w:tc>
          <w:tcPr>
            <w:tcW w:type="dxa" w:w="2493"/>
          </w:tcPr>
          <w:p>
            <w:r>
              <w:rPr>
                <w:sz w:val="16"/>
              </w:rPr>
              <w:t>健康筛查与专家训练适宜性评分，非伤害发生率；生成方案×10名教练；27项评分不是27项研究</w:t>
            </w:r>
          </w:p>
        </w:tc>
        <w:tc>
          <w:tcPr>
            <w:tcW w:type="dxa" w:w="2493"/>
          </w:tcPr>
          <w:p>
            <w:r>
              <w:rPr>
                <w:sz w:val="16"/>
              </w:rPr>
              <w:t>不同平台标签不等同三个独立底层模型；年份依PDF引用栏2025，DOI中的2026不是出版年；p1引用栏；pp2–5 Methods；pp6–7 Tables4–5；pp16–26生成计划</w:t>
            </w:r>
          </w:p>
        </w:tc>
      </w:tr>
      <w:tr>
        <w:trPr>
          <w:cantSplit/>
        </w:trPr>
        <w:tc>
          <w:tcPr>
            <w:tcW w:type="dxa" w:w="2493"/>
          </w:tcPr>
          <w:p>
            <w:r>
              <w:rPr>
                <w:sz w:val="16"/>
              </w:rPr>
              <w:t>W03</w:t>
            </w:r>
          </w:p>
        </w:tc>
        <w:tc>
          <w:tcPr>
            <w:tcW w:type="dxa" w:w="2493"/>
          </w:tcPr>
          <w:p>
            <w:r>
              <w:rPr>
                <w:sz w:val="16"/>
              </w:rPr>
              <w:t>PCS 4.62、GAI .91、USAT 4.55；P5为3.51/.78/3.91；安全评分4.8/5对一般LLaMA-2的3.1/5。</w:t>
            </w:r>
          </w:p>
        </w:tc>
        <w:tc>
          <w:tcPr>
            <w:tcW w:type="dxa" w:w="2493"/>
          </w:tcPr>
          <w:p>
            <w:r>
              <w:rPr>
                <w:sz w:val="16"/>
              </w:rPr>
              <w:t>专家输出安全分及知识约束；无前瞻性人体安全结局；历史用户/日志、离线计划指标及100份抽样计划；不是85,420人干预</w:t>
            </w:r>
          </w:p>
        </w:tc>
        <w:tc>
          <w:tcPr>
            <w:tcW w:type="dxa" w:w="2493"/>
          </w:tcPr>
          <w:p>
            <w:r>
              <w:rPr>
                <w:sz w:val="16"/>
              </w:rPr>
              <w:t>USAT是模拟器预测，不是真实用户满意度；数据来源、抽样与评分细节仍需核对；不作独立LLM因果归因；p3结构；pp6–9 Methods/Tables5–8；p11专家评价</w:t>
            </w:r>
          </w:p>
        </w:tc>
      </w:tr>
      <w:tr>
        <w:trPr>
          <w:cantSplit/>
        </w:trPr>
        <w:tc>
          <w:tcPr>
            <w:tcW w:type="dxa" w:w="2493"/>
          </w:tcPr>
          <w:p>
            <w:r>
              <w:rPr>
                <w:sz w:val="16"/>
              </w:rPr>
              <w:t>W04</w:t>
            </w:r>
          </w:p>
        </w:tc>
        <w:tc>
          <w:tcPr>
            <w:tcW w:type="dxa" w:w="2493"/>
          </w:tcPr>
          <w:p>
            <w:r>
              <w:rPr>
                <w:sz w:val="16"/>
              </w:rPr>
              <w:t>均给出分期计划；休息、训练频率、强度及高级策略适配不同；不能仅因框架齐全视为最优处方。</w:t>
            </w:r>
          </w:p>
        </w:tc>
        <w:tc>
          <w:tcPr>
            <w:tcW w:type="dxa" w:w="2493"/>
          </w:tcPr>
          <w:p>
            <w:r>
              <w:rPr>
                <w:sz w:val="16"/>
              </w:rPr>
              <w:t>输出负荷/休息/个体化的适宜性评价；模型方案及处方变量，无受训者实施</w:t>
            </w:r>
          </w:p>
        </w:tc>
        <w:tc>
          <w:tcPr>
            <w:tcW w:type="dxa" w:w="2493"/>
          </w:tcPr>
          <w:p>
            <w:r>
              <w:rPr>
                <w:sz w:val="16"/>
              </w:rPr>
              <w:t>短通信但含原始生成结果；不作为无数据评论排除；女性未单独报告；S1/S2完整性待补；p2 Methods；pp3–5 Results/Discussion；文内S1/S2引用</w:t>
            </w:r>
          </w:p>
        </w:tc>
      </w:tr>
      <w:tr>
        <w:trPr>
          <w:cantSplit/>
        </w:trPr>
        <w:tc>
          <w:tcPr>
            <w:tcW w:type="dxa" w:w="2493"/>
          </w:tcPr>
          <w:p>
            <w:r>
              <w:rPr>
                <w:sz w:val="16"/>
              </w:rPr>
              <w:t>W05</w:t>
            </w:r>
          </w:p>
        </w:tc>
        <w:tc>
          <w:tcPr>
            <w:tcW w:type="dxa" w:w="2493"/>
          </w:tcPr>
          <w:p>
            <w:r>
              <w:rPr>
                <w:sz w:val="16"/>
              </w:rPr>
              <w:t>作者报告28项中27项重复输出评分未检出差异；kappa .046–.216（含.1785）；不能解释为等效或处方动作完全一致。</w:t>
            </w:r>
          </w:p>
        </w:tc>
        <w:tc>
          <w:tcPr>
            <w:tcW w:type="dxa" w:w="2493"/>
          </w:tcPr>
          <w:p>
            <w:r>
              <w:rPr>
                <w:sz w:val="16"/>
              </w:rPr>
              <w:t>健康筛查、进阶等输出评分，非人体安全；8份输出、12教练、28个评分条目；不是28次重复生成</w:t>
            </w:r>
          </w:p>
        </w:tc>
        <w:tc>
          <w:tcPr>
            <w:tcW w:type="dxa" w:w="2493"/>
          </w:tcPr>
          <w:p>
            <w:r>
              <w:rPr>
                <w:sz w:val="16"/>
              </w:rPr>
              <w:t>每提示每模型仅2份；0为不适用，不是证实危险；低评分者一致性限制稳定性推断；p5 Methods/Results；p6 Table3；pp16–33附录</w:t>
            </w:r>
          </w:p>
        </w:tc>
      </w:tr>
      <w:tr>
        <w:trPr>
          <w:cantSplit/>
        </w:trPr>
        <w:tc>
          <w:tcPr>
            <w:tcW w:type="dxa" w:w="2493"/>
          </w:tcPr>
          <w:p>
            <w:r>
              <w:rPr>
                <w:sz w:val="16"/>
              </w:rPr>
              <w:t>W06</w:t>
            </w:r>
          </w:p>
        </w:tc>
        <w:tc>
          <w:tcPr>
            <w:tcW w:type="dxa" w:w="2493"/>
          </w:tcPr>
          <w:p>
            <w:r>
              <w:rPr>
                <w:sz w:val="16"/>
              </w:rPr>
              <w:t>总体中位数2/3/4分；TP1对TP2 P=.005，对TP3 P=.003，TP2对TP3 P=1.0。健康筛查2/2/3。</w:t>
            </w:r>
          </w:p>
        </w:tc>
        <w:tc>
          <w:tcPr>
            <w:tcW w:type="dxa" w:w="2493"/>
          </w:tcPr>
          <w:p>
            <w:r>
              <w:rPr>
                <w:sz w:val="16"/>
              </w:rPr>
              <w:t>健康筛查与进阶适宜性评价；详细计划仍有负荷进阶问题；3计划×10教练×22条目</w:t>
            </w:r>
          </w:p>
        </w:tc>
        <w:tc>
          <w:tcPr>
            <w:tcW w:type="dxa" w:w="2493"/>
          </w:tcPr>
          <w:p>
            <w:r>
              <w:rPr>
                <w:sz w:val="16"/>
              </w:rPr>
              <w:t>信息量与追问次数并行改变；不能直接归因信息量；摘要/讨论部分条目计数不一致，不沿用该计数；pp2–3 Methods；p4 Table2；p5 Discussion；pp9–17原始计划</w:t>
            </w:r>
          </w:p>
        </w:tc>
      </w:tr>
      <w:tr>
        <w:trPr>
          <w:cantSplit/>
        </w:trPr>
        <w:tc>
          <w:tcPr>
            <w:tcW w:type="dxa" w:w="2493"/>
          </w:tcPr>
          <w:p>
            <w:r>
              <w:rPr>
                <w:sz w:val="16"/>
              </w:rPr>
              <w:t>W07</w:t>
            </w:r>
          </w:p>
        </w:tc>
        <w:tc>
          <w:tcPr>
            <w:tcW w:type="dxa" w:w="2493"/>
          </w:tcPr>
          <w:p>
            <w:r>
              <w:rPr>
                <w:sz w:val="16"/>
              </w:rPr>
              <w:t>总分Claude3.7 50.23±1.75、Grok-3 47.42±1.50、GPT-4o 44.02±1.68、DeepSeekR1 40.30±1.46。</w:t>
            </w:r>
          </w:p>
        </w:tc>
        <w:tc>
          <w:tcPr>
            <w:tcW w:type="dxa" w:w="2493"/>
          </w:tcPr>
          <w:p>
            <w:r>
              <w:rPr>
                <w:sz w:val="16"/>
              </w:rPr>
              <w:t>指南一致性；原文明确不是直接临床安全结局；30病例×4模型=120输出；3专家评分</w:t>
            </w:r>
          </w:p>
        </w:tc>
        <w:tc>
          <w:tcPr>
            <w:tcW w:type="dxa" w:w="2493"/>
          </w:tcPr>
          <w:p>
            <w:r>
              <w:rPr>
                <w:sz w:val="16"/>
              </w:rPr>
              <w:t>主文总分均值与Table3部分差值不一致，不沿用其差值/效应量；原始输出缺失限制逐处方核查；pp3–4 Methods；p5 §3.1.1及Tables2–3；p6维度结果</w:t>
            </w:r>
          </w:p>
        </w:tc>
      </w:tr>
      <w:tr>
        <w:trPr>
          <w:cantSplit/>
        </w:trPr>
        <w:tc>
          <w:tcPr>
            <w:tcW w:type="dxa" w:w="2493"/>
          </w:tcPr>
          <w:p>
            <w:r>
              <w:rPr>
                <w:sz w:val="16"/>
              </w:rPr>
              <w:t>W17</w:t>
            </w:r>
          </w:p>
        </w:tc>
        <w:tc>
          <w:tcPr>
            <w:tcW w:type="dxa" w:w="2493"/>
          </w:tcPr>
          <w:p>
            <w:r>
              <w:rPr>
                <w:sz w:val="16"/>
              </w:rPr>
              <w:t>LTEQ 6.69→34，对照7.46→7.23；时间×组别F(1,24)=353.069，P&lt;.001，ηp²=.936。</w:t>
            </w:r>
          </w:p>
        </w:tc>
        <w:tc>
          <w:tcPr>
            <w:tcW w:type="dxa" w:w="2493"/>
          </w:tcPr>
          <w:p>
            <w:r>
              <w:rPr>
                <w:sz w:val="16"/>
              </w:rPr>
              <w:t>人体不良事件NR（未报告）；不填零；儿童/家庭；13/13；非26份独立同质模型输出</w:t>
            </w:r>
          </w:p>
        </w:tc>
        <w:tc>
          <w:tcPr>
            <w:tcW w:type="dxa" w:w="2493"/>
          </w:tcPr>
          <w:p>
            <w:r>
              <w:rPr>
                <w:sz w:val="16"/>
              </w:rPr>
              <w:t>家长培训、研究者WhatsApp支持不可分离；自报结局；随机过程待核；pp3–4 Methods/Table2；pp5–6 Results/Table3</w:t>
            </w:r>
          </w:p>
        </w:tc>
      </w:tr>
      <w:tr>
        <w:trPr>
          <w:cantSplit/>
        </w:trPr>
        <w:tc>
          <w:tcPr>
            <w:tcW w:type="dxa" w:w="2493"/>
          </w:tcPr>
          <w:p>
            <w:r>
              <w:rPr>
                <w:sz w:val="16"/>
              </w:rPr>
              <w:t>W21</w:t>
            </w:r>
          </w:p>
        </w:tc>
        <w:tc>
          <w:tcPr>
            <w:tcW w:type="dxa" w:w="2493"/>
          </w:tcPr>
          <w:p>
            <w:r>
              <w:rPr>
                <w:sz w:val="16"/>
              </w:rPr>
              <w:t>总体4.23±.22/3.94±.22/3.93±.26/3.22±.26；CV 3.989%/2.561%/3.295%/1.525%。</w:t>
            </w:r>
          </w:p>
        </w:tc>
        <w:tc>
          <w:tcPr>
            <w:tcW w:type="dxa" w:w="2493"/>
          </w:tcPr>
          <w:p>
            <w:r>
              <w:rPr>
                <w:sz w:val="16"/>
              </w:rPr>
              <w:t>安全域为专家输出评分，无运动员实施；20输出；每模型32×5=160评分记录；CV分母5生成</w:t>
            </w:r>
          </w:p>
        </w:tc>
        <w:tc>
          <w:tcPr>
            <w:tcW w:type="dxa" w:w="2493"/>
          </w:tcPr>
          <w:p>
            <w:r>
              <w:rPr>
                <w:sz w:val="16"/>
              </w:rPr>
              <w:t>单一情境；评分稳定性不等同剂量稳定性；量表为研究特定工具；pp3–7 Methods/Results；p8 Table2；p10 Table5</w:t>
            </w:r>
          </w:p>
        </w:tc>
      </w:tr>
      <w:tr>
        <w:trPr>
          <w:cantSplit/>
        </w:trPr>
        <w:tc>
          <w:tcPr>
            <w:tcW w:type="dxa" w:w="2493"/>
          </w:tcPr>
          <w:p>
            <w:r>
              <w:rPr>
                <w:sz w:val="16"/>
              </w:rPr>
              <w:t>W26</w:t>
            </w:r>
          </w:p>
        </w:tc>
        <w:tc>
          <w:tcPr>
            <w:tcW w:type="dxa" w:w="2493"/>
          </w:tcPr>
          <w:p>
            <w:r>
              <w:rPr>
                <w:sz w:val="16"/>
              </w:rPr>
              <w:t>末次BMI 22.99 vs24.46kg/m²，P=.020；3min抬膝后心率128 vs152bpm，P=.019；30s坐站37 vs32次，P=.019。</w:t>
            </w:r>
          </w:p>
        </w:tc>
        <w:tc>
          <w:tcPr>
            <w:tcW w:type="dxa" w:w="2493"/>
          </w:tcPr>
          <w:p>
            <w:r>
              <w:rPr>
                <w:sz w:val="16"/>
              </w:rPr>
              <w:t>人体不良事件NR；受伤列为排除条件，实际事件数PENDING；人体受试者6/3；8周</w:t>
            </w:r>
          </w:p>
        </w:tc>
        <w:tc>
          <w:tcPr>
            <w:tcW w:type="dxa" w:w="2493"/>
          </w:tcPr>
          <w:p>
            <w:r>
              <w:rPr>
                <w:sz w:val="16"/>
              </w:rPr>
              <w:t>样本极小、不均衡；受伤排除时点需查；卷期页眉矛盾保留待核；p2 Methods；p3统计/基线；p4 Table2；pp9–11附录</w:t>
            </w:r>
          </w:p>
        </w:tc>
      </w:tr>
      <w:tr>
        <w:trPr>
          <w:cantSplit/>
        </w:trPr>
        <w:tc>
          <w:tcPr>
            <w:tcW w:type="dxa" w:w="2493"/>
          </w:tcPr>
          <w:p>
            <w:r>
              <w:rPr>
                <w:sz w:val="16"/>
              </w:rPr>
              <w:t>W27</w:t>
            </w:r>
          </w:p>
        </w:tc>
        <w:tc>
          <w:tcPr>
            <w:tcW w:type="dxa" w:w="2493"/>
          </w:tcPr>
          <w:p>
            <w:r>
              <w:rPr>
                <w:sz w:val="16"/>
              </w:rPr>
              <w:t>GPT组左臂力量20.31±3.80→22.99±4.05kg，P&lt;.001；其他多数指标组内不显著。</w:t>
            </w:r>
          </w:p>
        </w:tc>
        <w:tc>
          <w:tcPr>
            <w:tcW w:type="dxa" w:w="2493"/>
          </w:tcPr>
          <w:p>
            <w:r>
              <w:rPr>
                <w:sz w:val="16"/>
              </w:rPr>
              <w:t>人体不良事件NR（未报告）；受试者10/10；前后测量不是独立人数</w:t>
            </w:r>
          </w:p>
        </w:tc>
        <w:tc>
          <w:tcPr>
            <w:tcW w:type="dxa" w:w="2493"/>
          </w:tcPr>
          <w:p>
            <w:r>
              <w:rPr>
                <w:sz w:val="16"/>
              </w:rPr>
              <w:t>教练组周期调整，GPT固定；组内显著性不能比较两种服务的优劣；pp3–5 Methods/Table1；p6 Tables3–4</w:t>
            </w:r>
          </w:p>
        </w:tc>
      </w:tr>
      <w:tr>
        <w:trPr>
          <w:cantSplit/>
        </w:trPr>
        <w:tc>
          <w:tcPr>
            <w:tcW w:type="dxa" w:w="2493"/>
          </w:tcPr>
          <w:p>
            <w:r>
              <w:rPr>
                <w:sz w:val="16"/>
              </w:rPr>
              <w:t>W29</w:t>
            </w:r>
          </w:p>
        </w:tc>
        <w:tc>
          <w:tcPr>
            <w:tcW w:type="dxa" w:w="2493"/>
          </w:tcPr>
          <w:p>
            <w:r>
              <w:rPr>
                <w:sz w:val="16"/>
              </w:rPr>
              <w:t>15/18初始计划满足运动总量要求；14/18含休息日；FITT均分5.67/4.28/5.06/3.89。</w:t>
            </w:r>
          </w:p>
        </w:tc>
        <w:tc>
          <w:tcPr>
            <w:tcW w:type="dxa" w:w="2493"/>
          </w:tcPr>
          <w:p>
            <w:r>
              <w:rPr>
                <w:sz w:val="16"/>
              </w:rPr>
              <w:t>专家指出连续训练疲劳/损伤风险；无人体伤害事件；18用户/18初始计划；3专家非每人评全部18份</w:t>
            </w:r>
          </w:p>
        </w:tc>
        <w:tc>
          <w:tcPr>
            <w:tcW w:type="dxa" w:w="2493"/>
          </w:tcPr>
          <w:p>
            <w:r>
              <w:rPr>
                <w:sz w:val="16"/>
              </w:rPr>
              <w:t>下一周迭代是想象情景，不是实际运动实施；预印本关系PENDING；p6 Fig1；pp8–9系统/用户方法；p13 Tables2–3及§6.3</w:t>
            </w:r>
          </w:p>
        </w:tc>
      </w:tr>
      <w:tr>
        <w:trPr>
          <w:cantSplit/>
        </w:trPr>
        <w:tc>
          <w:tcPr>
            <w:tcW w:type="dxa" w:w="2493"/>
          </w:tcPr>
          <w:p>
            <w:r>
              <w:rPr>
                <w:sz w:val="16"/>
              </w:rPr>
              <w:t>W31</w:t>
            </w:r>
          </w:p>
        </w:tc>
        <w:tc>
          <w:tcPr>
            <w:tcW w:type="dxa" w:w="2493"/>
          </w:tcPr>
          <w:p>
            <w:r>
              <w:rPr>
                <w:sz w:val="16"/>
              </w:rPr>
              <w:t>Q4有4/12评价者判为错误且不安全；Q3为3/12完整准确、6/12安全但不完整、3/12安全但基础。</w:t>
            </w:r>
          </w:p>
        </w:tc>
        <w:tc>
          <w:tcPr>
            <w:tcW w:type="dxa" w:w="2493"/>
          </w:tcPr>
          <w:p>
            <w:r>
              <w:rPr>
                <w:sz w:val="16"/>
              </w:rPr>
              <w:t>专家输出安全判断；不是4患者或4处方伤害；每回答12评价者；6回答≠6处方</w:t>
            </w:r>
          </w:p>
        </w:tc>
        <w:tc>
          <w:tcPr>
            <w:tcW w:type="dxa" w:w="2493"/>
          </w:tcPr>
          <w:p>
            <w:r>
              <w:rPr>
                <w:sz w:val="16"/>
              </w:rPr>
              <w:t>FES及剂量意见有专业分歧；单轮输出；量表分高表示更差；p2 Methods/Q3结果；pp3–4 Table1；p5 Q4结果；p6讨论</w:t>
            </w:r>
          </w:p>
        </w:tc>
      </w:tr>
      <w:tr>
        <w:trPr>
          <w:cantSplit/>
        </w:trPr>
        <w:tc>
          <w:tcPr>
            <w:tcW w:type="dxa" w:w="2493"/>
          </w:tcPr>
          <w:p>
            <w:r>
              <w:rPr>
                <w:sz w:val="16"/>
              </w:rPr>
              <w:t>W35</w:t>
            </w:r>
          </w:p>
        </w:tc>
        <w:tc>
          <w:tcPr>
            <w:tcW w:type="dxa" w:w="2493"/>
          </w:tcPr>
          <w:p>
            <w:r>
              <w:rPr>
                <w:sz w:val="16"/>
              </w:rPr>
              <w:t>英语输出通常更详列进阶、监测和透析中训练；无可核对的显著性比较或人体效果。</w:t>
            </w:r>
          </w:p>
        </w:tc>
        <w:tc>
          <w:tcPr>
            <w:tcW w:type="dxa" w:w="2493"/>
          </w:tcPr>
          <w:p>
            <w:r>
              <w:rPr>
                <w:sz w:val="16"/>
              </w:rPr>
              <w:t>血管通路、禁忌、症状监测等输出评价；模型×语言输出及3专家；评分矩阵S2未获</w:t>
            </w:r>
          </w:p>
        </w:tc>
        <w:tc>
          <w:tcPr>
            <w:tcW w:type="dxa" w:w="2493"/>
          </w:tcPr>
          <w:p>
            <w:r>
              <w:rPr>
                <w:sz w:val="16"/>
              </w:rPr>
              <w:t>单提示单次；语言非盲；pp11–12作者整合方案不能作额外原始模型输出；pp3–4 Methods；pp5–10 Results/Figures1–6；pp11–12作者整合方案</w:t>
            </w:r>
          </w:p>
        </w:tc>
      </w:tr>
    </w:tbl>
    <w:p>
      <w:pPr>
        <w:pStyle w:val="Heading2"/>
      </w:pPr>
      <w:r>
        <w:t>Table 3. Human implementation evidence.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design</w:t>
            </w:r>
          </w:p>
        </w:tc>
        <w:tc>
          <w:tcPr>
            <w:tcW w:type="dxa" w:w="2493"/>
          </w:tcPr>
          <w:p>
            <w:r>
              <w:rPr>
                <w:sz w:val="16"/>
              </w:rPr>
              <w:t>Intervention / comparator</w:t>
            </w:r>
          </w:p>
        </w:tc>
        <w:tc>
          <w:tcPr>
            <w:tcW w:type="dxa" w:w="2493"/>
          </w:tcPr>
          <w:p>
            <w:r>
              <w:rPr>
                <w:sz w:val="16"/>
              </w:rPr>
              <w:t>Outcome / original analysis</w:t>
            </w:r>
          </w:p>
        </w:tc>
        <w:tc>
          <w:tcPr>
            <w:tcW w:type="dxa" w:w="2493"/>
          </w:tcPr>
          <w:p>
            <w:r>
              <w:rPr>
                <w:sz w:val="16"/>
              </w:rPr>
              <w:t>Safety / limitations</w:t>
            </w:r>
          </w:p>
        </w:tc>
      </w:tr>
      <w:tr>
        <w:trPr>
          <w:cantSplit/>
        </w:trPr>
        <w:tc>
          <w:tcPr>
            <w:tcW w:type="dxa" w:w="2493"/>
          </w:tcPr>
          <w:p>
            <w:r>
              <w:rPr>
                <w:sz w:val="16"/>
              </w:rPr>
              <w:t>W17；作者报告随机分组；26家庭，13/13</w:t>
            </w:r>
          </w:p>
        </w:tc>
        <w:tc>
          <w:tcPr>
            <w:tcW w:type="dxa" w:w="2493"/>
          </w:tcPr>
          <w:p>
            <w:r>
              <w:rPr>
                <w:sz w:val="16"/>
              </w:rPr>
              <w:t>4周，3次/周，40min；家长培训与研究者支持；对照组</w:t>
            </w:r>
          </w:p>
        </w:tc>
        <w:tc>
          <w:tcPr>
            <w:tcW w:type="dxa" w:w="2493"/>
          </w:tcPr>
          <w:p>
            <w:r>
              <w:rPr>
                <w:sz w:val="16"/>
              </w:rPr>
              <w:t>LTEQ 6.69→34 vs7.46→7.23；交互F(1,24)=353.069，P&lt;.001，ηp²=.936；家长自报；2×2混合ANOVA</w:t>
            </w:r>
          </w:p>
        </w:tc>
        <w:tc>
          <w:tcPr>
            <w:tcW w:type="dxa" w:w="2493"/>
          </w:tcPr>
          <w:p>
            <w:r>
              <w:rPr>
                <w:sz w:val="16"/>
              </w:rPr>
              <w:t>NR：不良事件未报告；不能拆分培训、家长参与、研究者支持与模型作用；W17-R1；pp3–6 Table2–3</w:t>
            </w:r>
          </w:p>
        </w:tc>
      </w:tr>
      <w:tr>
        <w:trPr>
          <w:cantSplit/>
        </w:trPr>
        <w:tc>
          <w:tcPr>
            <w:tcW w:type="dxa" w:w="2493"/>
          </w:tcPr>
          <w:p>
            <w:r>
              <w:rPr>
                <w:sz w:val="16"/>
              </w:rPr>
              <w:t>W26；作者报告随机对照试点；9男性，6/3</w:t>
            </w:r>
          </w:p>
        </w:tc>
        <w:tc>
          <w:tcPr>
            <w:tcW w:type="dxa" w:w="2493"/>
          </w:tcPr>
          <w:p>
            <w:r>
              <w:rPr>
                <w:sz w:val="16"/>
              </w:rPr>
              <w:t>8周，3次/周；主训练45–60min；维持日常生活、无运动干预</w:t>
            </w:r>
          </w:p>
        </w:tc>
        <w:tc>
          <w:tcPr>
            <w:tcW w:type="dxa" w:w="2493"/>
          </w:tcPr>
          <w:p>
            <w:r>
              <w:rPr>
                <w:sz w:val="16"/>
              </w:rPr>
              <w:t>BMI中位数22.99(22.41–23.72) vs24.46(23.95–24.68)kg/m²，P=.020；心率128(105–132) vs152(148–152)bpm，P=.019；坐站37(35–40) vs32(30–32)次，P=.019；8周末组间中位数比较；不是变化值或均值±SD</w:t>
            </w:r>
          </w:p>
        </w:tc>
        <w:tc>
          <w:tcPr>
            <w:tcW w:type="dxa" w:w="2493"/>
          </w:tcPr>
          <w:p>
            <w:r>
              <w:rPr>
                <w:sz w:val="16"/>
              </w:rPr>
              <w:t>NR；受伤排除条款的执行人数PENDING；极小样本；无专业处方比较；多结局及排除偏倚待评价；W26-R1；pp2–4 Table2</w:t>
            </w:r>
          </w:p>
        </w:tc>
      </w:tr>
      <w:tr>
        <w:trPr>
          <w:cantSplit/>
        </w:trPr>
        <w:tc>
          <w:tcPr>
            <w:tcW w:type="dxa" w:w="2493"/>
          </w:tcPr>
          <w:p>
            <w:r>
              <w:rPr>
                <w:sz w:val="16"/>
              </w:rPr>
              <w:t>W27；作者报告随机分组；20男性，10/10</w:t>
            </w:r>
          </w:p>
        </w:tc>
        <w:tc>
          <w:tcPr>
            <w:tcW w:type="dxa" w:w="2493"/>
          </w:tcPr>
          <w:p>
            <w:r>
              <w:rPr>
                <w:sz w:val="16"/>
              </w:rPr>
              <w:t>12周，3次/周，90min；GPT4组固定方案；个人教练；周期重评/调整</w:t>
            </w:r>
          </w:p>
        </w:tc>
        <w:tc>
          <w:tcPr>
            <w:tcW w:type="dxa" w:w="2493"/>
          </w:tcPr>
          <w:p>
            <w:r>
              <w:rPr>
                <w:sz w:val="16"/>
              </w:rPr>
              <w:t>GPT组左臂力量20.31±3.80→22.99±4.05kg，P&lt;.001；其余多数指标无组内显著变化；主要为组内配对检验，非已证实组间优效</w:t>
            </w:r>
          </w:p>
        </w:tc>
        <w:tc>
          <w:tcPr>
            <w:tcW w:type="dxa" w:w="2493"/>
          </w:tcPr>
          <w:p>
            <w:r>
              <w:rPr>
                <w:sz w:val="16"/>
              </w:rPr>
              <w:t>NR：不良事件未报告；两组调整和支持不同；组内显著性不能直接比较服务优劣；W27-R1；pp3–6 Tables1、3–4</w:t>
            </w:r>
          </w:p>
        </w:tc>
      </w:tr>
    </w:tbl>
    <w:p>
      <w:pPr>
        <w:pStyle w:val="Heading1"/>
      </w:pPr>
      <w:r>
        <w:t>References</w:t>
      </w:r>
    </w:p>
    <w:p>
      <w:r>
        <w:t>1. Page MJ, McKenzie JE, Bossuyt PM, Boutron I, Hoffmann TC, Mulrow CD, et al. The PRISMA 2020 statement: an updated guideline for reporting systematic reviews. BMJ. 2021;372:n71. doi:10.1136/bmj.n71.</w:t>
      </w:r>
    </w:p>
    <w:p>
      <w:r>
        <w:t>2. Rethlefsen ML, Kirtley S, Waffenschmidt S, Ayala AP, Moher D, Page MJ, et al. PRISMA-S: an extension to the PRISMA Statement for Reporting Literature Searches in Systematic Reviews. Syst Rev. 2021;10(1):39. doi:10.1186/s13643-020-01542-z.</w:t>
      </w:r>
    </w:p>
    <w:p>
      <w:r>
        <w:t>3. Campbell M, McKenzie JE, Sowden A, Katikireddi SV, Brennan SE, Ellis S, et al. Synthesis without meta-analysis (SWiM) in systematic reviews: reporting guideline. BMJ. 2020;368:l6890. doi:10.1136/bmj.l6890.</w:t>
      </w:r>
    </w:p>
    <w:p>
      <w: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t>5. Dergaa I, Ben Saad H, El Omri A, Glenn J, Clark C, Washif J, et al. Using artificial intelligence for exercise prescription in personalised health promotion: A critical evaluation of OpenAI’s GPT-4 model. Biol Sport. 2024;41(2):221-241. doi:10.5114/biolsport.2024.133661.</w:t>
      </w:r>
    </w:p>
    <w:p>
      <w:r>
        <w:t>6. Havers T, Jelonnek C, Masur L, Isenmann E, Sperlich B, Geisler S, et al. A professional assessment of training plans for muscle hypertrophy and maximal strength developed by generative artificial intelligence. Biol Sport. 2025;42(4):353-380. doi:10.5114/biolsport.2026.152350.</w:t>
      </w:r>
    </w:p>
    <w:p>
      <w:r>
        <w:t>7. He Z, Wang J, Zhang B, Li Y. Knowledge-grounded large language model for personalized sports training plan generation. Sci Rep. 2026;16(1):6793. doi:10.1038/s41598-026-37075-z.</w:t>
      </w:r>
    </w:p>
    <w:p>
      <w:r>
        <w:t>8. Washif J, Pagaduan J, James C, Dergaa I, Beaven C. Artificial intelligence in sport: Exploring the potential of using ChatGPT in resistance training prescription. Biol Sport. 2024;41(2):209-220. doi:10.5114/biolsport.2024.132987.</w:t>
      </w:r>
    </w:p>
    <w:p>
      <w:r>
        <w:t>9. Havers T, Masur L, Isenmann E, Geisler S, Zinner C, Sperlich B, et al. Reproducibility and quality of hypertrophy-related training plans generated by GPT-4 and Google Gemini as evaluated by coaching experts. Biol Sport. 2025;42(2):289-329. doi:10.5114/biolsport.2025.145911.</w:t>
      </w:r>
    </w:p>
    <w:p>
      <w:r>
        <w:t>10. Düking P, Sperlich B, Voigt L, Hooren BV, Zanini M, Zinner C. ChatGPT Generated Training Plans for Runners are not Rated Optimal by Coaching Experts, but Increase in Quality with Additional Input Information. jsportscimed. 2024;23:56-72. doi:10.52082/jssm.2024.56.</w:t>
      </w:r>
    </w:p>
    <w:p>
      <w:r>
        <w:t>11. Feng H, Wang X. Comparative performance of four large language models in generating evidence-based exercise prescriptions using FITT-VP framework. Front. Physiol. 2026;17:1846567. doi:10.3389/fphys.2026.1846567.</w:t>
      </w:r>
    </w:p>
    <w:p>
      <w:r>
        <w:t>12. Aydemir U. ChatGPT-Delivered Physical Activity Intervention for Children With Autism Spectrum Disorder: Pre-Post Feasibility Study. JMIR Hum Factors. 2025;12:e71119. doi:10.2196/71119.</w:t>
      </w:r>
    </w:p>
    <w:p>
      <w: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t>14. Philuek P, Kusump S, Sathianpoonsook T, Jansupom C, Sawanyawisuth P, Sawanyawisuth K, et al. The effects of chat GPT generated exercise program in healthy overweight young adults: A pilot study. J Hum Sport Exerc. 2025;20(1):169-179. doi:10.55860/1epqgp77. 卷期在PDF页眉中不一致，卷期核验PENDING。</w:t>
      </w:r>
    </w:p>
    <w:p>
      <w:r>
        <w:t>15. Genç A, Aydin R, Canuzakov K, Abdurrahmanova D, Gürcan HH, Dere G, et al. Digital coaches: an alternative to expert coaches for men's fitness goals. Phys Act Rev. 2025;13(2):35-44. doi:10.16926/par.2025.13.18.</w:t>
      </w:r>
    </w:p>
    <w:p>
      <w:r>
        <w:t>16. Shin D, Hsieh G, Kim YH. PlanFitting: Personalized Exercise Planning with Large Language Model-driven Conversational Agent. In: Proceedings of the 7th ACM Conference on Conversational User Interfaces (CUI 2025). 2025:1-19. doi:10.1145/3719160.3736607.</w:t>
      </w:r>
    </w:p>
    <w:p>
      <w:r>
        <w:t>17. Schütze K, Shehatha R, Beer K, Needham M, Smith T, Bagg M, et al. Evaluating ChatGPT’s advice and recommendations regarding exercise for people with inclusion body myositis. Neuromuscular Disorders. 2026;62:106418. doi:10.1016/j.nmd.2026.106418.</w:t>
      </w:r>
    </w:p>
    <w:p>
      <w:r>
        <w:t>18. Bezruk V, Ivanov D, Ivanchuk M, Shkrobanets I, Makarova O, Rynzhuk L, et al. Impact of Query Language on the Structure and Guideline Alignment of AI-Generated Rehabilitation Programs in Chronic Kidney Disease. JCM. 2026;15(11):4218. doi:10.3390/jcm15114218.</w:t>
      </w:r>
    </w:p>
    <w:p>
      <w:r>
        <w:t>19. Sterne JAC, Savović J, Page MJ, et al. RoB 2: a revised tool for assessing risk of bias in randomised trials. BMJ. 2019;366:l4898. doi:10.1136/bmj.l4898.</w:t>
      </w:r>
    </w:p>
    <w:p>
      <w:r>
        <w:t>20. Risk of Bias Tools. ROBINS-I Version 2. Updated November 20, 2025. https://www.riskofbias.info/welcome/robins-i-v2 [accessed 2026-10-08].</w:t>
      </w:r>
    </w:p>
    <w:p>
      <w:r>
        <w:t>21. JBI. Critical appraisal tools. https://jbi.global/critical-appraisal-tools [accessed 2026-10-08].</w:t>
      </w:r>
    </w:p>
    <w:p>
      <w: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p>
      <w:r>
        <w:t>研究报告题名与DOI依据本地原文对照；工具网页的历史访问日期不代表本轮重新访问。W26卷期及工具最终版本保留PENDING。</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