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Appropriateness and Safety of Large Language Model-Generated Exercise Prescriptions: A Systematic Review From Simulated Evaluations to Human Implementation</w:t>
      </w:r>
    </w:p>
    <w:p>
      <w:r>
        <w:t>Evidence Levels and Limits of Inference in Large Language Model–Generated Exercise Prescriptions: A Systematic Review</w:t>
      </w:r>
    </w:p>
    <w:p>
      <w:r>
        <w:rPr>
          <w:rFonts w:ascii="Times New Roman" w:hAnsi="Times New Roman"/>
          <w:sz w:val="22"/>
        </w:rPr>
        <w:t>Author: Xinyun Lü</w:t>
      </w:r>
    </w:p>
    <w:p>
      <w:r>
        <w:t>Supervisor-directed revision | 29 October 2026. The original researcher-designated set contains 35 studies in 37 reports (A25/B7/C3). Restored full texts support seven new independent study candidates and one additional report of W24, giving a provisional evidence map of 42 studies in 45 reports (A28/B10/C4). These are evidence scenarios, not quality grades. New appraisal suggestions, 168 supplementary abstract exclusions, two full-text decisions and W34–W36 screening corrections still require researcher confirmation; the PRISMA flow is not closed.</w:t>
      </w:r>
    </w:p>
    <w:p>
      <w:pPr>
        <w:pStyle w:val="Heading1"/>
      </w:pPr>
      <w:r>
        <w:rPr>
          <w:rFonts w:ascii="Times New Roman" w:hAnsi="Times New Roman"/>
          <w:sz w:val="22"/>
        </w:rPr>
        <w:t>Abstract</w:t>
      </w:r>
    </w:p>
    <w:p>
      <w:r>
        <w:t>Background: A generated exercise plan may contain an activity and dose yet still be inappropriate for a particular person. Evidence from simulated outputs, real patient data, and human implementation addresses different parts of that question.</w:t>
      </w:r>
    </w:p>
    <w:p>
      <w:r>
        <w:t>Objective: To determine how far existing evidence verifies the individual appropriateness and safety of LLM-generated exercise prescriptions across five decisions: pre-exercise risk screening, dose suitability, individual adaptation, dynamic monitoring, and safety during human implementation.</w:t>
      </w:r>
    </w:p>
    <w:p>
      <w:r>
        <w:t>Methods: The existing searches identified 1,046 records; 755 entered the saved screening ledger (533 exclusions, 222 initially sought for full text). A post hoc, record-level reassessment of 189 previously unlinked reports generated 168 AI-assisted abstract exclusion suggestions, 14 full-text assessments (eight eligible reports, four exclusion suggestions, two undecided), and seven unretrieved reports. W24-R2 is a second publication from W24’s 40-patient cohort. The prior 35-study synthesis and seven additional independent candidates were mapped by evidence scenario (A simulated/standardized output, B real-data output, C human implementation) and by five decision domains. No cross-scenario effect was pooled. A/B appraisal used a review-specific nine-domain checklist; C studies reporting random assignment were considered for RoB 2. New decisions and judgments were kept separate from researcher-confirmed records.</w:t>
      </w:r>
    </w:p>
    <w:p>
      <w:r>
        <w:t>Results: The provisional evidence map contains 42 distinct studies in 45 reports (A28/B10/C4), including seven newly identified studies pending researcher signoff. Output studies more often assessed the presence of FITT elements, expert ratings, or safety wording than the appropriateness of a dose for an individual. Risks reported in saved sources included incomplete comorbidity screening, overly rapid progression, and inconsistent intensity specification. Dynamic adjustment was mainly simulated; W40 generated daily plans with coach override during human implementation. W17, W26 and W27 did not report adverse-event outcomes; W40 stated that none were reported over 12 weeks, without a sufficiently described ascertainment procedure. W13 compared 360 outputs at temperature 0; W41 separately assessed 120 Gemini outputs at temperature 1.0. Output ratings and clinical events were not combined.</w:t>
      </w:r>
    </w:p>
    <w:p>
      <w:r>
        <w:t>Conclusions: Available studies verify that LLMs can produce actionable plan drafts, but they do not establish that those drafts are individually appropriate or safe for independent implementation. Professional review, active risk screening, dose adjustment, and adverse-event ascertainment remain critical. The expanded study set and PRISMA flow remain provisional until outstanding researcher decisions are recorded.</w:t>
      </w:r>
    </w:p>
    <w:p>
      <w:r>
        <w:t>Keywords: large language models; exercise prescription; individual appropriateness; pre-exercise screening; dose; implementation safety; systematic review</w:t>
      </w:r>
    </w:p>
    <w:p>
      <w:pPr>
        <w:pStyle w:val="Heading1"/>
      </w:pPr>
      <w:r>
        <w:rPr>
          <w:rFonts w:ascii="Times New Roman" w:hAnsi="Times New Roman"/>
          <w:sz w:val="22"/>
        </w:rPr>
        <w:t>1. Introduction</w:t>
      </w:r>
    </w:p>
    <w:p>
      <w:r>
        <w:t>An exercise prescription must specify an activity or exercise and at least one executable dose dimension. FITT-VP describes frequency, intensity, time, type, volume, and progression [4], but completeness alone does not establish suitability. A person’s disease, capacity, medications, contraindications, available resources, and response to training determine whether the proposed dose should be started, modified, stopped, or referred for assessment.</w:t>
      </w:r>
    </w:p>
    <w:p>
      <w:r>
        <w:t>LLMs can turn natural-language requests into structured schedules and can revise plans during conversation. Such drafts may help professionals prepare explanations, but fluent wording and a complete table can conceal an inappropriate intensity, omitted risk screen, or unsupported progression. These errors matter most when a plan moves from a hypothetical prompt to a real person.</w:t>
      </w:r>
    </w:p>
    <w:p>
      <w:r>
        <w:t>Existing reports use different validation targets. A FITT checklist tests whether a component appears; a guideline comparison tests a selected reference criterion; expert ratings assess clinical judgment; simulated monitoring tests a program rule; human outcomes describe what happened during implementation. None is automatically interchangeable with another, particularly for safety.</w:t>
      </w:r>
    </w:p>
    <w:p>
      <w:r>
        <w:t>Earlier reviews have addressed LLM exercise advice broadly, but the full texts of the He and Lai reviews were not available for a source-by-source comparison in this workspace. We therefore do not claim that they omitted risk or safety. The contribution examined here is the explicit link between each evaluated decision and the conclusion it can support.</w:t>
      </w:r>
    </w:p>
    <w:p>
      <w:r>
        <w:t>We ask: to what extent do current studies support moving an LLM-generated prescription from apparently reasonable text in a simulated case to an intervention that is individually appropriate and safely implemented? We compare evidence scenarios rather than ranking them by presumed quality, and organize findings around five decisions needed before and during use.</w:t>
      </w:r>
    </w:p>
    <w:p>
      <w:pPr>
        <w:pStyle w:val="Heading1"/>
      </w:pPr>
      <w:r>
        <w:rPr>
          <w:rFonts w:ascii="Times New Roman" w:hAnsi="Times New Roman"/>
          <w:sz w:val="22"/>
        </w:rPr>
        <w:t>2. Methods</w:t>
      </w:r>
    </w:p>
    <w:p>
      <w:pPr>
        <w:pStyle w:val="Heading2"/>
      </w:pPr>
      <w:r>
        <w:rPr>
          <w:rFonts w:ascii="Times New Roman" w:hAnsi="Times New Roman"/>
          <w:sz w:val="22"/>
        </w:rPr>
        <w:t>2.1 Protocol and reporting framework</w:t>
      </w:r>
    </w:p>
    <w:p>
      <w:r>
        <w:rPr>
          <w:rFonts w:ascii="Times New Roman" w:hAnsi="Times New Roman"/>
          <w:sz w:val="22"/>
        </w:rPr>
        <w:t>Study selection and searches were organized with reference to PRISMA 2020 and PRISMA-S [1,2]. The current review follows an independently revised protocol (Pathway B). The original PROSPERO record, CRD420261495731, is not presented as prospective registration of the current protocol. The available revision record is dated 11 October 2026; this date is not taken to mean that the revised rules were established before searching or screening. The protocol change is reported transparently in the Methods and limitations.</w:t>
      </w:r>
    </w:p>
    <w:p>
      <w:r>
        <w:t>A, B, and C are evidence scenarios defined by the source of case data and whether exercise was implemented: A, standardized or simulated output evaluation; B, real-data output evaluation; C, human implementation. They are not quality grades or a causal hierarchy. Within each scenario, design, selection, evaluator independence, outcome measurement, and confounding require separate appraisal.</w:t>
      </w:r>
    </w:p>
    <w:p>
      <w:pPr>
        <w:pStyle w:val="Heading2"/>
      </w:pPr>
      <w:r>
        <w:t>2.2 Eligibility criteria and evidence scenarios</w:t>
      </w:r>
    </w:p>
    <w:p>
      <w:r>
        <w:rPr>
          <w:rFonts w:ascii="Times New Roman" w:hAnsi="Times New Roman"/>
          <w:sz w:val="22"/>
        </w:rPr>
        <w:t>Studies were eligible when they reported extractable empirical results and an LLM actually generated or materially modified an exercise prescription. A prescription had to specify an exercise type or activity and at least one actionable dose dimension: frequency, intensity, time, volume, or progression. Health education, explanations of plans written by humans, general conversation, or stand-alone risk/referral advice without the required prescription content did not meet the core definition.</w:t>
      </w:r>
    </w:p>
    <w:p>
      <w:r>
        <w:t>Scenario A used standardized, synthetic, or simulated cases to evaluate LLM-generated prescriptions. Scenario B used real patient, user, or interaction data but evaluated generated outputs rather than their delivery. Scenario C involved people carrying out an LLM-generated or materially LLM-modified plan and reported extractable outcomes. The same report could provide several domain outcomes, but each independent study was counted once; W24-R1 and W24-R2 use the same 40-person cohort.</w:t>
      </w:r>
    </w:p>
    <w:p>
      <w:r>
        <w:rPr>
          <w:rFonts w:ascii="Times New Roman" w:hAnsi="Times New Roman"/>
          <w:sz w:val="22"/>
        </w:rPr>
        <w:t>Both public and proprietary LLMs were eligible; no language or study-design restrictions were prespecified. Conference full papers and preprints could be included when they contained complete Methods and Results and duplicate reports had been checked. Full-text availability was recorded separately from eligibility. Study-level eligibility was based on the full-text generation process, the presence of an activity/type and an actionable dose dimension, and independent empirical evaluation.</w:t>
      </w:r>
    </w:p>
    <w:p>
      <w:pPr>
        <w:pStyle w:val="Heading2"/>
      </w:pPr>
      <w:r>
        <w:rPr>
          <w:rFonts w:ascii="Times New Roman" w:hAnsi="Times New Roman"/>
          <w:sz w:val="22"/>
        </w:rPr>
        <w:t>2.3 Information sources and search records</w:t>
      </w:r>
    </w:p>
    <w:p>
      <w:r>
        <w:rPr>
          <w:rFonts w:ascii="Times New Roman" w:hAnsi="Times New Roman"/>
          <w:sz w:val="22"/>
        </w:rPr>
        <w:t>Existing search materials from PubMed/MEDLINE, Embase, Scopus, Web of Science, IEEE Xplore, and arXiv were reused; no new searches were conducted. The historical main search yielded 449 records and the PubMed update yielded 597, for 1,046 records in total. The original paper records the main search as having been run on 27–28 September 2026 and the update on 5 October 2026. These dates are available only as historical entries. Original documentation of the exact search strategy, date, fields, and limits is incomplete for individual databases, so these details have not all been independently verified.</w:t>
      </w:r>
    </w:p>
    <w:p>
      <w:r>
        <w:rPr>
          <w:rFonts w:ascii="Times New Roman" w:hAnsi="Times New Roman"/>
          <w:sz w:val="22"/>
        </w:rPr>
        <w:t>Original exports and historical record-level data were retained separately. The recovered PubMed main-search text contains 68 PMIDs, but this does not mean that original exports are available for all 449 records from the six sources. The current IEEE file contains 18 RIS records, a subset of the 27 records recorded in the historical workbook. Existing mappings support parts of the deduplication audit but do not replace missing complete database search documentation.</w:t>
      </w:r>
    </w:p>
    <w:p>
      <w:pPr>
        <w:pStyle w:val="Heading2"/>
      </w:pPr>
      <w:r>
        <w:rPr>
          <w:rFonts w:ascii="Times New Roman" w:hAnsi="Times New Roman"/>
          <w:sz w:val="22"/>
        </w:rPr>
        <w:t>2.4 Deduplication and study selection</w:t>
      </w:r>
    </w:p>
    <w:p>
      <w:r>
        <w:t>The 1,046 original records retain source identifiers and historical deduplication mappings. The source workbook flags 295 records as duplicates; four were restored as distinct reports, leaving 291 net removals and a 755-row report-level screening inventory. The current ledger contains 533 exclusions and 222 reports sought for full text. Of the 533 exclusions, 530 were recovered from the saved log and three (MAIN-0271, MAIN-0282, and MAIN-0290) were confirmed on 27 October 2026; those three decisions were not backdated. Historical labels, AI advice, saved screening outcomes, and supplementary-review recommendations were retained as separate evidence fields.</w:t>
      </w:r>
    </w:p>
    <w:p>
      <w:r>
        <w:t>Of the 222 reports initially sought for full text, 33 have exact DOI links to the earlier candidate inventory and 189 entered supplementary reassessment. The recovered 189-row workbook gives each Record_ID, source quote and decision type: 168 AI-assisted abstract-level exclusion suggestions, 14 reports assessed in full (eight inclusion suggestions, four exclusion suggestions and two undecided), and seven reports not retrieved. These new recommendations are not historical researcher decisions. The eight full-text-supported reports are W37–W44 by historical ID, but W38 is linked to W24; page or section evidence and original files are archived in the restored-evidence folder. W34–W36 historical exclusion labels remain visible and a dated correction recommendation exists, but author signoff is pending.</w:t>
      </w:r>
    </w:p>
    <w:p>
      <w:pPr>
        <w:pStyle w:val="Heading2"/>
      </w:pPr>
      <w:r>
        <w:rPr>
          <w:rFonts w:ascii="Times New Roman" w:hAnsi="Times New Roman"/>
          <w:sz w:val="22"/>
        </w:rPr>
        <w:t>2.5 Data extraction and source traceability</w:t>
      </w:r>
    </w:p>
    <w:p>
      <w:r>
        <w:t>Study_ID and Report_ID were used to separate independent studies from multiple publications. Extraction recorded the model and role, case or population, exercise type and dose, evaluation method, reference standard, outcome unit and denominator, principal findings, safety information, professional involvement, comparator, and exact source location. W24-R2 was linked to W24-R1 after comparison of authors, dates, recruitment flow, intervention models, and ethics approval. Seven new studies and the linked report have full-text-supported extraction but await researcher adjudication.</w:t>
      </w:r>
    </w:p>
    <w:p>
      <w:r>
        <w:rPr>
          <w:rFonts w:ascii="Times New Roman" w:hAnsi="Times New Roman"/>
          <w:sz w:val="22"/>
        </w:rPr>
        <w:t>Information not reported in a source that was read was coded as NR. Country was not inferred from author affiliation, and an interface or product name was not automatically treated as the underlying model architecture. Numbers of cases, outputs, users, evaluators, and rating records were extracted separately and were not added into a single sample size.</w:t>
      </w:r>
    </w:p>
    <w:p>
      <w:pPr>
        <w:pStyle w:val="Heading2"/>
      </w:pPr>
      <w:r>
        <w:rPr>
          <w:rFonts w:ascii="Times New Roman" w:hAnsi="Times New Roman"/>
          <w:sz w:val="22"/>
        </w:rPr>
        <w:t>2.6 Outcomes and safety definitions</w:t>
      </w:r>
    </w:p>
    <w:p>
      <w:r>
        <w:t>The post hoc decision-domain framework comprised (1) pre-exercise risk screening and referral, (2) dose suitability, (3) individual adaptation, (4) dynamic monitoring and adjustment, and (5) safety during human implementation. We distinguished appearance of an exercise type and dose from reasonableness of the dose and from measured tolerance in a person. For each domain, the matrix records the study’s actual evaluation method and reference standard, finding, location, and inference limit. A domain not established in the available extraction was not coded as a negative result.</w:t>
      </w:r>
    </w:p>
    <w:p>
      <w:r>
        <w:t>Output risk statements, contraindication warnings, expert safety ratings, rubric-defined “safety incidents”, and actual adverse events were coded separately. A proposed severity classification was not applied because the source reports do not consistently provide item-level descriptions and denominators. “Not reported” was not converted to zero events. Where a report explicitly stated that no event was observed, we retained that wording and assessed whether active surveillance was described.</w:t>
      </w:r>
    </w:p>
    <w:p>
      <w:r>
        <w:t>Repeated-generation similarity, FITT classification, expert quality ratings, dose comparisons, engagement measures, and human physiological outcomes use different units. We did not calculate a pooled safety-failure rate or overall effect across scenarios. Guideline references are attributed only to studies that actually used them; no external standard was silently imposed during recoding.</w:t>
      </w:r>
    </w:p>
    <w:p>
      <w:pPr>
        <w:pStyle w:val="Heading2"/>
      </w:pPr>
      <w:r>
        <w:rPr>
          <w:rFonts w:ascii="Times New Roman" w:hAnsi="Times New Roman"/>
          <w:sz w:val="22"/>
        </w:rPr>
        <w:t>2.7 Methodological quality and risk of bias</w:t>
      </w:r>
    </w:p>
    <w:p>
      <w:r>
        <w:t>The A/B nine-domain checklist is a review-specific reporting and methodological-feature assessment, not an externally validated risk-of-bias instrument. The prior 303 item-level judgments have a saved researcher-reviewed status; reviewer identity and an independent second assessment are not documented. Seven new independent studies have 59 AI-assisted appraisal suggestions, and W24-R2 has nine supplemental report-level suggestions; these are not formal researcher judgments. We did not compute a cross-study quality score.</w:t>
      </w:r>
    </w:p>
    <w:p>
      <w:r>
        <w:t>RoB 2 is appropriate only when random assignment is reported and the target outcome is specified. W17 and W27 state random assignment but give limited allocation detail in the available Methods; W26 describes simple random assignment ambiguously. W40 calls itself quasi-experimental yet reports a computer-generated, stratified sequence and sealed-envelope concealment on physical p.3, making RoB 2 provisionally applicable to its reported assignment process. These design ambiguities warrant domain-specific concerns and researcher verification, not a blanket low-risk rating. If random assignment is disproved for any study, its tool route must be revised to an appropriate non-randomized instrument before final appraisal.</w:t>
      </w:r>
    </w:p>
    <w:p>
      <w:pPr>
        <w:pStyle w:val="Heading2"/>
      </w:pPr>
      <w:r>
        <w:rPr>
          <w:rFonts w:ascii="Times New Roman" w:hAnsi="Times New Roman"/>
          <w:sz w:val="22"/>
        </w:rPr>
        <w:t>2.8 Evidence synthesis</w:t>
      </w:r>
    </w:p>
    <w:p>
      <w:r>
        <w:t>The five-domain matrix was developed after the original protocol and is an interpretive synthesis aid, not a prespecified validated risk tool. It contains one row for every study-domain pair (42 × 5); source-supported or saved-extraction-supported findings are distinguished from domains not established in the available extraction. A/B/C assign context, while the matrix marks the decision tested, the study’s reference standard, and the boundary of inference. The 35-study prior set and seven candidate additions remain distinguishable throughout.</w:t>
      </w:r>
    </w:p>
    <w:p>
      <w:r>
        <w:t>Results were synthesized narratively within evidence scenarios and then compared across decision domains. A real-data output study was not counted as a human intervention. Expert-rated output safety was not interpreted as an observed injury rate; a change within one intervention arm was not treated as proof of superiority to a comparator.</w:t>
      </w:r>
    </w:p>
    <w:p>
      <w:pPr>
        <w:pStyle w:val="Heading1"/>
      </w:pPr>
      <w:r>
        <w:rPr>
          <w:rFonts w:ascii="Times New Roman" w:hAnsi="Times New Roman"/>
          <w:sz w:val="22"/>
        </w:rPr>
        <w:t>3. Results</w:t>
      </w:r>
    </w:p>
    <w:p>
      <w:pPr>
        <w:pStyle w:val="Heading2"/>
      </w:pPr>
      <w:r>
        <w:rPr>
          <w:rFonts w:ascii="Times New Roman" w:hAnsi="Times New Roman"/>
          <w:sz w:val="22"/>
        </w:rPr>
        <w:t>3.1 Search results and study selection</w:t>
      </w:r>
    </w:p>
    <w:p>
      <w:r>
        <w:t>The searches identified 1,046 records. Historical duplicate flags totalled 295; four distinct records were restored, giving 291 net removals and a 755-row title/abstract ledger. Saved decisions comprise 533 exclusions and 222 reports sought for full text. The restored 189-row supplementary review contains 168 abstract-level exclusion suggestions with row-level source quotes, 14 full-text initial assessments (W37–W44: eight eligible reports, seven independent new studies; MAIN-0045, MAIN-0438, SUP-PM-0210 and SUP-PM-0503: four exclusion suggestions; MAIN-0076 and MAIN-0184: undecided), and seven named reports not retrieved. The 168 decisions remain AI-assisted recommendations pending researcher confirmation; they are not silently added to the 533 historical exclusions. W19 remains excluded from the original full-text set.</w:t>
      </w:r>
    </w:p>
    <w:p>
      <w:r>
        <w:t>W34 (MAIN-0011), W35 (MAIN-0036) and W36 (MAIN-0277) have saved title/abstract exclusion labels despite relevant full-text evidence. A 28 October 2026 correction record proposes retaining their inclusion while preserving the historical labels; author signoff has not been recorded. MAIN-0076 has an author-stated preference toward exclusion but no final decision. MAIN-0184 lacks the decisive supplementary output table. The seven unobtained reports are MAIN-0123, MAIN-0185, MAIN-0191, MAIN-0214, MAIN-0217, MAIN-0270 and MAIN-0370. Therefore the downstream PRISMA nodes remain open.</w:t>
      </w:r>
    </w:p>
    <w:p>
      <w:pPr>
        <w:keepNext/>
        <w:jc w:val="center"/>
      </w:pPr>
      <w:r>
        <w:t>Figure 1. PRISMA 2020 working evidence map. Saved screening decisions, AI-assisted supplementary suggestions and pending author confirmations are displayed separately.</w:t>
      </w:r>
    </w:p>
    <w:p>
      <w:pPr>
        <w:jc w:val="center"/>
      </w:pPr>
      <w:r>
        <w:drawing>
          <wp:inline xmlns:a="http://schemas.openxmlformats.org/drawingml/2006/main" xmlns:pic="http://schemas.openxmlformats.org/drawingml/2006/picture">
            <wp:extent cx="5806440" cy="5806440"/>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06440" cy="5806440"/>
                    </a:xfrm>
                    <a:prstGeom prst="rect"/>
                  </pic:spPr>
                </pic:pic>
              </a:graphicData>
            </a:graphic>
          </wp:inline>
        </w:drawing>
      </w:r>
    </w:p>
    <w:p>
      <w:r>
        <w:rPr>
          <w:rFonts w:ascii="Times New Roman" w:hAnsi="Times New Roman"/>
          <w:sz w:val="22"/>
        </w:rPr>
      </w:r>
    </w:p>
    <w:p>
      <w:r>
        <w:t>The historical 751-row working set and 755-row inventory differ by four restored records. The 189 supplementary records now have individually documented review classes and evidence quotes. Of these, 168 were proposed for exclusion at title/abstract, 14 underwent full-text initial assessment, and seven could not be retrieved. These are post hoc reassessments; they do not overwrite the saved 533 exclusions or constitute final reviewer decisions.</w:t>
      </w:r>
    </w:p>
    <w:p>
      <w:pPr>
        <w:pStyle w:val="Heading2"/>
      </w:pPr>
      <w:r>
        <w:rPr>
          <w:rFonts w:ascii="Times New Roman" w:hAnsi="Times New Roman"/>
          <w:sz w:val="22"/>
        </w:rPr>
        <w:t>3.2 Characteristics of the studies</w:t>
      </w:r>
    </w:p>
    <w:p>
      <w:r>
        <w:t>The prior researcher-designated set contains 35 studies in 37 reports (A=25, B=7, C=3). Seven additional independent studies have full-text-supported inclusion suggestions: W37, W39 and W41 in Class A; W42–W44 in Class B; and W40 in Class C. The former W38 publication is W24-R2, a linked second report from the same 40-patient cohort. Their provisional addition gives 42 studies in 45 reports (A=28, B=10, C=4), pending researcher confirmation. No overall effect was pooled.</w:t>
      </w:r>
    </w:p>
    <w:p>
      <w:r>
        <w:rPr>
          <w:rFonts w:ascii="Times New Roman" w:hAnsi="Times New Roman"/>
          <w:sz w:val="22"/>
        </w:rPr>
        <w:t>Units of analysis in output-evaluation studies included cases, generated texts, models, evaluators, and rating records; these were not added into a single sample size. Real-world data in Class B did not imply human implementation. For example, W03 used historical user logs for system training and offline evaluation, whereas W24 and W33 generated prescriptions from patient data without verifying actual patient implementation.</w:t>
      </w:r>
    </w:p>
    <w:p>
      <w:r>
        <w:t>Study identifiers, reports, DOI, design, LLM role, prescription content and evidence locations are provided in the updated tables. W13 and W29 each have linked preprints and count once. W24-R1 and W24-R2 have the same four authors, Aug–Oct 2024 setting, 52-to-40 recruitment flow, models and ethics approval 2024-13/110; they count as one study with two reports. W41 shares a prompt framework with W13 but ran a separate Gemini experiment at temperature 1.0, compared with W13 at temperature 0. W19 remains excluded.</w:t>
      </w:r>
    </w:p>
    <w:p>
      <w:pPr>
        <w:keepNext/>
      </w:pPr>
      <w:r>
        <w:t>Figure 2. Evidence classes in the prior 35-study synthesis and seven full-text-supported, not yet researcher-confirmed independent additions (A +3, B +3, C +1); W24-R2 adds a report, not a study.</w:t>
      </w:r>
    </w:p>
    <w:p>
      <w:pPr>
        <w:jc w:val="center"/>
      </w:pPr>
      <w:r>
        <w:drawing>
          <wp:inline xmlns:a="http://schemas.openxmlformats.org/drawingml/2006/main" xmlns:pic="http://schemas.openxmlformats.org/drawingml/2006/picture">
            <wp:extent cx="5806440" cy="3438375"/>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06440" cy="3438375"/>
                    </a:xfrm>
                    <a:prstGeom prst="rect"/>
                  </pic:spPr>
                </pic:pic>
              </a:graphicData>
            </a:graphic>
          </wp:inline>
        </w:drawing>
      </w:r>
    </w:p>
    <w:p>
      <w:r>
        <w:rPr>
          <w:rFonts w:ascii="Times New Roman" w:hAnsi="Times New Roman"/>
          <w:sz w:val="22"/>
        </w:rPr>
      </w:r>
    </w:p>
    <w:p>
      <w:r>
        <w:rPr>
          <w:rFonts w:ascii="Times New Roman" w:hAnsi="Times New Roman"/>
          <w:sz w:val="22"/>
        </w:rPr>
        <w:t>Classes A, B, and C were synthesized separately; no overall effect was pooled across classes.</w:t>
      </w:r>
    </w:p>
    <w:p>
      <w:pPr>
        <w:pStyle w:val="Heading2"/>
      </w:pPr>
      <w:r>
        <w:t>3.3 Pre-exercise risk screening</w:t>
      </w:r>
    </w:p>
    <w:p>
      <w:pPr/>
      <w:r>
        <w:t>Risk identification was usually judged in generated text rather than tested against a prospective triage reference. W10 reported safety gaps in plans for complex comorbidities; W16 identified differential-diagnosis omissions; W22 coded missing medical-examination screening. These findings justify professional checking of contraindications and referral triggers, but the saved extraction does not yield a common sensitivity or false-negative denominator.</w:t>
      </w:r>
    </w:p>
    <w:p>
      <w:r>
        <w:t>Expert scores require a narrower interpretation. In W31, four of 12 evaluators rated one response for inclusion body myositis incorrect and unsafe; these are evaluator judgments about an output, not four injured patients. W15’s stage-wise ratings were inconsistent (ICC=0.139). A favorable score in another study cannot cancel a concrete contraindication omission because scenarios, prompts, and rubrics differ.</w:t>
      </w:r>
    </w:p>
    <w:p>
      <w:r>
        <w:t>W35 examined CKD-specific cautions, vascular-access issues, and symptom monitoring in generated rehabilitation plans against a KDIGO/ERA-informed rubric. W36 tested escalation rules in simulated physiotherapy episodes. W42 included fall risk and comorbidities in stroke-case prompts and rated a safety domain, but did not separately establish screening sensitivity. None of these studies establishes the performance of unsupervised clinical triage.</w:t>
      </w:r>
    </w:p>
    <w:p>
      <w:r>
        <w:t>Across this domain, the decisive missing evidence is a prespecified reference set of contraindications and referral decisions, tested across representative cases with reportable false negatives. A broad “safe plan” rating does not supply that information.</w:t>
      </w:r>
    </w:p>
    <w:p>
      <w:r>
        <w:t>For practice, the available evidence supports treating LLM risk screening as a draft for expert review. It does not establish that a model correctly rules out contraindications before a person starts exercising.</w:t>
      </w:r>
    </w:p>
    <w:p>
      <w:r/>
    </w:p>
    <w:p>
      <w:r/>
    </w:p>
    <w:p>
      <w:r>
        <w:t>The complete study-by-domain extraction, source locations and evidence limits appear in Supplementary Table 5. “Not established from available extraction” is not interpreted as “not assessed by the original investigators.”</w:t>
      </w:r>
    </w:p>
    <w:p>
      <w:pPr>
        <w:pStyle w:val="Heading2"/>
      </w:pPr>
      <w:r>
        <w:t>3.4 Exercise-dose appropriateness</w:t>
      </w:r>
    </w:p>
    <w:p>
      <w:r>
        <w:t>Dose reporting was commoner than dose validation. W07 used FITT-VP scoring and W13 classified FITT elements across repeated outputs, but component presence is not the same as a tolerable intensity or progression for an individual. In W29, 15/18 initial plans met a weekly-volume rule and 14/18 included rest days; these denominators describe plan features, not exercise tolerance.</w:t>
      </w:r>
    </w:p>
    <w:p>
      <w:r>
        <w:t>Specific shortcomings were visible in output evaluations: W25 experts flagged overly rapid early loading; W34 found missing mileage detail or merged athlete levels in some marathon plans; W39 coaches and athletes rated swimming plans differently, particularly in moderate and anaerobic zones; W41 found resistance intensity unclassifiable in 10–25% of relevant generated outputs. These findings concern generated doses, not observed injuries.</w:t>
      </w:r>
    </w:p>
    <w:p>
      <w:r>
        <w:t>W37 used a binary guideline-alignment check for type, weekly minutes and intensity, whereas W35 used a CKD-oriented rubric to compare progression details across languages. W43 explicitly rated whether intensity, frequency, duration and load were quantified and feasible; W44 included progression and safety in expert ratings. The reference standards and denominators differ, so no universal dose-appropriateness percentage was calculated.</w:t>
      </w:r>
    </w:p>
    <w:p>
      <w:r>
        <w:t>The evidence supports a distinction between structural completeness, agreement with a selected benchmark, and person-specific physiological suitability. No output-only study could establish the latter without monitored implementation and a relevant individual comparator.</w:t>
      </w:r>
    </w:p>
    <w:p>
      <w:pPr>
        <w:pStyle w:val="Heading2"/>
      </w:pPr>
      <w:r>
        <w:t>3.5 Individual adaptation</w:t>
      </w:r>
    </w:p>
    <w:p>
      <w:r>
        <w:t>Real patient or user information can make a prompt more specific without proving that the resulting plan fits the person. W24-R1 and W24-R2 share the same 40-patient knee-osteoarthritis cohort; W24-R2 reported 74% agreement for ChatGPT-4o and 70% for Gemini Advanced with physiotherapist consensus parameters, while frequency, sets and progression remained problematic. The two reports were counted as one study.</w:t>
      </w:r>
    </w:p>
    <w:p>
      <w:r>
        <w:t>W03 used real logs but reported offline proxy outcomes; W23 compared GPT-4 and coach plans for one person; W29 used actual user needs and simulated follow-up. These studies are nearer to a realistic prescription context than a standardized vignette but still do not demonstrate that a person executed and tolerated the plan.</w:t>
      </w:r>
    </w:p>
    <w:p>
      <w:r>
        <w:t>Among the seven new independent candidates, W37 tested socioeconomic context using 108 synthetic profiles and reduced an access-cost proxy gap from 0.306 to 0.139; W42–W44 rated plans for real or de-identified clinical cases. Their findings address output matching or expert judgment, not actual treatment response. W34 showed that some models blurred intermediate and advanced athlete levels, while W35 reported language-related differences in CKD-plan detail.</w:t>
      </w:r>
    </w:p>
    <w:p>
      <w:r>
        <w:t>Individual appropriateness therefore requires evidence that an activity and dose match the person’s functional capacity, comorbidity, medication, goals and resources, followed by observed response. Mentioning personal details in a generated paragraph alone is insufficient.</w:t>
      </w:r>
    </w:p>
    <w:p>
      <w:pPr>
        <w:pStyle w:val="Heading2"/>
      </w:pPr>
      <w:r>
        <w:t>3.6 Dynamic monitoring and adjustment</w:t>
      </w:r>
    </w:p>
    <w:p>
      <w:r>
        <w:t>Evidence for feedback-driven adjustment was limited. W29 simulated plan changes in follow-up dialogue; W36 evaluated re-prescription and escalation over 200 simulated 30-day episodes; W35 rated monitoring instructions in text. These are distinct from showing that a person was monitored and that the prescription changed appropriately after symptoms or performance changed.</w:t>
      </w:r>
    </w:p>
    <w:p>
      <w:r>
        <w:t>W40 generated daily plans from wearable and wellness inputs during a 12-week human comparison, with heuristic safety rules and coach override. This tests a combined system, not the isolated LLM contribution. In W27, the trainer plan was reassessed every four weeks while the GPT plan remained fixed, making support and adjustment different between arms. Dynamic monitoring needs explicit logs of measurements, triggers, changes and professional overrides.</w:t>
      </w:r>
    </w:p>
    <w:p>
      <w:pPr>
        <w:pStyle w:val="Heading2"/>
      </w:pPr>
      <w:r>
        <w:t>3.7 Human implementation safety</w:t>
      </w:r>
    </w:p>
    <w:p>
      <w:r>
        <w:t>Four human-implementation studies are mapped: W17, W26, W27 and the provisional W40. The first three did not report adverse-event outcomes; W26 mentioned injury in an exclusion criterion without supplying a count. W40 stated that no injuries or overtraining syndromes were reported in either arm across 12 weeks, but the source did not describe a sufficiently detailed active ascertainment method.</w:t>
      </w:r>
    </w:p>
    <w:p>
      <w:r>
        <w:t>An explicit zero-event statement in W40 is more informative than silence, but it does not establish that events were actively sought or that the LLM component prevented harm. The four studies differ in population, duration, dose, supervision and comparator. There is no defensible pooled adverse-event rate or general claim of safety.</w:t>
      </w:r>
    </w:p>
    <w:p>
      <w:r>
        <w:t>Potentially hazardous output content, an expert rating, a simulated escalation failure and a real adverse event belong to different outcome types. We did not combine them or assign a common severity grade where source descriptions were insufficient.</w:t>
      </w:r>
    </w:p>
    <w:p>
      <w:r>
        <w:t>W13’s 360 outputs and W41’s 120 outputs inform reproducibility of generated text and FITT decisions, not monitored human safety. W13 used temperature 0 across three models; W41 separately used Gemini at temperature 1.0, so the outputs are not duplicate reports of one experiment.</w:t>
      </w:r>
    </w:p>
    <w:p>
      <w:pPr>
        <w:pStyle w:val="Heading2"/>
      </w:pPr>
      <w:r>
        <w:t>3.8 Human implementation designs and outcomes</w:t>
      </w:r>
    </w:p>
    <w:p>
      <w:r>
        <w:t>The four implementation studies reported different intervention packages. W17 involved 26 families of children with autism spectrum disorder (13 per arm); parents received three 40-minute ChatGPT training sessions and researcher support. W26 enrolled nine young overweight men (six ChatGPT plan, three no-intervention controls) for eight weeks. W27 compared 10 men per arm receiving a fixed GPT-4 plan or a trainer-led plan adjusted every four weeks. W40 studied 120 university athletes (60 per arm) for 12 weeks using a GPT-4-based daily generator with rules and coach override versus coach-led training.</w:t>
      </w:r>
    </w:p>
    <w:p>
      <w:r>
        <w:t>In W17, parent-reported LTEQ increased from 6.69 to 34 in the intervention arm; the same study included parent training and researcher assistance, so the change cannot be attributed to ChatGPT alone. The report states random assignment, but the available extraction does not establish the sequence or concealment method.</w:t>
      </w:r>
    </w:p>
    <w:p>
      <w:r>
        <w:t>W26 reported between-group endpoint medians: BMI 22.99 versus 24.46 kg/m² (P=0.020), post-test heart rate 128 versus 152 bpm (P=0.019), and 30-second sit-to-stand 37 versus 32 repetitions (P=0.019). The small, unequal groups and uncertain allocation execution limit causal inference. Injury was mentioned as an exclusion criterion, not reported as an adverse-event count.</w:t>
      </w:r>
    </w:p>
    <w:p>
      <w:r>
        <w:t>W27 reported a within-GPT-arm increase in left-arm strength from 20.31±3.80 to 22.99±4.05 kg (P&lt;0.001). This does not prove a between-arm advantage. Trainer supervision and four-week reassessment were available only in the comparator arm, further limiting attribution. W40 reported better performance metrics in the intervention arm (P&lt;0.05) alongside a coach-overridable AI platform; the independent contribution of the LLM cannot be isolated.</w:t>
      </w:r>
    </w:p>
    <w:p>
      <w:r>
        <w:t>All four report random assignment in some form, but sequence generation and concealment are incompletely reported for W17, W26 and W27. W40 describes a computer-generated stratified sequence and sealed envelopes despite calling the study quasi-experimental. RoB 2 is therefore provisionally appropriate for its reported allocation, with actual conduct and selective reporting requiring researcher review. W17/W26/W27 remain under their saved RoB 2 assessments; no new formal judgment was fabricated.</w:t>
      </w:r>
    </w:p>
    <w:p>
      <w:pPr>
        <w:pStyle w:val="Heading2"/>
      </w:pPr>
      <w:r>
        <w:t>3.9 Methodological quality and tool applicability</w:t>
      </w:r>
    </w:p>
    <w:p>
      <w:r>
        <w:t>A/B output studies were evaluated with this review’s nine-domain reporting and methodological-feature checklist. It is not a validated risk-of-bias tool. The prior 303 item judgments have a saved researcher-reviewed status, but the reviewer’s identity and an independent second assessment were not recorded. Seven newly identified independent studies have 59 AI-assisted item suggestions, and the linked W24-R2 report has nine supplemental suggestions, none yet a formal researcher decision.</w:t>
      </w:r>
    </w:p>
    <w:p>
      <w:r>
        <w:t>For the four human studies, RoB 2 use was checked against the reported assignment mechanism and target outcome. W17 and W27 state random assignment without a recoverable sequence or concealment description; W26 calls its allocation “simple random sampling”; W40 reports a sequence and sealed envelopes but uses a quasi-experimental label. These uncertainties should affect D1 judgments and final tool confirmation. Professional support, measurement, attrition and selective reporting also require outcome-specific appraisal.</w:t>
      </w:r>
    </w:p>
    <w:p>
      <w:r>
        <w:t>3.10 What the five decision domains actually validate</w:t>
        <w:br/>
        <w:t>The five-domain matrix covers 42 distinct studies and records the evaluated decision, reference standard, result, source location and inferential limit for every study-domain pair (Supplementary Table 5). Its 43 domain-specific extracted entries indicate where a result can be described; other cells are “not established from available extraction”, not evidence of absence. A/B/C are scenarios, not ascending quality ranks. Output evaluations support statements about content and ratings, whereas only implementation studies can describe observed activity, function or human events. Even in Class C, parent training, coaches, rules, and differing comparators prevent automatic attribution of effects to the LLM.</w:t>
      </w:r>
    </w:p>
    <w:p>
      <w:r>
        <w:t>A formal count of safe prescriptions or serious safety failures was not calculated. The available sources use incompatible units—cases, outputs, experts, plans, and people—and do not consistently provide item-level descriptions or denominators for a common severity scheme. These limits remain regardless of whether the provisional seven new studies are later confirmed.</w:t>
      </w:r>
    </w:p>
    <w:p>
      <w:pPr>
        <w:pStyle w:val="Heading1"/>
      </w:pPr>
      <w:r>
        <w:rPr>
          <w:rFonts w:ascii="Times New Roman" w:hAnsi="Times New Roman"/>
          <w:sz w:val="22"/>
        </w:rPr>
        <w:t>4. Discussion</w:t>
      </w:r>
    </w:p>
    <w:p>
      <w:pPr>
        <w:pStyle w:val="Heading2"/>
      </w:pPr>
      <w:r>
        <w:t>4.1 From generated structure to individual appropriateness</w:t>
      </w:r>
    </w:p>
    <w:p>
      <w:r>
        <w:t>The central distinction is between a plan that contains executable elements and one a particular person should follow. Across scenarios A and B, a complete FITT table, high expert score, or repeated wording addresses only part of the decision. The five-domain matrix shows that pre-exercise triage and dynamic response were less directly validated than plan structure, and that observed human safety was narrowly reported.</w:t>
      </w:r>
    </w:p>
    <w:p>
      <w:r>
        <w:t>Scenario C is not inherently a stronger quality grade. It adds information about implementation, but small samples, incomplete allocation descriptions, unblinded outcomes and unequal professional support may lower internal validity. Cross-scenario comparisons should therefore identify what each design actually measured rather than rank scenarios or pool their scores.</w:t>
      </w:r>
    </w:p>
    <w:p>
      <w:pPr>
        <w:pStyle w:val="Heading2"/>
      </w:pPr>
      <w:r>
        <w:t>4.2 Dose suitability requires a person-specific reference</w:t>
      </w:r>
    </w:p>
    <w:p>
      <w:r>
        <w:t>Several studies document dose concerns with concrete output examples: overly rapid early loading (W25), inadequate marathon mileage or athlete-level differentiation (W34), and inconsistent resistance intensity classification (W41). Other studies scored FITT components or guideline alignment (W07, W13, W37). Those methods are valuable for auditing draft prescriptions, but they do not demonstrate that the intensity or progression is physiologically suitable for a patient or athlete with a given capacity.</w:t>
      </w:r>
    </w:p>
    <w:p>
      <w:r>
        <w:t>A future validation standard needs to specify which characteristics drive the decision—functional capacity, comorbidity, contraindications, medication, prior training and recent response—and what an expert or guideline-based comparator would choose for each. A global “quality” score obscures whether a disagreement concerns a missing field, a correctable dose, or a potentially serious contraindication.</w:t>
      </w:r>
    </w:p>
    <w:p>
      <w:r>
        <w:t>The available evidence cannot support a unified severity grading. The studies rarely provide a common item-level description, harm threshold and prescription denominator. We therefore present concrete examples and label their assessment type, rather than deriving a pooled safety-failure rate or treating every omission as equally severe.</w:t>
      </w:r>
    </w:p>
    <w:p>
      <w:pPr>
        <w:pStyle w:val="Heading2"/>
      </w:pPr>
      <w:r>
        <w:t>4.3 Risk screening, monitoring and adjustment</w:t>
      </w:r>
    </w:p>
    <w:p>
      <w:r>
        <w:t>Pre-exercise screening is a high-stakes step because a false-negative referral or contraindication decision can expose a user before any monitoring begins. W10, W16 and W22 identify content problems, while W35, W36 and W42 address risk language or escalation under controlled conditions. None establishes reliable screening sensitivity in an unsupervised population.</w:t>
      </w:r>
    </w:p>
    <w:p>
      <w:r>
        <w:t>Dynamic adjustment is similarly under-tested in people. W29 and W36 examined follow-up or escalation in simulated conditions; W40 used wearable and wellness inputs in a coach-overridable system. The next step is not simply more conversational turns, but an auditable series of baseline data, prespecified triggers, proposed changes, human overrides and subsequent outcomes.</w:t>
      </w:r>
    </w:p>
    <w:p>
      <w:pPr>
        <w:pStyle w:val="Heading2"/>
      </w:pPr>
      <w:r>
        <w:t>4.4 The gap between output safety and human safety</w:t>
      </w:r>
    </w:p>
    <w:p>
      <w:r>
        <w:t>Expert-rated output safety is a measure of potential risk, not an incidence of injury. In W43, an output rubric score ≤2 was termed a “safety incident”; it should be read as a low-rated plan, not as a patient event. W17, W26 and W27 did not report adverse-event outcomes. W40 explicitly stated that none were reported, but without a clear active surveillance protocol the general safety of deployment cannot be inferred.</w:t>
      </w:r>
    </w:p>
    <w:p>
      <w:r>
        <w:t>Human studies measured different populations and responses over four to 12 weeks; support and comparator conditions were not balanced across studies. The observed improvement in W17 occurred with parent training and researcher support; the W27 trainer arm received adjustments that the GPT arm did not; W40 combined an LLM, rules and coach override. These co-interventions make a separate LLM causal contribution hard to identify.</w:t>
      </w:r>
    </w:p>
    <w:p>
      <w:pPr>
        <w:pStyle w:val="Heading2"/>
      </w:pPr>
      <w:r>
        <w:t>4.5 Professional participation and causal attribution</w:t>
      </w:r>
    </w:p>
    <w:p>
      <w:r>
        <w:t>Professional review is not an incidental safeguard in these reports: experts supplied reference plans or ratings, parents learned to use ChatGPT, and coaches could adjust or override generated training. These roles should be described as part of the tested intervention, not removed in order to claim stand-alone model performance.</w:t>
      </w:r>
    </w:p>
    <w:p>
      <w:r>
        <w:t>For an applied exercise-physiology claim, the pathway from draft to use requires a documented prescreen, an individual dose rationale, a monitoring schedule and stop criteria. The available studies establish pieces of this pathway in separate settings; they do not validate the full chain for independent use. A real patient dataset in Scenario B is still an output experiment until the plan is actually delivered.</w:t>
      </w:r>
    </w:p>
    <w:p>
      <w:r>
        <w:t>This distinction also shapes interpretation of human outcomes. A statistically significant change within one arm, or a difference between packages with unequal coaching, does not isolate LLM efficacy. Research should contrast a transparent LLM-assisted pathway with an otherwise similar professional pathway, with support, dose and follow-up recorded in both arms.</w:t>
      </w:r>
    </w:p>
    <w:p>
      <w:r>
        <w:t>WMRE2030 [22] describes a proposed closed-loop framework; it was not counted as an eligible human trial and cannot supply missing event or adaptation outcomes. The present synthesis uses it only as context for the need to observe and adjust prescriptions over time.</w:t>
      </w:r>
    </w:p>
    <w:p>
      <w:pPr>
        <w:pStyle w:val="Heading2"/>
      </w:pPr>
      <w:r>
        <w:t>4.6 Limitations and review-process uncertainty</w:t>
      </w:r>
    </w:p>
    <w:p>
      <w:r>
        <w:t>This is a supervisor-review draft rather than a closed PRISMA submission. The saved 755-row ledger contains 533 exclusions and 222 initial full-text requests. The restored record-level reassessment proposes 168 additional abstract exclusions and documents 14 full-text assessments (eight eligible reports, four exclusion suggestions, two undecided) plus seven reports not retrieved. The eight eligible reports represent seven new independent studies and W24-R2, a second report of the same 40-patient cohort. New decisions and W34–W36 correction records still require researcher signoff; MAIN-0076 and MAIN-0184 remain undecided.</w:t>
      </w:r>
    </w:p>
    <w:p>
      <w:r>
        <w:t>Original search exports and exact search execution details are incomplete for some databases. The 295 historical duplicate flags were reconciled with four restored distinct records, yielding 291 net removals and 755 screened rows. These values are record-level facts, while downstream report- and study-level counts remain conditional on the outstanding decisions.</w:t>
      </w:r>
    </w:p>
    <w:p>
      <w:r>
        <w:t>The review-specific nine-domain checklist is not a validated risk-of-bias instrument. The prior 303 judgments have a saved researcher-reviewed status, but reviewer identity, an independent second assessment and agreement data were not preserved. New-study items remain AI-assisted. Domain coding was added post hoc, and many study-domain pairs could not be resolved from available extraction without re-reading a full source. These limits are displayed in the matrix rather than disguised as negative findings.</w:t>
      </w:r>
    </w:p>
    <w:p>
      <w:r>
        <w:t>Study designs, models, prompts, case severity, scales, and units of analysis differ substantially. Unreported adverse events cannot be recoded as zero; W40’s explicit no-event statement lacks detailed surveillance information. No meta-analysis, pooled safety rate, universal model ranking, or causal claim of independent LLM benefit was made.</w:t>
      </w:r>
    </w:p>
    <w:p>
      <w:pPr>
        <w:pStyle w:val="Heading2"/>
      </w:pPr>
      <w:r>
        <w:t>4.7 Validation priorities for exercise physiology</w:t>
      </w:r>
    </w:p>
    <w:p>
      <w:r>
        <w:t>Future output evaluations should preregister case selection and safety rules, release prompts and all outputs, and use expert or guideline references tailored to disease, capacity, medication, contraindications and dose progression. They should report false-negative risk decisions and dose disagreements at the level of the individual prescription, not only a mean quality score.</w:t>
      </w:r>
    </w:p>
    <w:p>
      <w:r>
        <w:t>Implementation studies should log the actual plan followed, professional changes, adherence, physiological response, symptoms, stop/referral decisions and actively ascertained adverse events. Comparator groups should receive similar support so that any incremental contribution of the LLM can be separated from coaching, rules, and monitoring.</w:t>
      </w:r>
    </w:p>
    <w:p>
      <w:pPr>
        <w:pStyle w:val="Heading1"/>
      </w:pPr>
      <w:r>
        <w:rPr>
          <w:rFonts w:ascii="Times New Roman" w:hAnsi="Times New Roman"/>
          <w:sz w:val="22"/>
        </w:rPr>
        <w:t>5. Conclusion</w:t>
      </w:r>
    </w:p>
    <w:p>
      <w:r>
        <w:t>LLMs can draft exercise prescriptions containing activities and executable doses, but the evidence that those drafts are suitable for a particular person and safe during independent implementation is limited. Output ratings validate content under selected conditions; they do not substitute for pre-exercise triage, person-specific dose assessment, monitored adjustment or adverse-event ascertainment. The prior 35-study set and seven new independent candidates (plus linked report W24-R2) form a provisional 42-study/45-report map. Until the remaining decisions and PRISMA pathway are confirmed, this manuscript is for substantive supervisor review, not formal submission.</w:t>
      </w:r>
    </w:p>
    <w:p>
      <w:pPr>
        <w:pStyle w:val="Heading1"/>
      </w:pPr>
      <w:r>
        <w:rPr>
          <w:rFonts w:ascii="Times New Roman" w:hAnsi="Times New Roman"/>
          <w:sz w:val="22"/>
        </w:rPr>
        <w:t>Supplementary tables</w:t>
      </w:r>
    </w:p>
    <w:p>
      <w:r>
        <w:t>Tables 1–4 describe 35 prior researcher-designated studies, seven provisional new independent studies, and linked report W24-R2. Supplementary Table 5 is the five-domain matrix. A/B/C label evidence scenarios, not quality grades. NR = not reported; PENDING = a source or reviewer decision remains unresolved. No domain count is a pooled safety-failure rate.</w:t>
      </w:r>
    </w:p>
    <w:p>
      <w:pPr>
        <w:pStyle w:val="Heading2"/>
        <w:keepNext/>
      </w:pPr>
      <w:r>
        <w:rPr>
          <w:rFonts w:ascii="Times New Roman" w:hAnsi="Times New Roman"/>
          <w:sz w:val="22"/>
        </w:rPr>
        <w:t>Table 1. Characteristics of the author-designated study set (Part A).</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w:t>
            </w:r>
          </w:p>
        </w:tc>
        <w:tc>
          <w:tcPr>
            <w:tcW w:type="dxa" w:w="2493"/>
            <w:vAlign w:val="center"/>
          </w:tcPr>
          <w:p>
            <w:r>
              <w:rPr>
                <w:rFonts w:ascii="Times New Roman" w:hAnsi="Times New Roman"/>
                <w:sz w:val="16"/>
              </w:rPr>
              <w:t>Author/year; class</w:t>
            </w:r>
          </w:p>
        </w:tc>
        <w:tc>
          <w:tcPr>
            <w:tcW w:type="dxa" w:w="2493"/>
            <w:vAlign w:val="center"/>
          </w:tcPr>
          <w:p>
            <w:r>
              <w:rPr>
                <w:rFonts w:ascii="Times New Roman" w:hAnsi="Times New Roman"/>
                <w:sz w:val="16"/>
              </w:rPr>
              <w:t>Study design and evaluation</w:t>
            </w:r>
          </w:p>
        </w:tc>
        <w:tc>
          <w:tcPr>
            <w:tcW w:type="dxa" w:w="2493"/>
            <w:vAlign w:val="center"/>
          </w:tcPr>
          <w:p>
            <w:r>
              <w:rPr>
                <w:rFonts w:ascii="Times New Roman" w:hAnsi="Times New Roman"/>
                <w:sz w:val="16"/>
              </w:rPr>
              <w:t>Population/source and LLM</w:t>
            </w:r>
          </w:p>
        </w:tc>
      </w:tr>
      <w:tr>
        <w:trPr>
          <w:cantSplit/>
        </w:trPr>
        <w:tc>
          <w:tcPr>
            <w:tcW w:type="dxa" w:w="2493"/>
            <w:vAlign w:val="center"/>
          </w:tcPr>
          <w:p>
            <w:r>
              <w:rPr>
                <w:rFonts w:ascii="Times New Roman" w:hAnsi="Times New Roman"/>
                <w:sz w:val="16"/>
              </w:rPr>
              <w:t>W01</w:t>
            </w:r>
          </w:p>
        </w:tc>
        <w:tc>
          <w:tcPr>
            <w:tcW w:type="dxa" w:w="2493"/>
            <w:vAlign w:val="center"/>
          </w:tcPr>
          <w:p>
            <w:r>
              <w:rPr>
                <w:rFonts w:ascii="Times New Roman" w:hAnsi="Times New Roman"/>
                <w:sz w:val="16"/>
              </w:rPr>
              <w:t>Dergaa 2024; A</w:t>
            </w:r>
          </w:p>
        </w:tc>
        <w:tc>
          <w:tcPr>
            <w:tcW w:type="dxa" w:w="2493"/>
            <w:vAlign w:val="center"/>
          </w:tcPr>
          <w:p>
            <w:r>
              <w:rPr>
                <w:rFonts w:ascii="Times New Roman" w:hAnsi="Times New Roman"/>
                <w:sz w:val="16"/>
              </w:rPr>
              <w:t>Evaluation of LLM outputs for simulated cases; critical expert appraisal</w:t>
            </w:r>
          </w:p>
        </w:tc>
        <w:tc>
          <w:tcPr>
            <w:tcW w:type="dxa" w:w="2493"/>
            <w:vAlign w:val="center"/>
          </w:tcPr>
          <w:p>
            <w:r>
              <w:rPr>
                <w:rFonts w:ascii="Times New Roman" w:hAnsi="Times New Roman"/>
                <w:sz w:val="16"/>
              </w:rPr>
              <w:t>GPT-4; five synthetic healthy/disease cases</w:t>
            </w:r>
          </w:p>
        </w:tc>
      </w:tr>
      <w:tr>
        <w:trPr>
          <w:cantSplit/>
        </w:trPr>
        <w:tc>
          <w:tcPr>
            <w:tcW w:type="dxa" w:w="2493"/>
            <w:vAlign w:val="center"/>
          </w:tcPr>
          <w:p>
            <w:r>
              <w:rPr>
                <w:rFonts w:ascii="Times New Roman" w:hAnsi="Times New Roman"/>
                <w:sz w:val="16"/>
              </w:rPr>
              <w:t>W02</w:t>
            </w:r>
          </w:p>
        </w:tc>
        <w:tc>
          <w:tcPr>
            <w:tcW w:type="dxa" w:w="2493"/>
            <w:vAlign w:val="center"/>
          </w:tcPr>
          <w:p>
            <w:r>
              <w:rPr>
                <w:rFonts w:ascii="Times New Roman" w:hAnsi="Times New Roman"/>
                <w:sz w:val="16"/>
              </w:rPr>
              <w:t>Havers 2025; A</w:t>
            </w:r>
          </w:p>
        </w:tc>
        <w:tc>
          <w:tcPr>
            <w:tcW w:type="dxa" w:w="2493"/>
            <w:vAlign w:val="center"/>
          </w:tcPr>
          <w:p>
            <w:r>
              <w:rPr>
                <w:rFonts w:ascii="Times New Roman" w:hAnsi="Times New Roman"/>
                <w:sz w:val="16"/>
              </w:rPr>
              <w:t>Multimodel comparison of simulated training plans; expert assessment</w:t>
            </w:r>
          </w:p>
        </w:tc>
        <w:tc>
          <w:tcPr>
            <w:tcW w:type="dxa" w:w="2493"/>
            <w:vAlign w:val="center"/>
          </w:tcPr>
          <w:p>
            <w:r>
              <w:rPr>
                <w:rFonts w:ascii="Times New Roman" w:hAnsi="Times New Roman"/>
                <w:sz w:val="16"/>
              </w:rPr>
              <w:t>GPT-3.5, Copilot, Gemini; fictional advanced strength trainee</w:t>
            </w:r>
          </w:p>
        </w:tc>
      </w:tr>
      <w:tr>
        <w:trPr>
          <w:cantSplit/>
        </w:trPr>
        <w:tc>
          <w:tcPr>
            <w:tcW w:type="dxa" w:w="2493"/>
            <w:vAlign w:val="center"/>
          </w:tcPr>
          <w:p>
            <w:r>
              <w:rPr>
                <w:rFonts w:ascii="Times New Roman" w:hAnsi="Times New Roman"/>
                <w:sz w:val="16"/>
              </w:rPr>
              <w:t>W03</w:t>
            </w:r>
          </w:p>
        </w:tc>
        <w:tc>
          <w:tcPr>
            <w:tcW w:type="dxa" w:w="2493"/>
            <w:vAlign w:val="center"/>
          </w:tcPr>
          <w:p>
            <w:r>
              <w:rPr>
                <w:rFonts w:ascii="Times New Roman" w:hAnsi="Times New Roman"/>
                <w:sz w:val="16"/>
              </w:rPr>
              <w:t>He 2026; B</w:t>
            </w:r>
          </w:p>
        </w:tc>
        <w:tc>
          <w:tcPr>
            <w:tcW w:type="dxa" w:w="2493"/>
            <w:vAlign w:val="center"/>
          </w:tcPr>
          <w:p>
            <w:r>
              <w:rPr>
                <w:rFonts w:ascii="Times New Roman" w:hAnsi="Times New Roman"/>
                <w:sz w:val="16"/>
              </w:rPr>
              <w:t>Model development and performance evaluation using real-world training logs</w:t>
            </w:r>
          </w:p>
        </w:tc>
        <w:tc>
          <w:tcPr>
            <w:tcW w:type="dxa" w:w="2493"/>
            <w:vAlign w:val="center"/>
          </w:tcPr>
          <w:p>
            <w:r>
              <w:rPr>
                <w:rFonts w:ascii="Times New Roman" w:hAnsi="Times New Roman"/>
                <w:sz w:val="16"/>
              </w:rPr>
              <w:t>LLM-SPTRec and general LLaMA-2; SportFit-1M user data</w:t>
            </w:r>
          </w:p>
        </w:tc>
      </w:tr>
      <w:tr>
        <w:trPr>
          <w:cantSplit/>
        </w:trPr>
        <w:tc>
          <w:tcPr>
            <w:tcW w:type="dxa" w:w="2493"/>
            <w:vAlign w:val="center"/>
          </w:tcPr>
          <w:p>
            <w:r>
              <w:rPr>
                <w:rFonts w:ascii="Times New Roman" w:hAnsi="Times New Roman"/>
                <w:sz w:val="16"/>
              </w:rPr>
              <w:t>W04</w:t>
            </w:r>
          </w:p>
        </w:tc>
        <w:tc>
          <w:tcPr>
            <w:tcW w:type="dxa" w:w="2493"/>
            <w:vAlign w:val="center"/>
          </w:tcPr>
          <w:p>
            <w:r>
              <w:rPr>
                <w:rFonts w:ascii="Times New Roman" w:hAnsi="Times New Roman"/>
                <w:sz w:val="16"/>
              </w:rPr>
              <w:t>Washif 2024; A</w:t>
            </w:r>
          </w:p>
        </w:tc>
        <w:tc>
          <w:tcPr>
            <w:tcW w:type="dxa" w:w="2493"/>
            <w:vAlign w:val="center"/>
          </w:tcPr>
          <w:p>
            <w:r>
              <w:rPr>
                <w:rFonts w:ascii="Times New Roman" w:hAnsi="Times New Roman"/>
                <w:sz w:val="16"/>
              </w:rPr>
              <w:t>Comparison of simulated resistance-training prescriptions</w:t>
            </w:r>
          </w:p>
        </w:tc>
        <w:tc>
          <w:tcPr>
            <w:tcW w:type="dxa" w:w="2493"/>
            <w:vAlign w:val="center"/>
          </w:tcPr>
          <w:p>
            <w:r>
              <w:rPr>
                <w:rFonts w:ascii="Times New Roman" w:hAnsi="Times New Roman"/>
                <w:sz w:val="16"/>
              </w:rPr>
              <w:t>GPT-3.5, GPT-4; two fictional healthy individuals</w:t>
            </w:r>
          </w:p>
        </w:tc>
      </w:tr>
      <w:tr>
        <w:trPr>
          <w:cantSplit/>
        </w:trPr>
        <w:tc>
          <w:tcPr>
            <w:tcW w:type="dxa" w:w="2493"/>
            <w:vAlign w:val="center"/>
          </w:tcPr>
          <w:p>
            <w:r>
              <w:rPr>
                <w:rFonts w:ascii="Times New Roman" w:hAnsi="Times New Roman"/>
                <w:sz w:val="16"/>
              </w:rPr>
              <w:t>W05</w:t>
            </w:r>
          </w:p>
        </w:tc>
        <w:tc>
          <w:tcPr>
            <w:tcW w:type="dxa" w:w="2493"/>
            <w:vAlign w:val="center"/>
          </w:tcPr>
          <w:p>
            <w:r>
              <w:rPr>
                <w:rFonts w:ascii="Times New Roman" w:hAnsi="Times New Roman"/>
                <w:sz w:val="16"/>
              </w:rPr>
              <w:t>Havers 2025; A</w:t>
            </w:r>
          </w:p>
        </w:tc>
        <w:tc>
          <w:tcPr>
            <w:tcW w:type="dxa" w:w="2493"/>
            <w:vAlign w:val="center"/>
          </w:tcPr>
          <w:p>
            <w:r>
              <w:rPr>
                <w:rFonts w:ascii="Times New Roman" w:hAnsi="Times New Roman"/>
                <w:sz w:val="16"/>
              </w:rPr>
              <w:t>Repeated generation and expert assessment</w:t>
            </w:r>
          </w:p>
        </w:tc>
        <w:tc>
          <w:tcPr>
            <w:tcW w:type="dxa" w:w="2493"/>
            <w:vAlign w:val="center"/>
          </w:tcPr>
          <w:p>
            <w:r>
              <w:rPr>
                <w:rFonts w:ascii="Times New Roman" w:hAnsi="Times New Roman"/>
                <w:sz w:val="16"/>
              </w:rPr>
              <w:t>GPT-4, Gemini; fictional hypertrophy trainee</w:t>
            </w:r>
          </w:p>
        </w:tc>
      </w:tr>
      <w:tr>
        <w:trPr>
          <w:cantSplit/>
        </w:trPr>
        <w:tc>
          <w:tcPr>
            <w:tcW w:type="dxa" w:w="2493"/>
            <w:vAlign w:val="center"/>
          </w:tcPr>
          <w:p>
            <w:r>
              <w:rPr>
                <w:rFonts w:ascii="Times New Roman" w:hAnsi="Times New Roman"/>
                <w:sz w:val="16"/>
              </w:rPr>
              <w:t>W06</w:t>
            </w:r>
          </w:p>
        </w:tc>
        <w:tc>
          <w:tcPr>
            <w:tcW w:type="dxa" w:w="2493"/>
            <w:vAlign w:val="center"/>
          </w:tcPr>
          <w:p>
            <w:r>
              <w:rPr>
                <w:rFonts w:ascii="Times New Roman" w:hAnsi="Times New Roman"/>
                <w:sz w:val="16"/>
              </w:rPr>
              <w:t>Düking 2024; A</w:t>
            </w:r>
          </w:p>
        </w:tc>
        <w:tc>
          <w:tcPr>
            <w:tcW w:type="dxa" w:w="2493"/>
            <w:vAlign w:val="center"/>
          </w:tcPr>
          <w:p>
            <w:r>
              <w:rPr>
                <w:rFonts w:ascii="Times New Roman" w:hAnsi="Times New Roman"/>
                <w:sz w:val="16"/>
              </w:rPr>
              <w:t>Simulated running plans, prompt-information gradient, and expert assessment</w:t>
            </w:r>
          </w:p>
        </w:tc>
        <w:tc>
          <w:tcPr>
            <w:tcW w:type="dxa" w:w="2493"/>
            <w:vAlign w:val="center"/>
          </w:tcPr>
          <w:p>
            <w:r>
              <w:rPr>
                <w:rFonts w:ascii="Times New Roman" w:hAnsi="Times New Roman"/>
                <w:sz w:val="16"/>
              </w:rPr>
              <w:t>ChatGPT; fictional runner</w:t>
            </w:r>
          </w:p>
        </w:tc>
      </w:tr>
      <w:tr>
        <w:trPr>
          <w:cantSplit/>
        </w:trPr>
        <w:tc>
          <w:tcPr>
            <w:tcW w:type="dxa" w:w="2493"/>
            <w:vAlign w:val="center"/>
          </w:tcPr>
          <w:p>
            <w:r>
              <w:rPr>
                <w:rFonts w:ascii="Times New Roman" w:hAnsi="Times New Roman"/>
                <w:sz w:val="16"/>
              </w:rPr>
              <w:t>W07</w:t>
            </w:r>
          </w:p>
        </w:tc>
        <w:tc>
          <w:tcPr>
            <w:tcW w:type="dxa" w:w="2493"/>
            <w:vAlign w:val="center"/>
          </w:tcPr>
          <w:p>
            <w:r>
              <w:rPr>
                <w:rFonts w:ascii="Times New Roman" w:hAnsi="Times New Roman"/>
                <w:sz w:val="16"/>
              </w:rPr>
              <w:t>Feng 2026; A</w:t>
            </w:r>
          </w:p>
        </w:tc>
        <w:tc>
          <w:tcPr>
            <w:tcW w:type="dxa" w:w="2493"/>
            <w:vAlign w:val="center"/>
          </w:tcPr>
          <w:p>
            <w:r>
              <w:rPr>
                <w:rFonts w:ascii="Times New Roman" w:hAnsi="Times New Roman"/>
                <w:sz w:val="16"/>
              </w:rPr>
              <w:t>Multimodel FITT-VP output evaluation in 30 simulated cases</w:t>
            </w:r>
          </w:p>
        </w:tc>
        <w:tc>
          <w:tcPr>
            <w:tcW w:type="dxa" w:w="2493"/>
            <w:vAlign w:val="center"/>
          </w:tcPr>
          <w:p>
            <w:r>
              <w:rPr>
                <w:rFonts w:ascii="Times New Roman" w:hAnsi="Times New Roman"/>
                <w:sz w:val="16"/>
              </w:rPr>
              <w:t>GPT-4o, Claude 3.7, DeepSeek R1, Grok-3; 30 synthetic cases</w:t>
            </w:r>
          </w:p>
        </w:tc>
      </w:tr>
      <w:tr>
        <w:trPr>
          <w:cantSplit/>
        </w:trPr>
        <w:tc>
          <w:tcPr>
            <w:tcW w:type="dxa" w:w="2493"/>
            <w:vAlign w:val="center"/>
          </w:tcPr>
          <w:p>
            <w:r>
              <w:rPr>
                <w:rFonts w:ascii="Times New Roman" w:hAnsi="Times New Roman"/>
                <w:sz w:val="16"/>
              </w:rPr>
              <w:t>W08</w:t>
            </w:r>
          </w:p>
        </w:tc>
        <w:tc>
          <w:tcPr>
            <w:tcW w:type="dxa" w:w="2493"/>
            <w:vAlign w:val="center"/>
          </w:tcPr>
          <w:p>
            <w:r>
              <w:rPr>
                <w:rFonts w:ascii="Times New Roman" w:hAnsi="Times New Roman"/>
                <w:sz w:val="16"/>
              </w:rPr>
              <w:t>Perrero 2026; A</w:t>
            </w:r>
          </w:p>
        </w:tc>
        <w:tc>
          <w:tcPr>
            <w:tcW w:type="dxa" w:w="2493"/>
            <w:vAlign w:val="center"/>
          </w:tcPr>
          <w:p>
            <w:r>
              <w:rPr>
                <w:rFonts w:ascii="Times New Roman" w:hAnsi="Times New Roman"/>
                <w:sz w:val="16"/>
              </w:rPr>
              <w:t>Output evaluation in five simulated cardiac rehabilitation cases</w:t>
            </w:r>
          </w:p>
        </w:tc>
        <w:tc>
          <w:tcPr>
            <w:tcW w:type="dxa" w:w="2493"/>
            <w:vAlign w:val="center"/>
          </w:tcPr>
          <w:p>
            <w:r>
              <w:rPr>
                <w:rFonts w:ascii="Times New Roman" w:hAnsi="Times New Roman"/>
                <w:sz w:val="16"/>
              </w:rPr>
              <w:t>DeepSeek-V3; five cardiac rehabilitation cases</w:t>
            </w:r>
          </w:p>
        </w:tc>
      </w:tr>
      <w:tr>
        <w:trPr>
          <w:cantSplit/>
        </w:trPr>
        <w:tc>
          <w:tcPr>
            <w:tcW w:type="dxa" w:w="2493"/>
            <w:vAlign w:val="center"/>
          </w:tcPr>
          <w:p>
            <w:r>
              <w:rPr>
                <w:rFonts w:ascii="Times New Roman" w:hAnsi="Times New Roman"/>
                <w:sz w:val="16"/>
              </w:rPr>
              <w:t>W09</w:t>
            </w:r>
          </w:p>
        </w:tc>
        <w:tc>
          <w:tcPr>
            <w:tcW w:type="dxa" w:w="2493"/>
            <w:vAlign w:val="center"/>
          </w:tcPr>
          <w:p>
            <w:r>
              <w:rPr>
                <w:rFonts w:ascii="Times New Roman" w:hAnsi="Times New Roman"/>
                <w:sz w:val="16"/>
              </w:rPr>
              <w:t>Genç 2026; A</w:t>
            </w:r>
          </w:p>
        </w:tc>
        <w:tc>
          <w:tcPr>
            <w:tcW w:type="dxa" w:w="2493"/>
            <w:vAlign w:val="center"/>
          </w:tcPr>
          <w:p>
            <w:r>
              <w:rPr>
                <w:rFonts w:ascii="Times New Roman" w:hAnsi="Times New Roman"/>
                <w:sz w:val="16"/>
              </w:rPr>
              <w:t>Mixed-method expert evaluation of simulated resistance-training plans</w:t>
            </w:r>
          </w:p>
        </w:tc>
        <w:tc>
          <w:tcPr>
            <w:tcW w:type="dxa" w:w="2493"/>
            <w:vAlign w:val="center"/>
          </w:tcPr>
          <w:p>
            <w:r>
              <w:rPr>
                <w:rFonts w:ascii="Times New Roman" w:hAnsi="Times New Roman"/>
                <w:sz w:val="16"/>
              </w:rPr>
              <w:t>ChatGPT-3.5, 4o, 4.1; fictional healthy young men</w:t>
            </w:r>
          </w:p>
        </w:tc>
      </w:tr>
      <w:tr>
        <w:trPr>
          <w:cantSplit/>
        </w:trPr>
        <w:tc>
          <w:tcPr>
            <w:tcW w:type="dxa" w:w="2493"/>
            <w:vAlign w:val="center"/>
          </w:tcPr>
          <w:p>
            <w:r>
              <w:rPr>
                <w:rFonts w:ascii="Times New Roman" w:hAnsi="Times New Roman"/>
                <w:sz w:val="16"/>
              </w:rPr>
              <w:t>W10</w:t>
            </w:r>
          </w:p>
        </w:tc>
        <w:tc>
          <w:tcPr>
            <w:tcW w:type="dxa" w:w="2493"/>
            <w:vAlign w:val="center"/>
          </w:tcPr>
          <w:p>
            <w:r>
              <w:rPr>
                <w:rFonts w:ascii="Times New Roman" w:hAnsi="Times New Roman"/>
                <w:sz w:val="16"/>
              </w:rPr>
              <w:t>Akrimi 2025; A</w:t>
            </w:r>
          </w:p>
        </w:tc>
        <w:tc>
          <w:tcPr>
            <w:tcW w:type="dxa" w:w="2493"/>
            <w:vAlign w:val="center"/>
          </w:tcPr>
          <w:p>
            <w:r>
              <w:rPr>
                <w:rFonts w:ascii="Times New Roman" w:hAnsi="Times New Roman"/>
                <w:sz w:val="16"/>
              </w:rPr>
              <w:t>Expert evaluation of nine plans for three fictional type 2 diabetes cases</w:t>
            </w:r>
          </w:p>
        </w:tc>
        <w:tc>
          <w:tcPr>
            <w:tcW w:type="dxa" w:w="2493"/>
            <w:vAlign w:val="center"/>
          </w:tcPr>
          <w:p>
            <w:r>
              <w:rPr>
                <w:rFonts w:ascii="Times New Roman" w:hAnsi="Times New Roman"/>
                <w:sz w:val="16"/>
              </w:rPr>
              <w:t>ChatGPT-4o; three type 2 diabetes cases</w:t>
            </w:r>
          </w:p>
        </w:tc>
      </w:tr>
      <w:tr>
        <w:trPr>
          <w:cantSplit/>
        </w:trPr>
        <w:tc>
          <w:tcPr>
            <w:tcW w:type="dxa" w:w="2493"/>
            <w:vAlign w:val="center"/>
          </w:tcPr>
          <w:p>
            <w:r>
              <w:rPr>
                <w:rFonts w:ascii="Times New Roman" w:hAnsi="Times New Roman"/>
                <w:sz w:val="16"/>
              </w:rPr>
              <w:t>W11</w:t>
            </w:r>
          </w:p>
        </w:tc>
        <w:tc>
          <w:tcPr>
            <w:tcW w:type="dxa" w:w="2493"/>
            <w:vAlign w:val="center"/>
          </w:tcPr>
          <w:p>
            <w:r>
              <w:rPr>
                <w:rFonts w:ascii="Times New Roman" w:hAnsi="Times New Roman"/>
                <w:sz w:val="16"/>
              </w:rPr>
              <w:t>Xu 2024; B</w:t>
            </w:r>
          </w:p>
        </w:tc>
        <w:tc>
          <w:tcPr>
            <w:tcW w:type="dxa" w:w="2493"/>
            <w:vAlign w:val="center"/>
          </w:tcPr>
          <w:p>
            <w:r>
              <w:rPr>
                <w:rFonts w:ascii="Times New Roman" w:hAnsi="Times New Roman"/>
                <w:sz w:val="16"/>
              </w:rPr>
              <w:t>Comparison of prescriptions from two systems using real patient data</w:t>
            </w:r>
          </w:p>
        </w:tc>
        <w:tc>
          <w:tcPr>
            <w:tcW w:type="dxa" w:w="2493"/>
            <w:vAlign w:val="center"/>
          </w:tcPr>
          <w:p>
            <w:r>
              <w:rPr>
                <w:rFonts w:ascii="Times New Roman" w:hAnsi="Times New Roman"/>
                <w:sz w:val="16"/>
              </w:rPr>
              <w:t>ChatGPT-4.0, IHPS; 10 patients with hypertension and comorbidities</w:t>
            </w:r>
          </w:p>
        </w:tc>
      </w:tr>
      <w:tr>
        <w:trPr>
          <w:cantSplit/>
        </w:trPr>
        <w:tc>
          <w:tcPr>
            <w:tcW w:type="dxa" w:w="2493"/>
            <w:vAlign w:val="center"/>
          </w:tcPr>
          <w:p>
            <w:r>
              <w:rPr>
                <w:rFonts w:ascii="Times New Roman" w:hAnsi="Times New Roman"/>
                <w:sz w:val="16"/>
              </w:rPr>
              <w:t>W12</w:t>
            </w:r>
          </w:p>
        </w:tc>
        <w:tc>
          <w:tcPr>
            <w:tcW w:type="dxa" w:w="2493"/>
            <w:vAlign w:val="center"/>
          </w:tcPr>
          <w:p>
            <w:r>
              <w:rPr>
                <w:rFonts w:ascii="Times New Roman" w:hAnsi="Times New Roman"/>
                <w:sz w:val="16"/>
              </w:rPr>
              <w:t>Wachholz 2025; A</w:t>
            </w:r>
          </w:p>
        </w:tc>
        <w:tc>
          <w:tcPr>
            <w:tcW w:type="dxa" w:w="2493"/>
            <w:vAlign w:val="center"/>
          </w:tcPr>
          <w:p>
            <w:r>
              <w:rPr>
                <w:rFonts w:ascii="Times New Roman" w:hAnsi="Times New Roman"/>
                <w:sz w:val="16"/>
              </w:rPr>
              <w:t>Qualitative expert assessment of one AI running plan and user survey</w:t>
            </w:r>
          </w:p>
        </w:tc>
        <w:tc>
          <w:tcPr>
            <w:tcW w:type="dxa" w:w="2493"/>
            <w:vAlign w:val="center"/>
          </w:tcPr>
          <w:p>
            <w:r>
              <w:rPr>
                <w:rFonts w:ascii="Times New Roman" w:hAnsi="Times New Roman"/>
                <w:sz w:val="16"/>
              </w:rPr>
              <w:t>ChatGPT-3.5; novice half-marathon runner scenario; 119 survey respondents</w:t>
            </w:r>
          </w:p>
        </w:tc>
      </w:tr>
      <w:tr>
        <w:trPr>
          <w:cantSplit/>
        </w:trPr>
        <w:tc>
          <w:tcPr>
            <w:tcW w:type="dxa" w:w="2493"/>
            <w:vAlign w:val="center"/>
          </w:tcPr>
          <w:p>
            <w:r>
              <w:rPr>
                <w:rFonts w:ascii="Times New Roman" w:hAnsi="Times New Roman"/>
                <w:sz w:val="16"/>
              </w:rPr>
              <w:t>W13</w:t>
            </w:r>
          </w:p>
        </w:tc>
        <w:tc>
          <w:tcPr>
            <w:tcW w:type="dxa" w:w="2493"/>
            <w:vAlign w:val="center"/>
          </w:tcPr>
          <w:p>
            <w:r>
              <w:rPr>
                <w:rFonts w:ascii="Times New Roman" w:hAnsi="Times New Roman"/>
                <w:sz w:val="16"/>
              </w:rPr>
              <w:t>Lee 2026; A</w:t>
            </w:r>
          </w:p>
        </w:tc>
        <w:tc>
          <w:tcPr>
            <w:tcW w:type="dxa" w:w="2493"/>
            <w:vAlign w:val="center"/>
          </w:tcPr>
          <w:p>
            <w:r>
              <w:rPr>
                <w:rFonts w:ascii="Times New Roman" w:hAnsi="Times New Roman"/>
                <w:sz w:val="16"/>
              </w:rPr>
              <w:t>Repeated-generation study: 3 LLMs × 6 clinical scenarios × 20 generations per scenario (360 outputs)</w:t>
            </w:r>
          </w:p>
        </w:tc>
        <w:tc>
          <w:tcPr>
            <w:tcW w:type="dxa" w:w="2493"/>
            <w:vAlign w:val="center"/>
          </w:tcPr>
          <w:p>
            <w:r>
              <w:rPr>
                <w:rFonts w:ascii="Times New Roman" w:hAnsi="Times New Roman"/>
                <w:sz w:val="16"/>
              </w:rPr>
              <w:t>GPT-4.1, Claude Sonnet 4.6, Gemini 2.5 Flash; six clinical/health scenarios</w:t>
            </w:r>
          </w:p>
        </w:tc>
      </w:tr>
      <w:tr>
        <w:trPr>
          <w:cantSplit/>
        </w:trPr>
        <w:tc>
          <w:tcPr>
            <w:tcW w:type="dxa" w:w="2493"/>
            <w:vAlign w:val="center"/>
          </w:tcPr>
          <w:p>
            <w:r>
              <w:rPr>
                <w:rFonts w:ascii="Times New Roman" w:hAnsi="Times New Roman"/>
                <w:sz w:val="16"/>
              </w:rPr>
              <w:t>W14</w:t>
            </w:r>
          </w:p>
        </w:tc>
        <w:tc>
          <w:tcPr>
            <w:tcW w:type="dxa" w:w="2493"/>
            <w:vAlign w:val="center"/>
          </w:tcPr>
          <w:p>
            <w:r>
              <w:rPr>
                <w:rFonts w:ascii="Times New Roman" w:hAnsi="Times New Roman"/>
                <w:sz w:val="16"/>
              </w:rPr>
              <w:t>Sortino 2026; B</w:t>
            </w:r>
          </w:p>
        </w:tc>
        <w:tc>
          <w:tcPr>
            <w:tcW w:type="dxa" w:w="2493"/>
            <w:vAlign w:val="center"/>
          </w:tcPr>
          <w:p>
            <w:r>
              <w:rPr>
                <w:rFonts w:ascii="Times New Roman" w:hAnsi="Times New Roman"/>
                <w:sz w:val="16"/>
              </w:rPr>
              <w:t>Cross-sectional blinded expert evaluation based on five real orthopedic prescriptions</w:t>
            </w:r>
          </w:p>
        </w:tc>
        <w:tc>
          <w:tcPr>
            <w:tcW w:type="dxa" w:w="2493"/>
            <w:vAlign w:val="center"/>
          </w:tcPr>
          <w:p>
            <w:r>
              <w:rPr>
                <w:rFonts w:ascii="Times New Roman" w:hAnsi="Times New Roman"/>
                <w:sz w:val="16"/>
              </w:rPr>
              <w:t>AI alone, novice plus AI, experts; five real orthopedic prescriptions</w:t>
            </w:r>
          </w:p>
        </w:tc>
      </w:tr>
      <w:tr>
        <w:trPr>
          <w:cantSplit/>
        </w:trPr>
        <w:tc>
          <w:tcPr>
            <w:tcW w:type="dxa" w:w="2493"/>
            <w:vAlign w:val="center"/>
          </w:tcPr>
          <w:p>
            <w:r>
              <w:rPr>
                <w:rFonts w:ascii="Times New Roman" w:hAnsi="Times New Roman"/>
                <w:sz w:val="16"/>
              </w:rPr>
              <w:t>W15</w:t>
            </w:r>
          </w:p>
        </w:tc>
        <w:tc>
          <w:tcPr>
            <w:tcW w:type="dxa" w:w="2493"/>
            <w:vAlign w:val="center"/>
          </w:tcPr>
          <w:p>
            <w:r>
              <w:rPr>
                <w:rFonts w:ascii="Times New Roman" w:hAnsi="Times New Roman"/>
                <w:sz w:val="16"/>
              </w:rPr>
              <w:t>Choi 2026; A</w:t>
            </w:r>
          </w:p>
        </w:tc>
        <w:tc>
          <w:tcPr>
            <w:tcW w:type="dxa" w:w="2493"/>
            <w:vAlign w:val="center"/>
          </w:tcPr>
          <w:p>
            <w:r>
              <w:rPr>
                <w:rFonts w:ascii="Times New Roman" w:hAnsi="Times New Roman"/>
                <w:sz w:val="16"/>
              </w:rPr>
              <w:t>Structured expert assessment of complex high-risk simulated cases</w:t>
            </w:r>
          </w:p>
        </w:tc>
        <w:tc>
          <w:tcPr>
            <w:tcW w:type="dxa" w:w="2493"/>
            <w:vAlign w:val="center"/>
          </w:tcPr>
          <w:p>
            <w:r>
              <w:rPr>
                <w:rFonts w:ascii="Times New Roman" w:hAnsi="Times New Roman"/>
                <w:sz w:val="16"/>
              </w:rPr>
              <w:t>Gemini 2.5; three high-risk synthetic cases</w:t>
            </w:r>
          </w:p>
        </w:tc>
      </w:tr>
      <w:tr>
        <w:trPr>
          <w:cantSplit/>
        </w:trPr>
        <w:tc>
          <w:tcPr>
            <w:tcW w:type="dxa" w:w="2493"/>
            <w:vAlign w:val="center"/>
          </w:tcPr>
          <w:p>
            <w:r>
              <w:rPr>
                <w:rFonts w:ascii="Times New Roman" w:hAnsi="Times New Roman"/>
                <w:sz w:val="16"/>
              </w:rPr>
              <w:t>W16</w:t>
            </w:r>
          </w:p>
        </w:tc>
        <w:tc>
          <w:tcPr>
            <w:tcW w:type="dxa" w:w="2493"/>
            <w:vAlign w:val="center"/>
          </w:tcPr>
          <w:p>
            <w:r>
              <w:rPr>
                <w:rFonts w:ascii="Times New Roman" w:hAnsi="Times New Roman"/>
                <w:sz w:val="16"/>
              </w:rPr>
              <w:t>Cheng 2026; A</w:t>
            </w:r>
          </w:p>
        </w:tc>
        <w:tc>
          <w:tcPr>
            <w:tcW w:type="dxa" w:w="2493"/>
            <w:vAlign w:val="center"/>
          </w:tcPr>
          <w:p>
            <w:r>
              <w:rPr>
                <w:rFonts w:ascii="Times New Roman" w:hAnsi="Times New Roman"/>
                <w:sz w:val="16"/>
              </w:rPr>
              <w:t>Blinded expert assessment of two models in five virtual axillary web syndrome cases</w:t>
            </w:r>
          </w:p>
        </w:tc>
        <w:tc>
          <w:tcPr>
            <w:tcW w:type="dxa" w:w="2493"/>
            <w:vAlign w:val="center"/>
          </w:tcPr>
          <w:p>
            <w:r>
              <w:rPr>
                <w:rFonts w:ascii="Times New Roman" w:hAnsi="Times New Roman"/>
                <w:sz w:val="16"/>
              </w:rPr>
              <w:t>ChatGPT, DeepSeek; five virtual axillary web syndrome cases</w:t>
            </w:r>
          </w:p>
        </w:tc>
      </w:tr>
      <w:tr>
        <w:trPr>
          <w:cantSplit/>
        </w:trPr>
        <w:tc>
          <w:tcPr>
            <w:tcW w:type="dxa" w:w="2493"/>
            <w:vAlign w:val="center"/>
          </w:tcPr>
          <w:p>
            <w:r>
              <w:rPr>
                <w:rFonts w:ascii="Times New Roman" w:hAnsi="Times New Roman"/>
                <w:sz w:val="16"/>
              </w:rPr>
              <w:t>W17</w:t>
            </w:r>
          </w:p>
        </w:tc>
        <w:tc>
          <w:tcPr>
            <w:tcW w:type="dxa" w:w="2493"/>
            <w:vAlign w:val="center"/>
          </w:tcPr>
          <w:p>
            <w:r>
              <w:rPr>
                <w:rFonts w:ascii="Times New Roman" w:hAnsi="Times New Roman"/>
                <w:sz w:val="16"/>
              </w:rPr>
              <w:t>Aydemir 2025; C</w:t>
            </w:r>
          </w:p>
        </w:tc>
        <w:tc>
          <w:tcPr>
            <w:tcW w:type="dxa" w:w="2493"/>
            <w:vAlign w:val="center"/>
          </w:tcPr>
          <w:p>
            <w:r>
              <w:rPr>
                <w:rFonts w:ascii="Times New Roman" w:hAnsi="Times New Roman"/>
                <w:sz w:val="16"/>
              </w:rPr>
              <w:t>Controlled pre–post feasibility study with human implementation</w:t>
            </w:r>
          </w:p>
        </w:tc>
        <w:tc>
          <w:tcPr>
            <w:tcW w:type="dxa" w:w="2493"/>
            <w:vAlign w:val="center"/>
          </w:tcPr>
          <w:p>
            <w:r>
              <w:rPr>
                <w:rFonts w:ascii="Times New Roman" w:hAnsi="Times New Roman"/>
                <w:sz w:val="16"/>
              </w:rPr>
              <w:t>ChatGPT; 26 families of children with ASD</w:t>
            </w:r>
          </w:p>
        </w:tc>
      </w:tr>
      <w:tr>
        <w:trPr>
          <w:cantSplit/>
        </w:trPr>
        <w:tc>
          <w:tcPr>
            <w:tcW w:type="dxa" w:w="2493"/>
            <w:vAlign w:val="center"/>
          </w:tcPr>
          <w:p>
            <w:r>
              <w:rPr>
                <w:rFonts w:ascii="Times New Roman" w:hAnsi="Times New Roman"/>
                <w:sz w:val="16"/>
              </w:rPr>
              <w:t>W18</w:t>
            </w:r>
          </w:p>
        </w:tc>
        <w:tc>
          <w:tcPr>
            <w:tcW w:type="dxa" w:w="2493"/>
            <w:vAlign w:val="center"/>
          </w:tcPr>
          <w:p>
            <w:r>
              <w:rPr>
                <w:rFonts w:ascii="Times New Roman" w:hAnsi="Times New Roman"/>
                <w:sz w:val="16"/>
              </w:rPr>
              <w:t>Yang 2026; A</w:t>
            </w:r>
          </w:p>
        </w:tc>
        <w:tc>
          <w:tcPr>
            <w:tcW w:type="dxa" w:w="2493"/>
            <w:vAlign w:val="center"/>
          </w:tcPr>
          <w:p>
            <w:r>
              <w:rPr>
                <w:rFonts w:ascii="Times New Roman" w:hAnsi="Times New Roman"/>
                <w:sz w:val="16"/>
              </w:rPr>
              <w:t>Crossover repeated-generation design with blinded expert assessment</w:t>
            </w:r>
          </w:p>
        </w:tc>
        <w:tc>
          <w:tcPr>
            <w:tcW w:type="dxa" w:w="2493"/>
            <w:vAlign w:val="center"/>
          </w:tcPr>
          <w:p>
            <w:r>
              <w:rPr>
                <w:rFonts w:ascii="Times New Roman" w:hAnsi="Times New Roman"/>
                <w:sz w:val="16"/>
              </w:rPr>
              <w:t>GPT-4; healthy training scenario</w:t>
            </w:r>
          </w:p>
        </w:tc>
      </w:tr>
      <w:tr w:rsidR="002562B9" w14:paraId="0619CFD5" w14:textId="77777777">
        <w:trPr>
          <w:jc w:val="center"/>
        </w:trPr>
        <w:tc>
          <w:tcPr>
            <w:tcW w:w="2493" w:type="dxa"/>
          </w:tcPr>
          <w:p w14:paraId="308BA6A9" w14:textId="77777777" w:rsidR="002562B9" w:rsidRDefault="007A4474">
            <w:r>
              <w:rPr>
                <w:sz w:val="16"/>
              </w:rPr>
              <w:t>W37</w:t>
            </w:r>
          </w:p>
        </w:tc>
        <w:tc>
          <w:tcPr>
            <w:tcW w:w="2493" w:type="dxa"/>
          </w:tcPr>
          <w:p w14:paraId="78855C36" w14:textId="77777777" w:rsidR="002562B9" w:rsidRDefault="007A4474">
            <w:r>
              <w:rPr>
                <w:sz w:val="16"/>
              </w:rPr>
              <w:t>Bao 2026; A</w:t>
            </w:r>
          </w:p>
        </w:tc>
        <w:tc>
          <w:tcPr>
            <w:tcW w:w="2493" w:type="dxa"/>
          </w:tcPr>
          <w:p w14:paraId="2F2F7403" w14:textId="77777777" w:rsidR="002562B9" w:rsidRDefault="007A4474">
            <w:r>
              <w:rPr>
                <w:sz w:val="16"/>
              </w:rPr>
              <w:t xml:space="preserve">Matched-counterfactual audit of </w:t>
            </w:r>
            <w:r>
              <w:rPr>
                <w:sz w:val="16"/>
              </w:rPr>
              <w:lastRenderedPageBreak/>
              <w:t>LLM-generated physical-activity prescriptions; guideline-alignment and access-cost proxies</w:t>
            </w:r>
          </w:p>
        </w:tc>
        <w:tc>
          <w:tcPr>
            <w:tcW w:w="2493" w:type="dxa"/>
          </w:tcPr>
          <w:p w14:paraId="4A825C40" w14:textId="77777777" w:rsidR="002562B9" w:rsidRDefault="007A4474">
            <w:r>
              <w:rPr>
                <w:sz w:val="16"/>
              </w:rPr>
              <w:lastRenderedPageBreak/>
              <w:t xml:space="preserve">108 synthetic profiles across </w:t>
            </w:r>
            <w:r>
              <w:rPr>
                <w:sz w:val="16"/>
              </w:rPr>
              <w:lastRenderedPageBreak/>
              <w:t>2,956 US counties; four health archetypes; DeepSeek model panel</w:t>
            </w:r>
          </w:p>
        </w:tc>
      </w:tr>
      <w:tr w:rsidR="002562B9" w14:paraId="0F9844DC" w14:textId="77777777">
        <w:trPr>
          <w:jc w:val="center"/>
        </w:trPr>
        <w:tc>
          <w:tcPr>
            <w:tcW w:w="2493" w:type="dxa"/>
          </w:tcPr>
          <w:p w14:paraId="2746C3EB" w14:textId="77777777" w:rsidR="002562B9" w:rsidRDefault="007A4474">
            <w:r>
              <w:rPr>
                <w:sz w:val="16"/>
              </w:rPr>
              <w:lastRenderedPageBreak/>
              <w:t>W39</w:t>
            </w:r>
          </w:p>
        </w:tc>
        <w:tc>
          <w:tcPr>
            <w:tcW w:w="2493" w:type="dxa"/>
          </w:tcPr>
          <w:p w14:paraId="60D6E849" w14:textId="77777777" w:rsidR="002562B9" w:rsidRDefault="007A4474">
            <w:r>
              <w:rPr>
                <w:sz w:val="16"/>
              </w:rPr>
              <w:t>Puce 2026; A</w:t>
            </w:r>
          </w:p>
        </w:tc>
        <w:tc>
          <w:tcPr>
            <w:tcW w:w="2493" w:type="dxa"/>
          </w:tcPr>
          <w:p w14:paraId="2F9A1129" w14:textId="77777777" w:rsidR="002562B9" w:rsidRDefault="007A4474">
            <w:r>
              <w:rPr>
                <w:sz w:val="16"/>
              </w:rPr>
              <w:t>Expert and athlete rating of ChatGPT-4 weekly training plans across seven intensity zones</w:t>
            </w:r>
          </w:p>
        </w:tc>
        <w:tc>
          <w:tcPr>
            <w:tcW w:w="2493" w:type="dxa"/>
          </w:tcPr>
          <w:p w14:paraId="4491272A" w14:textId="77777777" w:rsidR="002562B9" w:rsidRDefault="007A4474">
            <w:r>
              <w:rPr>
                <w:sz w:val="16"/>
              </w:rPr>
              <w:t>Standardised distance-swimmer and sprinter profiles; ChatGPT-4; 23 coaches and 36 athletes</w:t>
            </w:r>
          </w:p>
        </w:tc>
      </w:tr>
      <w:tr w:rsidR="002562B9" w14:paraId="06434430" w14:textId="77777777">
        <w:trPr>
          <w:jc w:val="center"/>
        </w:trPr>
        <w:tc>
          <w:tcPr>
            <w:tcW w:w="2493" w:type="dxa"/>
          </w:tcPr>
          <w:p w14:paraId="5F967427" w14:textId="77777777" w:rsidR="002562B9" w:rsidRDefault="007A4474">
            <w:r>
              <w:rPr>
                <w:sz w:val="16"/>
              </w:rPr>
              <w:t>W41</w:t>
            </w:r>
          </w:p>
        </w:tc>
        <w:tc>
          <w:tcPr>
            <w:tcW w:w="2493" w:type="dxa"/>
          </w:tcPr>
          <w:p w14:paraId="29F2D9E8" w14:textId="77777777" w:rsidR="002562B9" w:rsidRDefault="007A4474">
            <w:r>
              <w:rPr>
                <w:sz w:val="16"/>
              </w:rPr>
              <w:t>Lee 2026; A</w:t>
            </w:r>
          </w:p>
        </w:tc>
        <w:tc>
          <w:tcPr>
            <w:tcW w:w="2493" w:type="dxa"/>
          </w:tcPr>
          <w:p w14:paraId="649E55AC" w14:textId="77777777" w:rsidR="002562B9" w:rsidRDefault="007A4474">
            <w:r>
              <w:rPr>
                <w:sz w:val="16"/>
              </w:rPr>
              <w:t>Repeated-generation consistency study (20 outputs per scenario)</w:t>
            </w:r>
          </w:p>
        </w:tc>
        <w:tc>
          <w:tcPr>
            <w:tcW w:w="2493" w:type="dxa"/>
          </w:tcPr>
          <w:p w14:paraId="294990C3" w14:textId="77777777" w:rsidR="002562B9" w:rsidRDefault="007A4474">
            <w:r>
              <w:rPr>
                <w:sz w:val="16"/>
              </w:rPr>
              <w:t>Six clinical and high-function scenarios; Gemini 2.5 Flash; 120 outputs</w:t>
            </w:r>
          </w:p>
        </w:tc>
      </w:tr>
    </w:tbl>
    <w:p>
      <w:pPr>
        <w:pStyle w:val="Heading2"/>
        <w:keepNext/>
      </w:pPr>
      <w:r>
        <w:rPr>
          <w:rFonts w:ascii="Times New Roman" w:hAnsi="Times New Roman"/>
          <w:sz w:val="22"/>
        </w:rPr>
        <w:t>Table 1 (continued). Characteristics of the author-designated study set (Part B).</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w:t>
            </w:r>
          </w:p>
        </w:tc>
        <w:tc>
          <w:tcPr>
            <w:tcW w:type="dxa" w:w="2493"/>
            <w:vAlign w:val="center"/>
          </w:tcPr>
          <w:p>
            <w:r>
              <w:rPr>
                <w:rFonts w:ascii="Times New Roman" w:hAnsi="Times New Roman"/>
                <w:sz w:val="16"/>
              </w:rPr>
              <w:t>Author/year; class</w:t>
            </w:r>
          </w:p>
        </w:tc>
        <w:tc>
          <w:tcPr>
            <w:tcW w:type="dxa" w:w="2493"/>
            <w:vAlign w:val="center"/>
          </w:tcPr>
          <w:p>
            <w:r>
              <w:rPr>
                <w:rFonts w:ascii="Times New Roman" w:hAnsi="Times New Roman"/>
                <w:sz w:val="16"/>
              </w:rPr>
              <w:t>Study design and evaluation</w:t>
            </w:r>
          </w:p>
        </w:tc>
        <w:tc>
          <w:tcPr>
            <w:tcW w:type="dxa" w:w="2493"/>
            <w:vAlign w:val="center"/>
          </w:tcPr>
          <w:p>
            <w:r>
              <w:rPr>
                <w:rFonts w:ascii="Times New Roman" w:hAnsi="Times New Roman"/>
                <w:sz w:val="16"/>
              </w:rPr>
              <w:t>Population/source and LLM</w:t>
            </w:r>
          </w:p>
        </w:tc>
      </w:tr>
      <w:tr>
        <w:trPr>
          <w:cantSplit/>
        </w:trPr>
        <w:tc>
          <w:tcPr>
            <w:tcW w:type="dxa" w:w="2493"/>
            <w:vAlign w:val="center"/>
          </w:tcPr>
          <w:p>
            <w:r>
              <w:rPr>
                <w:rFonts w:ascii="Times New Roman" w:hAnsi="Times New Roman"/>
                <w:sz w:val="16"/>
              </w:rPr>
              <w:t>W20</w:t>
            </w:r>
          </w:p>
        </w:tc>
        <w:tc>
          <w:tcPr>
            <w:tcW w:type="dxa" w:w="2493"/>
            <w:vAlign w:val="center"/>
          </w:tcPr>
          <w:p>
            <w:r>
              <w:rPr>
                <w:rFonts w:ascii="Times New Roman" w:hAnsi="Times New Roman"/>
                <w:sz w:val="16"/>
              </w:rPr>
              <w:t>Cali 2026; A</w:t>
            </w:r>
          </w:p>
        </w:tc>
        <w:tc>
          <w:tcPr>
            <w:tcW w:type="dxa" w:w="2493"/>
            <w:vAlign w:val="center"/>
          </w:tcPr>
          <w:p>
            <w:r>
              <w:rPr>
                <w:rFonts w:ascii="Times New Roman" w:hAnsi="Times New Roman"/>
                <w:sz w:val="16"/>
              </w:rPr>
              <w:t>Mixed-method expert assessment in five simulated sports-injury cases</w:t>
            </w:r>
          </w:p>
        </w:tc>
        <w:tc>
          <w:tcPr>
            <w:tcW w:type="dxa" w:w="2493"/>
            <w:vAlign w:val="center"/>
          </w:tcPr>
          <w:p>
            <w:r>
              <w:rPr>
                <w:rFonts w:ascii="Times New Roman" w:hAnsi="Times New Roman"/>
                <w:sz w:val="16"/>
              </w:rPr>
              <w:t>ChatGPT-4.1; five sports-injury cases</w:t>
            </w:r>
          </w:p>
        </w:tc>
      </w:tr>
      <w:tr>
        <w:trPr>
          <w:cantSplit/>
        </w:trPr>
        <w:tc>
          <w:tcPr>
            <w:tcW w:type="dxa" w:w="2493"/>
            <w:vAlign w:val="center"/>
          </w:tcPr>
          <w:p>
            <w:r>
              <w:rPr>
                <w:rFonts w:ascii="Times New Roman" w:hAnsi="Times New Roman"/>
                <w:sz w:val="16"/>
              </w:rPr>
              <w:t>W21</w:t>
            </w:r>
          </w:p>
        </w:tc>
        <w:tc>
          <w:tcPr>
            <w:tcW w:type="dxa" w:w="2493"/>
            <w:vAlign w:val="center"/>
          </w:tcPr>
          <w:p>
            <w:r>
              <w:rPr>
                <w:rFonts w:ascii="Times New Roman" w:hAnsi="Times New Roman"/>
                <w:sz w:val="16"/>
              </w:rPr>
              <w:t>Zhao 2026; A</w:t>
            </w:r>
          </w:p>
        </w:tc>
        <w:tc>
          <w:tcPr>
            <w:tcW w:type="dxa" w:w="2493"/>
            <w:vAlign w:val="center"/>
          </w:tcPr>
          <w:p>
            <w:r>
              <w:rPr>
                <w:rFonts w:ascii="Times New Roman" w:hAnsi="Times New Roman"/>
                <w:sz w:val="16"/>
              </w:rPr>
              <w:t>Expert evaluation of repeated multimodel generation in a simulated swimming scenario</w:t>
            </w:r>
          </w:p>
        </w:tc>
        <w:tc>
          <w:tcPr>
            <w:tcW w:type="dxa" w:w="2493"/>
            <w:vAlign w:val="center"/>
          </w:tcPr>
          <w:p>
            <w:r>
              <w:rPr>
                <w:rFonts w:ascii="Times New Roman" w:hAnsi="Times New Roman"/>
                <w:sz w:val="16"/>
              </w:rPr>
              <w:t>ChatGPT, Gemini, DeepSeek, Doubao; one simulated 100-m freestyle swimmer</w:t>
            </w:r>
          </w:p>
        </w:tc>
      </w:tr>
      <w:tr>
        <w:trPr>
          <w:cantSplit/>
        </w:trPr>
        <w:tc>
          <w:tcPr>
            <w:tcW w:type="dxa" w:w="2493"/>
            <w:vAlign w:val="center"/>
          </w:tcPr>
          <w:p>
            <w:r>
              <w:rPr>
                <w:rFonts w:ascii="Times New Roman" w:hAnsi="Times New Roman"/>
                <w:sz w:val="16"/>
              </w:rPr>
              <w:t>W22</w:t>
            </w:r>
          </w:p>
        </w:tc>
        <w:tc>
          <w:tcPr>
            <w:tcW w:type="dxa" w:w="2493"/>
            <w:vAlign w:val="center"/>
          </w:tcPr>
          <w:p>
            <w:r>
              <w:rPr>
                <w:rFonts w:ascii="Times New Roman" w:hAnsi="Times New Roman"/>
                <w:sz w:val="16"/>
              </w:rPr>
              <w:t>Zaleski 2024; A</w:t>
            </w:r>
          </w:p>
        </w:tc>
        <w:tc>
          <w:tcPr>
            <w:tcW w:type="dxa" w:w="2493"/>
            <w:vAlign w:val="center"/>
          </w:tcPr>
          <w:p>
            <w:r>
              <w:rPr>
                <w:rFonts w:ascii="Times New Roman" w:hAnsi="Times New Roman"/>
                <w:sz w:val="16"/>
              </w:rPr>
              <w:t>Mixed-method coding of outputs for 26 standardized populations</w:t>
            </w:r>
          </w:p>
        </w:tc>
        <w:tc>
          <w:tcPr>
            <w:tcW w:type="dxa" w:w="2493"/>
            <w:vAlign w:val="center"/>
          </w:tcPr>
          <w:p>
            <w:r>
              <w:rPr>
                <w:rFonts w:ascii="Times New Roman" w:hAnsi="Times New Roman"/>
                <w:sz w:val="16"/>
              </w:rPr>
              <w:t>ChatGPT; 26 clinical populations/scenarios</w:t>
            </w:r>
          </w:p>
        </w:tc>
      </w:tr>
      <w:tr>
        <w:trPr>
          <w:cantSplit/>
        </w:trPr>
        <w:tc>
          <w:tcPr>
            <w:tcW w:type="dxa" w:w="2493"/>
            <w:vAlign w:val="center"/>
          </w:tcPr>
          <w:p>
            <w:r>
              <w:rPr>
                <w:rFonts w:ascii="Times New Roman" w:hAnsi="Times New Roman"/>
                <w:sz w:val="16"/>
              </w:rPr>
              <w:t>W23</w:t>
            </w:r>
          </w:p>
        </w:tc>
        <w:tc>
          <w:tcPr>
            <w:tcW w:type="dxa" w:w="2493"/>
            <w:vAlign w:val="center"/>
          </w:tcPr>
          <w:p>
            <w:r>
              <w:rPr>
                <w:rFonts w:ascii="Times New Roman" w:hAnsi="Times New Roman"/>
                <w:sz w:val="16"/>
              </w:rPr>
              <w:t>Li 2025; B</w:t>
            </w:r>
          </w:p>
        </w:tc>
        <w:tc>
          <w:tcPr>
            <w:tcW w:type="dxa" w:w="2493"/>
            <w:vAlign w:val="center"/>
          </w:tcPr>
          <w:p>
            <w:r>
              <w:rPr>
                <w:rFonts w:ascii="Times New Roman" w:hAnsi="Times New Roman"/>
                <w:sz w:val="16"/>
              </w:rPr>
              <w:t>Comparison of plans generated from one real individual’s data</w:t>
            </w:r>
          </w:p>
        </w:tc>
        <w:tc>
          <w:tcPr>
            <w:tcW w:type="dxa" w:w="2493"/>
            <w:vAlign w:val="center"/>
          </w:tcPr>
          <w:p>
            <w:r>
              <w:rPr>
                <w:rFonts w:ascii="Times New Roman" w:hAnsi="Times New Roman"/>
                <w:sz w:val="16"/>
              </w:rPr>
              <w:t>GPT-4; one real individual</w:t>
            </w:r>
          </w:p>
        </w:tc>
      </w:tr>
      <w:tr>
        <w:trPr>
          <w:cantSplit/>
        </w:trPr>
        <w:tc>
          <w:tcPr>
            <w:tcW w:type="dxa" w:w="2493"/>
            <w:vAlign w:val="center"/>
          </w:tcPr>
          <w:p>
            <w:r>
              <w:rPr>
                <w:rFonts w:ascii="Times New Roman" w:hAnsi="Times New Roman"/>
                <w:sz w:val="16"/>
              </w:rPr>
              <w:t>W24</w:t>
            </w:r>
          </w:p>
        </w:tc>
        <w:tc>
          <w:tcPr>
            <w:tcW w:type="dxa" w:w="2493"/>
            <w:vAlign w:val="center"/>
          </w:tcPr>
          <w:p>
            <w:r>
              <w:rPr>
                <w:rFonts w:ascii="Times New Roman" w:hAnsi="Times New Roman"/>
                <w:sz w:val="16"/>
              </w:rPr>
              <w:t>Gürses 2025; B</w:t>
            </w:r>
          </w:p>
        </w:tc>
        <w:tc>
          <w:tcPr>
            <w:tcW w:type="dxa" w:w="2493"/>
            <w:vAlign w:val="center"/>
          </w:tcPr>
          <w:p>
            <w:r>
              <w:rPr>
                <w:rFonts w:ascii="Times New Roman" w:hAnsi="Times New Roman"/>
                <w:sz w:val="16"/>
              </w:rPr>
              <w:t>Output evaluation using data from 40 real patients with knee osteoarthritis</w:t>
            </w:r>
          </w:p>
        </w:tc>
        <w:tc>
          <w:tcPr>
            <w:tcW w:type="dxa" w:w="2493"/>
            <w:vAlign w:val="center"/>
          </w:tcPr>
          <w:p>
            <w:r>
              <w:rPr>
                <w:rFonts w:ascii="Times New Roman" w:hAnsi="Times New Roman"/>
                <w:sz w:val="16"/>
              </w:rPr>
              <w:t>ChatGPT-4o, Gemini Advanced; 40 patients with knee osteoarthritis</w:t>
            </w:r>
          </w:p>
        </w:tc>
      </w:tr>
      <w:tr>
        <w:trPr>
          <w:cantSplit/>
        </w:trPr>
        <w:tc>
          <w:tcPr>
            <w:tcW w:type="dxa" w:w="2493"/>
            <w:vAlign w:val="center"/>
          </w:tcPr>
          <w:p>
            <w:r>
              <w:rPr>
                <w:rFonts w:ascii="Times New Roman" w:hAnsi="Times New Roman"/>
                <w:sz w:val="16"/>
              </w:rPr>
              <w:t>W25</w:t>
            </w:r>
          </w:p>
        </w:tc>
        <w:tc>
          <w:tcPr>
            <w:tcW w:type="dxa" w:w="2493"/>
            <w:vAlign w:val="center"/>
          </w:tcPr>
          <w:p>
            <w:r>
              <w:rPr>
                <w:rFonts w:ascii="Times New Roman" w:hAnsi="Times New Roman"/>
                <w:sz w:val="16"/>
              </w:rPr>
              <w:t>Onan 2025; A</w:t>
            </w:r>
          </w:p>
        </w:tc>
        <w:tc>
          <w:tcPr>
            <w:tcW w:type="dxa" w:w="2493"/>
            <w:vAlign w:val="center"/>
          </w:tcPr>
          <w:p>
            <w:r>
              <w:rPr>
                <w:rFonts w:ascii="Times New Roman" w:hAnsi="Times New Roman"/>
                <w:sz w:val="16"/>
              </w:rPr>
              <w:t>Program generation and expert evaluation in three clinical case scenarios</w:t>
            </w:r>
          </w:p>
        </w:tc>
        <w:tc>
          <w:tcPr>
            <w:tcW w:type="dxa" w:w="2493"/>
            <w:vAlign w:val="center"/>
          </w:tcPr>
          <w:p>
            <w:r>
              <w:rPr>
                <w:rFonts w:ascii="Times New Roman" w:hAnsi="Times New Roman"/>
                <w:sz w:val="16"/>
              </w:rPr>
              <w:t>ChatGPT-4.0; three clinical cases</w:t>
            </w:r>
          </w:p>
        </w:tc>
      </w:tr>
      <w:tr>
        <w:trPr>
          <w:cantSplit/>
        </w:trPr>
        <w:tc>
          <w:tcPr>
            <w:tcW w:type="dxa" w:w="2493"/>
            <w:vAlign w:val="center"/>
          </w:tcPr>
          <w:p>
            <w:r>
              <w:rPr>
                <w:rFonts w:ascii="Times New Roman" w:hAnsi="Times New Roman"/>
                <w:sz w:val="16"/>
              </w:rPr>
              <w:t>W26</w:t>
            </w:r>
          </w:p>
        </w:tc>
        <w:tc>
          <w:tcPr>
            <w:tcW w:type="dxa" w:w="2493"/>
            <w:vAlign w:val="center"/>
          </w:tcPr>
          <w:p>
            <w:r>
              <w:rPr>
                <w:rFonts w:ascii="Times New Roman" w:hAnsi="Times New Roman"/>
                <w:sz w:val="16"/>
              </w:rPr>
              <w:t>Philuek 2025; C</w:t>
            </w:r>
          </w:p>
        </w:tc>
        <w:tc>
          <w:tcPr>
            <w:tcW w:type="dxa" w:w="2493"/>
            <w:vAlign w:val="center"/>
          </w:tcPr>
          <w:p>
            <w:r>
              <w:rPr>
                <w:rFonts w:ascii="Times New Roman" w:hAnsi="Times New Roman"/>
                <w:sz w:val="16"/>
              </w:rPr>
              <w:t>Pilot controlled study with human implementation</w:t>
            </w:r>
          </w:p>
        </w:tc>
        <w:tc>
          <w:tcPr>
            <w:tcW w:type="dxa" w:w="2493"/>
            <w:vAlign w:val="center"/>
          </w:tcPr>
          <w:p>
            <w:r>
              <w:rPr>
                <w:rFonts w:ascii="Times New Roman" w:hAnsi="Times New Roman"/>
                <w:sz w:val="16"/>
              </w:rPr>
              <w:t>ChatGPT/GPT-4; healthy overweight young adults</w:t>
            </w:r>
          </w:p>
        </w:tc>
      </w:tr>
      <w:tr>
        <w:trPr>
          <w:cantSplit/>
        </w:trPr>
        <w:tc>
          <w:tcPr>
            <w:tcW w:type="dxa" w:w="2493"/>
            <w:vAlign w:val="center"/>
          </w:tcPr>
          <w:p>
            <w:r>
              <w:rPr>
                <w:rFonts w:ascii="Times New Roman" w:hAnsi="Times New Roman"/>
                <w:sz w:val="16"/>
              </w:rPr>
              <w:t>W27</w:t>
            </w:r>
          </w:p>
        </w:tc>
        <w:tc>
          <w:tcPr>
            <w:tcW w:type="dxa" w:w="2493"/>
            <w:vAlign w:val="center"/>
          </w:tcPr>
          <w:p>
            <w:r>
              <w:rPr>
                <w:rFonts w:ascii="Times New Roman" w:hAnsi="Times New Roman"/>
                <w:sz w:val="16"/>
              </w:rPr>
              <w:t>Genç 2025 (Digital coaches); C</w:t>
            </w:r>
          </w:p>
        </w:tc>
        <w:tc>
          <w:tcPr>
            <w:tcW w:type="dxa" w:w="2493"/>
            <w:vAlign w:val="center"/>
          </w:tcPr>
          <w:p>
            <w:r>
              <w:rPr>
                <w:rFonts w:ascii="Times New Roman" w:hAnsi="Times New Roman"/>
                <w:sz w:val="16"/>
              </w:rPr>
              <w:t>Controlled human implementation study</w:t>
            </w:r>
          </w:p>
        </w:tc>
        <w:tc>
          <w:tcPr>
            <w:tcW w:type="dxa" w:w="2493"/>
            <w:vAlign w:val="center"/>
          </w:tcPr>
          <w:p>
            <w:r>
              <w:rPr>
                <w:rFonts w:ascii="Times New Roman" w:hAnsi="Times New Roman"/>
                <w:sz w:val="16"/>
              </w:rPr>
              <w:t>GPT-4 (confirmed in DOI abstract); 20 men</w:t>
            </w:r>
          </w:p>
        </w:tc>
      </w:tr>
      <w:tr>
        <w:trPr>
          <w:cantSplit/>
        </w:trPr>
        <w:tc>
          <w:tcPr>
            <w:tcW w:type="dxa" w:w="2493"/>
            <w:vAlign w:val="center"/>
          </w:tcPr>
          <w:p>
            <w:r>
              <w:rPr>
                <w:rFonts w:ascii="Times New Roman" w:hAnsi="Times New Roman"/>
                <w:sz w:val="16"/>
              </w:rPr>
              <w:t>W28</w:t>
            </w:r>
          </w:p>
        </w:tc>
        <w:tc>
          <w:tcPr>
            <w:tcW w:type="dxa" w:w="2493"/>
            <w:vAlign w:val="center"/>
          </w:tcPr>
          <w:p>
            <w:r>
              <w:rPr>
                <w:rFonts w:ascii="Times New Roman" w:hAnsi="Times New Roman"/>
                <w:sz w:val="16"/>
              </w:rPr>
              <w:t>Enichen 2025; A</w:t>
            </w:r>
          </w:p>
        </w:tc>
        <w:tc>
          <w:tcPr>
            <w:tcW w:type="dxa" w:w="2493"/>
            <w:vAlign w:val="center"/>
          </w:tcPr>
          <w:p>
            <w:r>
              <w:rPr>
                <w:rFonts w:ascii="Times New Roman" w:hAnsi="Times New Roman"/>
                <w:sz w:val="16"/>
              </w:rPr>
              <w:t>Blinded comparison of AI and expert recommendations in 30 fictional cases</w:t>
            </w:r>
          </w:p>
        </w:tc>
        <w:tc>
          <w:tcPr>
            <w:tcW w:type="dxa" w:w="2493"/>
            <w:vAlign w:val="center"/>
          </w:tcPr>
          <w:p>
            <w:r>
              <w:rPr>
                <w:rFonts w:ascii="Times New Roman" w:hAnsi="Times New Roman"/>
                <w:sz w:val="16"/>
              </w:rPr>
              <w:t>GPT-3.5; 30 fictional patient cases</w:t>
            </w:r>
          </w:p>
        </w:tc>
      </w:tr>
      <w:tr>
        <w:trPr>
          <w:cantSplit/>
        </w:trPr>
        <w:tc>
          <w:tcPr>
            <w:tcW w:type="dxa" w:w="2493"/>
            <w:vAlign w:val="center"/>
          </w:tcPr>
          <w:p>
            <w:r>
              <w:rPr>
                <w:rFonts w:ascii="Times New Roman" w:hAnsi="Times New Roman"/>
                <w:sz w:val="16"/>
              </w:rPr>
              <w:t>W29</w:t>
            </w:r>
          </w:p>
        </w:tc>
        <w:tc>
          <w:tcPr>
            <w:tcW w:type="dxa" w:w="2493"/>
            <w:vAlign w:val="center"/>
          </w:tcPr>
          <w:p>
            <w:r>
              <w:rPr>
                <w:rFonts w:ascii="Times New Roman" w:hAnsi="Times New Roman"/>
                <w:sz w:val="16"/>
              </w:rPr>
              <w:t>PlanFitting 2025; B</w:t>
            </w:r>
          </w:p>
        </w:tc>
        <w:tc>
          <w:tcPr>
            <w:tcW w:type="dxa" w:w="2493"/>
            <w:vAlign w:val="center"/>
          </w:tcPr>
          <w:p>
            <w:r>
              <w:rPr>
                <w:rFonts w:ascii="Times New Roman" w:hAnsi="Times New Roman"/>
                <w:sz w:val="16"/>
              </w:rPr>
              <w:t>Evaluation of an interactive exercise-planning system with real-user interaction</w:t>
            </w:r>
          </w:p>
        </w:tc>
        <w:tc>
          <w:tcPr>
            <w:tcW w:type="dxa" w:w="2493"/>
            <w:vAlign w:val="center"/>
          </w:tcPr>
          <w:p>
            <w:r>
              <w:rPr>
                <w:rFonts w:ascii="Times New Roman" w:hAnsi="Times New Roman"/>
                <w:sz w:val="16"/>
              </w:rPr>
              <w:t>LLM conversational agent; user study of personalized exercise planning</w:t>
            </w:r>
          </w:p>
        </w:tc>
      </w:tr>
      <w:tr>
        <w:trPr>
          <w:cantSplit/>
        </w:trPr>
        <w:tc>
          <w:tcPr>
            <w:tcW w:type="dxa" w:w="2493"/>
            <w:vAlign w:val="center"/>
          </w:tcPr>
          <w:p>
            <w:r>
              <w:rPr>
                <w:rFonts w:ascii="Times New Roman" w:hAnsi="Times New Roman"/>
                <w:sz w:val="16"/>
              </w:rPr>
              <w:t>W30</w:t>
            </w:r>
          </w:p>
        </w:tc>
        <w:tc>
          <w:tcPr>
            <w:tcW w:type="dxa" w:w="2493"/>
            <w:vAlign w:val="center"/>
          </w:tcPr>
          <w:p>
            <w:r>
              <w:rPr>
                <w:rFonts w:ascii="Times New Roman" w:hAnsi="Times New Roman"/>
                <w:sz w:val="16"/>
              </w:rPr>
              <w:t>Yang 2026 (soccer); A</w:t>
            </w:r>
          </w:p>
        </w:tc>
        <w:tc>
          <w:tcPr>
            <w:tcW w:type="dxa" w:w="2493"/>
            <w:vAlign w:val="center"/>
          </w:tcPr>
          <w:p>
            <w:r>
              <w:rPr>
                <w:rFonts w:ascii="Times New Roman" w:hAnsi="Times New Roman"/>
                <w:sz w:val="16"/>
              </w:rPr>
              <w:t>Expert comparison of soccer training plans generated by six models</w:t>
            </w:r>
          </w:p>
        </w:tc>
        <w:tc>
          <w:tcPr>
            <w:tcW w:type="dxa" w:w="2493"/>
            <w:vAlign w:val="center"/>
          </w:tcPr>
          <w:p>
            <w:r>
              <w:rPr>
                <w:rFonts w:ascii="Times New Roman" w:hAnsi="Times New Roman"/>
                <w:sz w:val="16"/>
              </w:rPr>
              <w:t>Six generative AI systems; soccer-training scenarios</w:t>
            </w:r>
          </w:p>
        </w:tc>
      </w:tr>
      <w:tr>
        <w:trPr>
          <w:cantSplit/>
        </w:trPr>
        <w:tc>
          <w:tcPr>
            <w:tcW w:type="dxa" w:w="2493"/>
            <w:vAlign w:val="center"/>
          </w:tcPr>
          <w:p>
            <w:r>
              <w:rPr>
                <w:rFonts w:ascii="Times New Roman" w:hAnsi="Times New Roman"/>
                <w:sz w:val="16"/>
              </w:rPr>
              <w:t>W31</w:t>
            </w:r>
          </w:p>
        </w:tc>
        <w:tc>
          <w:tcPr>
            <w:tcW w:type="dxa" w:w="2493"/>
            <w:vAlign w:val="center"/>
          </w:tcPr>
          <w:p>
            <w:r>
              <w:rPr>
                <w:rFonts w:ascii="Times New Roman" w:hAnsi="Times New Roman"/>
                <w:sz w:val="16"/>
              </w:rPr>
              <w:t>Schütze 2026; A</w:t>
            </w:r>
          </w:p>
        </w:tc>
        <w:tc>
          <w:tcPr>
            <w:tcW w:type="dxa" w:w="2493"/>
            <w:vAlign w:val="center"/>
          </w:tcPr>
          <w:p>
            <w:r>
              <w:rPr>
                <w:rFonts w:ascii="Times New Roman" w:hAnsi="Times New Roman"/>
                <w:sz w:val="16"/>
              </w:rPr>
              <w:t>Expert evaluation of six standardized inclusion body myositis questions</w:t>
            </w:r>
          </w:p>
        </w:tc>
        <w:tc>
          <w:tcPr>
            <w:tcW w:type="dxa" w:w="2493"/>
            <w:vAlign w:val="center"/>
          </w:tcPr>
          <w:p>
            <w:r>
              <w:rPr>
                <w:rFonts w:ascii="Times New Roman" w:hAnsi="Times New Roman"/>
                <w:sz w:val="16"/>
              </w:rPr>
              <w:t>ChatGPT; exercise scenarios for people with inclusion body myositis</w:t>
            </w:r>
          </w:p>
        </w:tc>
      </w:tr>
      <w:tr>
        <w:trPr>
          <w:cantSplit/>
        </w:trPr>
        <w:tc>
          <w:tcPr>
            <w:tcW w:type="dxa" w:w="2493"/>
            <w:vAlign w:val="center"/>
          </w:tcPr>
          <w:p>
            <w:r>
              <w:rPr>
                <w:rFonts w:ascii="Times New Roman" w:hAnsi="Times New Roman"/>
                <w:sz w:val="16"/>
              </w:rPr>
              <w:t>W32</w:t>
            </w:r>
          </w:p>
        </w:tc>
        <w:tc>
          <w:tcPr>
            <w:tcW w:type="dxa" w:w="2493"/>
            <w:vAlign w:val="center"/>
          </w:tcPr>
          <w:p>
            <w:r>
              <w:rPr>
                <w:rFonts w:ascii="Times New Roman" w:hAnsi="Times New Roman"/>
                <w:sz w:val="16"/>
              </w:rPr>
              <w:t>Fu 2026; A</w:t>
            </w:r>
          </w:p>
        </w:tc>
        <w:tc>
          <w:tcPr>
            <w:tcW w:type="dxa" w:w="2493"/>
            <w:vAlign w:val="center"/>
          </w:tcPr>
          <w:p>
            <w:r>
              <w:rPr>
                <w:rFonts w:ascii="Times New Roman" w:hAnsi="Times New Roman"/>
                <w:sz w:val="16"/>
              </w:rPr>
              <w:t>Multimodel evaluation of rehabilitation program quality/readability across clinical scenarios</w:t>
            </w:r>
          </w:p>
        </w:tc>
        <w:tc>
          <w:tcPr>
            <w:tcW w:type="dxa" w:w="2493"/>
            <w:vAlign w:val="center"/>
          </w:tcPr>
          <w:p>
            <w:r>
              <w:rPr>
                <w:rFonts w:ascii="Times New Roman" w:hAnsi="Times New Roman"/>
                <w:sz w:val="16"/>
              </w:rPr>
              <w:t>Four LLMs; multiple musculoskeletal scenarios</w:t>
            </w:r>
          </w:p>
        </w:tc>
      </w:tr>
      <w:tr>
        <w:trPr>
          <w:cantSplit/>
        </w:trPr>
        <w:tc>
          <w:tcPr>
            <w:tcW w:type="dxa" w:w="2493"/>
            <w:vAlign w:val="center"/>
          </w:tcPr>
          <w:p>
            <w:r>
              <w:rPr>
                <w:rFonts w:ascii="Times New Roman" w:hAnsi="Times New Roman"/>
                <w:sz w:val="16"/>
              </w:rPr>
              <w:t>W33</w:t>
            </w:r>
          </w:p>
        </w:tc>
        <w:tc>
          <w:tcPr>
            <w:tcW w:type="dxa" w:w="2493"/>
            <w:vAlign w:val="center"/>
          </w:tcPr>
          <w:p>
            <w:r>
              <w:rPr>
                <w:rFonts w:ascii="Times New Roman" w:hAnsi="Times New Roman"/>
                <w:sz w:val="16"/>
              </w:rPr>
              <w:t>Hüzmeli &amp; Akkuş 2026; B</w:t>
            </w:r>
          </w:p>
        </w:tc>
        <w:tc>
          <w:tcPr>
            <w:tcW w:type="dxa" w:w="2493"/>
            <w:vAlign w:val="center"/>
          </w:tcPr>
          <w:p>
            <w:r>
              <w:rPr>
                <w:rFonts w:ascii="Times New Roman" w:hAnsi="Times New Roman"/>
                <w:sz w:val="16"/>
              </w:rPr>
              <w:t>Output comparison using data from 40 real stable-angina cases</w:t>
            </w:r>
          </w:p>
        </w:tc>
        <w:tc>
          <w:tcPr>
            <w:tcW w:type="dxa" w:w="2493"/>
            <w:vAlign w:val="center"/>
          </w:tcPr>
          <w:p>
            <w:r>
              <w:rPr>
                <w:rFonts w:ascii="Times New Roman" w:hAnsi="Times New Roman"/>
                <w:sz w:val="16"/>
              </w:rPr>
              <w:t>ChatGPT-5.2, Gemini Advanced; stable angina/CCS cases</w:t>
            </w:r>
          </w:p>
        </w:tc>
      </w:tr>
      <w:tr>
        <w:trPr>
          <w:cantSplit/>
        </w:trPr>
        <w:tc>
          <w:tcPr>
            <w:tcW w:type="dxa" w:w="2493"/>
            <w:vAlign w:val="center"/>
          </w:tcPr>
          <w:p>
            <w:r>
              <w:rPr>
                <w:rFonts w:ascii="Times New Roman" w:hAnsi="Times New Roman"/>
                <w:sz w:val="16"/>
              </w:rPr>
              <w:t>W34</w:t>
            </w:r>
          </w:p>
        </w:tc>
        <w:tc>
          <w:tcPr>
            <w:tcW w:type="dxa" w:w="2493"/>
            <w:vAlign w:val="center"/>
          </w:tcPr>
          <w:p>
            <w:r>
              <w:rPr>
                <w:rFonts w:ascii="Times New Roman" w:hAnsi="Times New Roman"/>
                <w:sz w:val="16"/>
              </w:rPr>
              <w:t>Montaruli 2026; A</w:t>
            </w:r>
          </w:p>
        </w:tc>
        <w:tc>
          <w:tcPr>
            <w:tcW w:type="dxa" w:w="2493"/>
            <w:vAlign w:val="center"/>
          </w:tcPr>
          <w:p>
            <w:r>
              <w:rPr>
                <w:rFonts w:ascii="Times New Roman" w:hAnsi="Times New Roman"/>
                <w:sz w:val="16"/>
              </w:rPr>
              <w:t>Descriptive comparison of original marathon plans from eight AI engines</w:t>
            </w:r>
          </w:p>
        </w:tc>
        <w:tc>
          <w:tcPr>
            <w:tcW w:type="dxa" w:w="2493"/>
            <w:vAlign w:val="center"/>
          </w:tcPr>
          <w:p>
            <w:r>
              <w:rPr>
                <w:rFonts w:ascii="Times New Roman" w:hAnsi="Times New Roman"/>
                <w:sz w:val="16"/>
              </w:rPr>
              <w:t>Multiple generative AI systems; beginner, intermediate, and advanced runners</w:t>
            </w:r>
          </w:p>
        </w:tc>
      </w:tr>
      <w:tr>
        <w:trPr>
          <w:cantSplit/>
        </w:trPr>
        <w:tc>
          <w:tcPr>
            <w:tcW w:type="dxa" w:w="2493"/>
            <w:vAlign w:val="center"/>
          </w:tcPr>
          <w:p>
            <w:r>
              <w:rPr>
                <w:rFonts w:ascii="Times New Roman" w:hAnsi="Times New Roman"/>
                <w:sz w:val="16"/>
              </w:rPr>
              <w:t>W35</w:t>
            </w:r>
          </w:p>
        </w:tc>
        <w:tc>
          <w:tcPr>
            <w:tcW w:type="dxa" w:w="2493"/>
            <w:vAlign w:val="center"/>
          </w:tcPr>
          <w:p>
            <w:r>
              <w:rPr>
                <w:rFonts w:ascii="Times New Roman" w:hAnsi="Times New Roman"/>
                <w:sz w:val="16"/>
              </w:rPr>
              <w:t>Bezruk 2026; A</w:t>
            </w:r>
          </w:p>
        </w:tc>
        <w:tc>
          <w:tcPr>
            <w:tcW w:type="dxa" w:w="2493"/>
            <w:vAlign w:val="center"/>
          </w:tcPr>
          <w:p>
            <w:r>
              <w:rPr>
                <w:rFonts w:ascii="Times New Roman" w:hAnsi="Times New Roman"/>
                <w:sz w:val="16"/>
              </w:rPr>
              <w:t>Multimodel, multilingual output evaluation in simulated CKD cases</w:t>
            </w:r>
          </w:p>
        </w:tc>
        <w:tc>
          <w:tcPr>
            <w:tcW w:type="dxa" w:w="2493"/>
            <w:vAlign w:val="center"/>
          </w:tcPr>
          <w:p>
            <w:r>
              <w:rPr>
                <w:rFonts w:ascii="Times New Roman" w:hAnsi="Times New Roman"/>
                <w:sz w:val="16"/>
              </w:rPr>
              <w:t>ChatGPT, Gemini, Copilot; CKD/hemodialysis rehabilitation scenarios</w:t>
            </w:r>
          </w:p>
        </w:tc>
      </w:tr>
      <w:tr>
        <w:trPr>
          <w:cantSplit/>
        </w:trPr>
        <w:tc>
          <w:tcPr>
            <w:tcW w:type="dxa" w:w="2493"/>
            <w:vAlign w:val="center"/>
          </w:tcPr>
          <w:p>
            <w:r>
              <w:rPr>
                <w:rFonts w:ascii="Times New Roman" w:hAnsi="Times New Roman"/>
                <w:sz w:val="16"/>
              </w:rPr>
              <w:t>W36</w:t>
            </w:r>
          </w:p>
        </w:tc>
        <w:tc>
          <w:tcPr>
            <w:tcW w:type="dxa" w:w="2493"/>
            <w:vAlign w:val="center"/>
          </w:tcPr>
          <w:p>
            <w:r>
              <w:rPr>
                <w:rFonts w:ascii="Times New Roman" w:hAnsi="Times New Roman"/>
                <w:sz w:val="16"/>
              </w:rPr>
              <w:t>PhysioAgent 2026; A</w:t>
            </w:r>
          </w:p>
        </w:tc>
        <w:tc>
          <w:tcPr>
            <w:tcW w:type="dxa" w:w="2493"/>
            <w:vAlign w:val="center"/>
          </w:tcPr>
          <w:p>
            <w:r>
              <w:rPr>
                <w:rFonts w:ascii="Times New Roman" w:hAnsi="Times New Roman"/>
                <w:sz w:val="16"/>
              </w:rPr>
              <w:t>Multi-agent system evaluation in 50 clinical scenarios and 200 simulated follow-up cycles</w:t>
            </w:r>
          </w:p>
        </w:tc>
        <w:tc>
          <w:tcPr>
            <w:tcW w:type="dxa" w:w="2493"/>
            <w:vAlign w:val="center"/>
          </w:tcPr>
          <w:p>
            <w:r>
              <w:rPr>
                <w:rFonts w:ascii="Times New Roman" w:hAnsi="Times New Roman"/>
                <w:sz w:val="16"/>
              </w:rPr>
              <w:t>Multi-agent LLM; 50 clinical scenarios and 200 simulated events</w:t>
            </w:r>
          </w:p>
        </w:tc>
      </w:tr>
      <w:tr w:rsidR="002562B9" w14:paraId="77CE6C24" w14:textId="77777777">
        <w:trPr>
          <w:jc w:val="center"/>
        </w:trPr>
        <w:tc>
          <w:tcPr>
            <w:tcW w:w="2493" w:type="dxa"/>
          </w:tcPr>
          <w:p w14:paraId="189428A1" w14:textId="77777777" w:rsidR="002562B9" w:rsidRDefault="007A4474">
            <w:r>
              <w:rPr>
                <w:sz w:val="16"/>
              </w:rPr>
              <w:t>W40</w:t>
            </w:r>
          </w:p>
        </w:tc>
        <w:tc>
          <w:tcPr>
            <w:tcW w:w="2493" w:type="dxa"/>
          </w:tcPr>
          <w:p w14:paraId="06E7784A" w14:textId="77777777" w:rsidR="002562B9" w:rsidRDefault="007A4474">
            <w:r>
              <w:rPr>
                <w:sz w:val="16"/>
              </w:rPr>
              <w:t>Xiao 2026; C</w:t>
            </w:r>
          </w:p>
        </w:tc>
        <w:tc>
          <w:tcPr>
            <w:tcW w:w="2493" w:type="dxa"/>
          </w:tcPr>
          <w:p w14:paraId="78FE7384" w14:textId="77777777" w:rsidR="002562B9" w:rsidRDefault="007A4474">
            <w:r>
              <w:rPr>
                <w:sz w:val="16"/>
              </w:rPr>
              <w:t>12-week quasi-experimental mixed-methods study of a GenAI training platform versus usual coaching</w:t>
            </w:r>
          </w:p>
        </w:tc>
        <w:tc>
          <w:tcPr>
            <w:tcW w:w="2493" w:type="dxa"/>
          </w:tcPr>
          <w:p w14:paraId="54A2777A" w14:textId="77777777" w:rsidR="002562B9" w:rsidRDefault="007A4474">
            <w:r>
              <w:rPr>
                <w:sz w:val="16"/>
              </w:rPr>
              <w:t>120 university student-athletes; fine-tuned GPT-4 platform generating daily plans</w:t>
            </w:r>
          </w:p>
        </w:tc>
      </w:tr>
      <w:tr w:rsidR="002562B9" w14:paraId="252D35A8" w14:textId="77777777">
        <w:trPr>
          <w:jc w:val="center"/>
        </w:trPr>
        <w:tc>
          <w:tcPr>
            <w:tcW w:w="2493" w:type="dxa"/>
          </w:tcPr>
          <w:p w14:paraId="4517A5B4" w14:textId="77777777" w:rsidR="002562B9" w:rsidRDefault="007A4474">
            <w:r>
              <w:rPr>
                <w:sz w:val="16"/>
              </w:rPr>
              <w:t>W42</w:t>
            </w:r>
          </w:p>
        </w:tc>
        <w:tc>
          <w:tcPr>
            <w:tcW w:w="2493" w:type="dxa"/>
          </w:tcPr>
          <w:p w14:paraId="373CB159" w14:textId="77777777" w:rsidR="002562B9" w:rsidRDefault="007A4474">
            <w:r>
              <w:rPr>
                <w:sz w:val="16"/>
              </w:rPr>
              <w:t>Wang 2026; B</w:t>
            </w:r>
          </w:p>
        </w:tc>
        <w:tc>
          <w:tcPr>
            <w:tcW w:w="2493" w:type="dxa"/>
          </w:tcPr>
          <w:p w14:paraId="2E6C7DB2" w14:textId="77777777" w:rsidR="002562B9" w:rsidRDefault="007A4474">
            <w:r>
              <w:rPr>
                <w:sz w:val="16"/>
              </w:rPr>
              <w:t>Two-stage expert-rated benchmark of guideline Q&amp;A and individualised rehabilitation plans</w:t>
            </w:r>
          </w:p>
        </w:tc>
        <w:tc>
          <w:tcPr>
            <w:tcW w:w="2493" w:type="dxa"/>
          </w:tcPr>
          <w:p w14:paraId="131EF1C1" w14:textId="77777777" w:rsidR="002562B9" w:rsidRDefault="007A4474">
            <w:r>
              <w:rPr>
                <w:sz w:val="16"/>
              </w:rPr>
              <w:t>60 de-identified stroke cases; ChatGPT-o3 and DeepSeek; three senior clinicians</w:t>
            </w:r>
          </w:p>
        </w:tc>
      </w:tr>
      <w:tr w:rsidR="002562B9" w14:paraId="52E4C07A" w14:textId="77777777">
        <w:trPr>
          <w:jc w:val="center"/>
        </w:trPr>
        <w:tc>
          <w:tcPr>
            <w:tcW w:w="2493" w:type="dxa"/>
          </w:tcPr>
          <w:p w14:paraId="52703EE1" w14:textId="77777777" w:rsidR="002562B9" w:rsidRDefault="007A4474">
            <w:r>
              <w:rPr>
                <w:sz w:val="16"/>
              </w:rPr>
              <w:t>W43</w:t>
            </w:r>
          </w:p>
        </w:tc>
        <w:tc>
          <w:tcPr>
            <w:tcW w:w="2493" w:type="dxa"/>
          </w:tcPr>
          <w:p w14:paraId="37291734" w14:textId="77777777" w:rsidR="002562B9" w:rsidRDefault="007A4474">
            <w:r>
              <w:rPr>
                <w:sz w:val="16"/>
              </w:rPr>
              <w:t>Cao 2026; B</w:t>
            </w:r>
          </w:p>
        </w:tc>
        <w:tc>
          <w:tcPr>
            <w:tcW w:w="2493" w:type="dxa"/>
          </w:tcPr>
          <w:p w14:paraId="3E6BFB16" w14:textId="77777777" w:rsidR="002562B9" w:rsidRDefault="007A4474">
            <w:r>
              <w:rPr>
                <w:sz w:val="16"/>
              </w:rPr>
              <w:t>Blinded multidimensional benchmark against senior physiatrist plans</w:t>
            </w:r>
          </w:p>
        </w:tc>
        <w:tc>
          <w:tcPr>
            <w:tcW w:w="2493" w:type="dxa"/>
          </w:tcPr>
          <w:p w14:paraId="4F8C429F" w14:textId="77777777" w:rsidR="002562B9" w:rsidRDefault="007A4474">
            <w:r>
              <w:rPr>
                <w:sz w:val="16"/>
              </w:rPr>
              <w:t>48 authentic cases across six subspecialties; five LLMs; six senior physiatrists</w:t>
            </w:r>
          </w:p>
        </w:tc>
      </w:tr>
      <w:tr w:rsidR="002562B9" w14:paraId="6F6AFB83" w14:textId="77777777">
        <w:trPr>
          <w:jc w:val="center"/>
        </w:trPr>
        <w:tc>
          <w:tcPr>
            <w:tcW w:w="2493" w:type="dxa"/>
          </w:tcPr>
          <w:p w14:paraId="2CB8E5AF" w14:textId="77777777" w:rsidR="002562B9" w:rsidRDefault="007A4474">
            <w:r>
              <w:rPr>
                <w:sz w:val="16"/>
              </w:rPr>
              <w:t>W44</w:t>
            </w:r>
          </w:p>
        </w:tc>
        <w:tc>
          <w:tcPr>
            <w:tcW w:w="2493" w:type="dxa"/>
          </w:tcPr>
          <w:p w14:paraId="4C502A7D" w14:textId="77777777" w:rsidR="002562B9" w:rsidRDefault="007A4474">
            <w:r>
              <w:rPr>
                <w:sz w:val="16"/>
              </w:rPr>
              <w:t>Wiad Lek 2025; B</w:t>
            </w:r>
          </w:p>
        </w:tc>
        <w:tc>
          <w:tcPr>
            <w:tcW w:w="2493" w:type="dxa"/>
          </w:tcPr>
          <w:p w14:paraId="3A7AD4ED" w14:textId="77777777" w:rsidR="002562B9" w:rsidRDefault="007A4474">
            <w:r>
              <w:rPr>
                <w:sz w:val="16"/>
              </w:rPr>
              <w:t>Expert rating of ChatGPT-4o one-month rehabilitation plans on six criteria</w:t>
            </w:r>
          </w:p>
        </w:tc>
        <w:tc>
          <w:tcPr>
            <w:tcW w:w="2493" w:type="dxa"/>
          </w:tcPr>
          <w:p w14:paraId="154767EF" w14:textId="77777777" w:rsidR="002562B9" w:rsidRDefault="007A4474">
            <w:r>
              <w:rPr>
                <w:sz w:val="16"/>
              </w:rPr>
              <w:t>50 comorbid clinical cases; ChatGPT-4o; two rehabilitation experts</w:t>
            </w:r>
          </w:p>
        </w:tc>
      </w:tr>
    </w:tbl>
    <w:p>
      <w:pPr>
        <w:pStyle w:val="Heading2"/>
        <w:keepNext/>
      </w:pPr>
      <w:r>
        <w:rPr>
          <w:rFonts w:ascii="Times New Roman" w:hAnsi="Times New Roman"/>
          <w:sz w:val="22"/>
        </w:rPr>
        <w:t>Table 2. Prescription quality, safety-related evidence, and principal findings.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w:t>
            </w:r>
          </w:p>
        </w:tc>
        <w:tc>
          <w:tcPr>
            <w:tcW w:type="dxa" w:w="2493"/>
            <w:vAlign w:val="center"/>
          </w:tcPr>
          <w:p>
            <w:r>
              <w:rPr>
                <w:rFonts w:ascii="Times New Roman" w:hAnsi="Times New Roman"/>
                <w:sz w:val="16"/>
              </w:rPr>
              <w:t>Principal finding</w:t>
            </w:r>
          </w:p>
        </w:tc>
        <w:tc>
          <w:tcPr>
            <w:tcW w:type="dxa" w:w="2493"/>
            <w:vAlign w:val="center"/>
          </w:tcPr>
          <w:p>
            <w:r>
              <w:rPr>
                <w:rFonts w:ascii="Times New Roman" w:hAnsi="Times New Roman"/>
                <w:sz w:val="16"/>
              </w:rPr>
              <w:t>Safety evidence / denominator</w:t>
            </w:r>
          </w:p>
        </w:tc>
        <w:tc>
          <w:tcPr>
            <w:tcW w:type="dxa" w:w="2493"/>
            <w:vAlign w:val="center"/>
          </w:tcPr>
          <w:p>
            <w:r>
              <w:rPr>
                <w:rFonts w:ascii="Times New Roman" w:hAnsi="Times New Roman"/>
                <w:sz w:val="16"/>
              </w:rPr>
              <w:t>Evidence location</w:t>
            </w:r>
          </w:p>
        </w:tc>
      </w:tr>
      <w:tr>
        <w:trPr>
          <w:cantSplit/>
        </w:trPr>
        <w:tc>
          <w:tcPr>
            <w:tcW w:type="dxa" w:w="2493"/>
            <w:vAlign w:val="center"/>
          </w:tcPr>
          <w:p>
            <w:r>
              <w:rPr>
                <w:rFonts w:ascii="Times New Roman" w:hAnsi="Times New Roman"/>
                <w:sz w:val="16"/>
              </w:rPr>
              <w:t>W01</w:t>
            </w:r>
          </w:p>
        </w:tc>
        <w:tc>
          <w:tcPr>
            <w:tcW w:type="dxa" w:w="2493"/>
            <w:vAlign w:val="center"/>
          </w:tcPr>
          <w:p>
            <w:r>
              <w:rPr>
                <w:rFonts w:ascii="Times New Roman" w:hAnsi="Times New Roman"/>
                <w:sz w:val="16"/>
              </w:rPr>
              <w:t>Generally safe and conservative; disease specificity and goal precision were limited.</w:t>
            </w:r>
          </w:p>
        </w:tc>
        <w:tc>
          <w:tcPr>
            <w:tcW w:type="dxa" w:w="2493"/>
            <w:vAlign w:val="center"/>
          </w:tcPr>
          <w:p>
            <w:r>
              <w:rPr>
                <w:rFonts w:ascii="Times New Roman" w:hAnsi="Times New Roman"/>
                <w:sz w:val="16"/>
              </w:rPr>
              <w:t>Class A/B output-safety evidence only; Class C human adverse events NR.</w:t>
            </w:r>
          </w:p>
        </w:tc>
        <w:tc>
          <w:tcPr>
            <w:tcW w:type="dxa" w:w="2493"/>
            <w:vAlign w:val="center"/>
          </w:tcPr>
          <w:p>
            <w:r>
              <w:rPr>
                <w:rFonts w:ascii="Times New Roman" w:hAnsi="Times New Roman"/>
                <w:sz w:val="16"/>
              </w:rPr>
              <w:t>Methods pp. 2–3; Table 2 p. 5; pp. 8–12</w:t>
            </w:r>
          </w:p>
        </w:tc>
      </w:tr>
      <w:tr>
        <w:trPr>
          <w:cantSplit/>
        </w:trPr>
        <w:tc>
          <w:tcPr>
            <w:tcW w:type="dxa" w:w="2493"/>
            <w:vAlign w:val="center"/>
          </w:tcPr>
          <w:p>
            <w:r>
              <w:rPr>
                <w:rFonts w:ascii="Times New Roman" w:hAnsi="Times New Roman"/>
                <w:sz w:val="16"/>
              </w:rPr>
              <w:t>W02</w:t>
            </w:r>
          </w:p>
        </w:tc>
        <w:tc>
          <w:tcPr>
            <w:tcW w:type="dxa" w:w="2493"/>
            <w:vAlign w:val="center"/>
          </w:tcPr>
          <w:p>
            <w:r>
              <w:rPr>
                <w:rFonts w:ascii="Times New Roman" w:hAnsi="Times New Roman"/>
                <w:sz w:val="16"/>
              </w:rPr>
              <w:t>Overall performance was moderate; model differences were limited, and professional revision remained necessary.</w:t>
            </w:r>
          </w:p>
        </w:tc>
        <w:tc>
          <w:tcPr>
            <w:tcW w:type="dxa" w:w="2493"/>
            <w:vAlign w:val="center"/>
          </w:tcPr>
          <w:p>
            <w:r>
              <w:rPr>
                <w:rFonts w:ascii="Times New Roman" w:hAnsi="Times New Roman"/>
                <w:sz w:val="16"/>
              </w:rPr>
              <w:t>Output-safety evidence only; no human adverse-event inference.</w:t>
            </w:r>
          </w:p>
        </w:tc>
        <w:tc>
          <w:tcPr>
            <w:tcW w:type="dxa" w:w="2493"/>
            <w:vAlign w:val="center"/>
          </w:tcPr>
          <w:p>
            <w:r>
              <w:rPr>
                <w:rFonts w:ascii="Times New Roman" w:hAnsi="Times New Roman"/>
                <w:sz w:val="16"/>
              </w:rPr>
              <w:t>Methods/Tables 4–5, pp. 2–7; outputs, pp. 16–26</w:t>
            </w:r>
          </w:p>
        </w:tc>
      </w:tr>
      <w:tr>
        <w:trPr>
          <w:cantSplit/>
        </w:trPr>
        <w:tc>
          <w:tcPr>
            <w:tcW w:type="dxa" w:w="2493"/>
            <w:vAlign w:val="center"/>
          </w:tcPr>
          <w:p>
            <w:r>
              <w:rPr>
                <w:rFonts w:ascii="Times New Roman" w:hAnsi="Times New Roman"/>
                <w:sz w:val="16"/>
              </w:rPr>
              <w:t>W03</w:t>
            </w:r>
          </w:p>
        </w:tc>
        <w:tc>
          <w:tcPr>
            <w:tcW w:type="dxa" w:w="2493"/>
            <w:vAlign w:val="center"/>
          </w:tcPr>
          <w:p>
            <w:r>
              <w:rPr>
                <w:rFonts w:ascii="Times New Roman" w:hAnsi="Times New Roman"/>
                <w:sz w:val="16"/>
              </w:rPr>
              <w:t>Safety score: 4.8/5 for the knowledge-graph system vs 3.1/5 for the general LLM.</w:t>
            </w:r>
          </w:p>
        </w:tc>
        <w:tc>
          <w:tcPr>
            <w:tcW w:type="dxa" w:w="2493"/>
            <w:vAlign w:val="center"/>
          </w:tcPr>
          <w:p>
            <w:r>
              <w:rPr>
                <w:rFonts w:ascii="Times New Roman" w:hAnsi="Times New Roman"/>
                <w:sz w:val="16"/>
              </w:rPr>
              <w:t>Output-safety rating; not a human safety outcome.</w:t>
            </w:r>
          </w:p>
        </w:tc>
        <w:tc>
          <w:tcPr>
            <w:tcW w:type="dxa" w:w="2493"/>
            <w:vAlign w:val="center"/>
          </w:tcPr>
          <w:p>
            <w:r>
              <w:rPr>
                <w:rFonts w:ascii="Times New Roman" w:hAnsi="Times New Roman"/>
                <w:sz w:val="16"/>
              </w:rPr>
              <w:t>Schema p. 3; Methods/Results pp. 6–11</w:t>
            </w:r>
          </w:p>
        </w:tc>
      </w:tr>
      <w:tr>
        <w:trPr>
          <w:cantSplit/>
        </w:trPr>
        <w:tc>
          <w:tcPr>
            <w:tcW w:type="dxa" w:w="2493"/>
            <w:vAlign w:val="center"/>
          </w:tcPr>
          <w:p>
            <w:r>
              <w:rPr>
                <w:rFonts w:ascii="Times New Roman" w:hAnsi="Times New Roman"/>
                <w:sz w:val="16"/>
              </w:rPr>
              <w:t>W04</w:t>
            </w:r>
          </w:p>
        </w:tc>
        <w:tc>
          <w:tcPr>
            <w:tcW w:type="dxa" w:w="2493"/>
            <w:vAlign w:val="center"/>
          </w:tcPr>
          <w:p>
            <w:r>
              <w:rPr>
                <w:rFonts w:ascii="Times New Roman" w:hAnsi="Times New Roman"/>
                <w:sz w:val="16"/>
              </w:rPr>
              <w:t>Outputs could serve as drafts; sex-specific differences were insufficiently addressed and plans required refinement.</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Methods/Results pp. 2–5</w:t>
            </w:r>
          </w:p>
        </w:tc>
      </w:tr>
      <w:tr>
        <w:trPr>
          <w:cantSplit/>
        </w:trPr>
        <w:tc>
          <w:tcPr>
            <w:tcW w:type="dxa" w:w="2493"/>
            <w:vAlign w:val="center"/>
          </w:tcPr>
          <w:p>
            <w:r>
              <w:rPr>
                <w:rFonts w:ascii="Times New Roman" w:hAnsi="Times New Roman"/>
                <w:sz w:val="16"/>
              </w:rPr>
              <w:t>W05</w:t>
            </w:r>
          </w:p>
        </w:tc>
        <w:tc>
          <w:tcPr>
            <w:tcW w:type="dxa" w:w="2493"/>
            <w:vAlign w:val="center"/>
          </w:tcPr>
          <w:p>
            <w:r>
              <w:rPr>
                <w:rFonts w:ascii="Times New Roman" w:hAnsi="Times New Roman"/>
                <w:sz w:val="16"/>
              </w:rPr>
              <w:t>Twenty-seven of 28 comparisons were not statistically significant; more detailed prompts produced higher quality.</w:t>
            </w:r>
          </w:p>
        </w:tc>
        <w:tc>
          <w:tcPr>
            <w:tcW w:type="dxa" w:w="2493"/>
            <w:vAlign w:val="center"/>
          </w:tcPr>
          <w:p>
            <w:r>
              <w:rPr>
                <w:rFonts w:ascii="Times New Roman" w:hAnsi="Times New Roman"/>
                <w:sz w:val="16"/>
              </w:rPr>
              <w:t>Output evaluation; not a human adverse-event outcome.</w:t>
            </w:r>
          </w:p>
        </w:tc>
        <w:tc>
          <w:tcPr>
            <w:tcW w:type="dxa" w:w="2493"/>
            <w:vAlign w:val="center"/>
          </w:tcPr>
          <w:p>
            <w:r>
              <w:rPr>
                <w:rFonts w:ascii="Times New Roman" w:hAnsi="Times New Roman"/>
                <w:sz w:val="16"/>
              </w:rPr>
              <w:t>pp. 5–6; appendices pp. 16–33</w:t>
            </w:r>
          </w:p>
        </w:tc>
      </w:tr>
      <w:tr>
        <w:trPr>
          <w:cantSplit/>
        </w:trPr>
        <w:tc>
          <w:tcPr>
            <w:tcW w:type="dxa" w:w="2493"/>
            <w:vAlign w:val="center"/>
          </w:tcPr>
          <w:p>
            <w:r>
              <w:rPr>
                <w:rFonts w:ascii="Times New Roman" w:hAnsi="Times New Roman"/>
                <w:sz w:val="16"/>
              </w:rPr>
              <w:t>W06</w:t>
            </w:r>
          </w:p>
        </w:tc>
        <w:tc>
          <w:tcPr>
            <w:tcW w:type="dxa" w:w="2493"/>
            <w:vAlign w:val="center"/>
          </w:tcPr>
          <w:p>
            <w:r>
              <w:rPr>
                <w:rFonts w:ascii="Times New Roman" w:hAnsi="Times New Roman"/>
                <w:sz w:val="16"/>
              </w:rPr>
              <w:t>Scores below 3 were reported for 19, 11, and 1 indicators, respectively; ratings improved with additional input.</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Methods pp. 2–5; outputs pp. 9–17</w:t>
            </w:r>
          </w:p>
        </w:tc>
      </w:tr>
      <w:tr>
        <w:trPr>
          <w:cantSplit/>
        </w:trPr>
        <w:tc>
          <w:tcPr>
            <w:tcW w:type="dxa" w:w="2493"/>
            <w:vAlign w:val="center"/>
          </w:tcPr>
          <w:p>
            <w:r>
              <w:rPr>
                <w:rFonts w:ascii="Times New Roman" w:hAnsi="Times New Roman"/>
                <w:sz w:val="16"/>
              </w:rPr>
              <w:t>W07</w:t>
            </w:r>
          </w:p>
        </w:tc>
        <w:tc>
          <w:tcPr>
            <w:tcW w:type="dxa" w:w="2493"/>
            <w:vAlign w:val="center"/>
          </w:tcPr>
          <w:p>
            <w:r>
              <w:rPr>
                <w:rFonts w:ascii="Times New Roman" w:hAnsi="Times New Roman"/>
                <w:sz w:val="16"/>
              </w:rPr>
              <w:t>Total scores were 50.23, 47.42, 44.02, and 40.30/60, respectively.</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Methods/Tables 2–3, pp. 3–6</w:t>
            </w:r>
          </w:p>
        </w:tc>
      </w:tr>
      <w:tr>
        <w:trPr>
          <w:cantSplit/>
        </w:trPr>
        <w:tc>
          <w:tcPr>
            <w:tcW w:type="dxa" w:w="2493"/>
            <w:vAlign w:val="center"/>
          </w:tcPr>
          <w:p>
            <w:r>
              <w:rPr>
                <w:rFonts w:ascii="Times New Roman" w:hAnsi="Times New Roman"/>
                <w:sz w:val="16"/>
              </w:rPr>
              <w:t>W08</w:t>
            </w:r>
          </w:p>
        </w:tc>
        <w:tc>
          <w:tcPr>
            <w:tcW w:type="dxa" w:w="2493"/>
            <w:vAlign w:val="center"/>
          </w:tcPr>
          <w:p>
            <w:r>
              <w:rPr>
                <w:rFonts w:ascii="Times New Roman" w:hAnsi="Times New Roman"/>
                <w:sz w:val="16"/>
              </w:rPr>
              <w:t>Guideline adherence was 4.5/5 and safety was 5.0/5; no clearly unsafe prescription was identified.</w:t>
            </w:r>
          </w:p>
        </w:tc>
        <w:tc>
          <w:tcPr>
            <w:tcW w:type="dxa" w:w="2493"/>
            <w:vAlign w:val="center"/>
          </w:tcPr>
          <w:p>
            <w:r>
              <w:rPr>
                <w:rFonts w:ascii="Times New Roman" w:hAnsi="Times New Roman"/>
                <w:sz w:val="16"/>
              </w:rPr>
              <w:t>Expert-rated output safety; not human safety.</w:t>
            </w:r>
          </w:p>
        </w:tc>
        <w:tc>
          <w:tcPr>
            <w:tcW w:type="dxa" w:w="2493"/>
            <w:vAlign w:val="center"/>
          </w:tcPr>
          <w:p>
            <w:r>
              <w:rPr>
                <w:rFonts w:ascii="Times New Roman" w:hAnsi="Times New Roman"/>
                <w:sz w:val="16"/>
              </w:rPr>
              <w:t>Abstract p. 1; Methods/Results/Table 2, pp. 2–5</w:t>
            </w:r>
          </w:p>
        </w:tc>
      </w:tr>
      <w:tr>
        <w:trPr>
          <w:cantSplit/>
        </w:trPr>
        <w:tc>
          <w:tcPr>
            <w:tcW w:type="dxa" w:w="2493"/>
            <w:vAlign w:val="center"/>
          </w:tcPr>
          <w:p>
            <w:r>
              <w:rPr>
                <w:rFonts w:ascii="Times New Roman" w:hAnsi="Times New Roman"/>
                <w:sz w:val="16"/>
              </w:rPr>
              <w:t>W09</w:t>
            </w:r>
          </w:p>
        </w:tc>
        <w:tc>
          <w:tcPr>
            <w:tcW w:type="dxa" w:w="2493"/>
            <w:vAlign w:val="center"/>
          </w:tcPr>
          <w:p>
            <w:r>
              <w:rPr>
                <w:rFonts w:ascii="Times New Roman" w:hAnsi="Times New Roman"/>
                <w:sz w:val="16"/>
              </w:rPr>
              <w:t>Version 4.1 received higher ratings; risk recognition and individualization remained limited.</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Abstract pp. 1, 3–5; Methods/output; Results pp. 6–13</w:t>
            </w:r>
          </w:p>
        </w:tc>
      </w:tr>
      <w:tr>
        <w:trPr>
          <w:cantSplit/>
        </w:trPr>
        <w:tc>
          <w:tcPr>
            <w:tcW w:type="dxa" w:w="2493"/>
            <w:vAlign w:val="center"/>
          </w:tcPr>
          <w:p>
            <w:r>
              <w:rPr>
                <w:rFonts w:ascii="Times New Roman" w:hAnsi="Times New Roman"/>
                <w:sz w:val="16"/>
              </w:rPr>
              <w:t>W10</w:t>
            </w:r>
          </w:p>
        </w:tc>
        <w:tc>
          <w:tcPr>
            <w:tcW w:type="dxa" w:w="2493"/>
            <w:vAlign w:val="center"/>
          </w:tcPr>
          <w:p>
            <w:r>
              <w:rPr>
                <w:rFonts w:ascii="Times New Roman" w:hAnsi="Times New Roman"/>
                <w:sz w:val="16"/>
              </w:rPr>
              <w:t>Most plans had safety gaps, most notably in complex comorbidity scenarios.</w:t>
            </w:r>
          </w:p>
        </w:tc>
        <w:tc>
          <w:tcPr>
            <w:tcW w:type="dxa" w:w="2493"/>
            <w:vAlign w:val="center"/>
          </w:tcPr>
          <w:p>
            <w:r>
              <w:rPr>
                <w:rFonts w:ascii="Times New Roman" w:hAnsi="Times New Roman"/>
                <w:sz w:val="16"/>
              </w:rPr>
              <w:t>Expert assessment of generated plans; not human adverse events.</w:t>
            </w:r>
          </w:p>
        </w:tc>
        <w:tc>
          <w:tcPr>
            <w:tcW w:type="dxa" w:w="2493"/>
            <w:vAlign w:val="center"/>
          </w:tcPr>
          <w:p>
            <w:r>
              <w:rPr>
                <w:rFonts w:ascii="Times New Roman" w:hAnsi="Times New Roman"/>
                <w:sz w:val="16"/>
              </w:rPr>
              <w:t>Abstract and Tables 2–4/Results, pp. 1, 3–8</w:t>
            </w:r>
          </w:p>
        </w:tc>
      </w:tr>
      <w:tr>
        <w:trPr>
          <w:cantSplit/>
        </w:trPr>
        <w:tc>
          <w:tcPr>
            <w:tcW w:type="dxa" w:w="2493"/>
            <w:vAlign w:val="center"/>
          </w:tcPr>
          <w:p>
            <w:r>
              <w:rPr>
                <w:rFonts w:ascii="Times New Roman" w:hAnsi="Times New Roman"/>
                <w:sz w:val="16"/>
              </w:rPr>
              <w:t>W11</w:t>
            </w:r>
          </w:p>
        </w:tc>
        <w:tc>
          <w:tcPr>
            <w:tcW w:type="dxa" w:w="2493"/>
            <w:vAlign w:val="center"/>
          </w:tcPr>
          <w:p>
            <w:r>
              <w:rPr>
                <w:rFonts w:ascii="Times New Roman" w:hAnsi="Times New Roman"/>
                <w:sz w:val="16"/>
              </w:rPr>
              <w:t>For GPT: accuracy 4.64/6, completeness 2.25/3, and applicability 3.05/4.</w:t>
            </w:r>
          </w:p>
        </w:tc>
        <w:tc>
          <w:tcPr>
            <w:tcW w:type="dxa" w:w="2493"/>
            <w:vAlign w:val="center"/>
          </w:tcPr>
          <w:p>
            <w:r>
              <w:rPr>
                <w:rFonts w:ascii="Times New Roman" w:hAnsi="Times New Roman"/>
                <w:sz w:val="16"/>
              </w:rPr>
              <w:t>Output-safety evidence only.</w:t>
            </w:r>
          </w:p>
        </w:tc>
        <w:tc>
          <w:tcPr>
            <w:tcW w:type="dxa" w:w="2493"/>
            <w:vAlign w:val="center"/>
          </w:tcPr>
          <w:p>
            <w:r>
              <w:rPr>
                <w:rFonts w:ascii="Times New Roman" w:hAnsi="Times New Roman"/>
                <w:sz w:val="16"/>
              </w:rPr>
              <w:t>Methods p. 1; prescriptions/results pp. 5–12</w:t>
            </w:r>
          </w:p>
        </w:tc>
      </w:tr>
      <w:tr>
        <w:trPr>
          <w:cantSplit/>
        </w:trPr>
        <w:tc>
          <w:tcPr>
            <w:tcW w:type="dxa" w:w="2493"/>
            <w:vAlign w:val="center"/>
          </w:tcPr>
          <w:p>
            <w:r>
              <w:rPr>
                <w:rFonts w:ascii="Times New Roman" w:hAnsi="Times New Roman"/>
                <w:sz w:val="16"/>
              </w:rPr>
              <w:t>W12</w:t>
            </w:r>
          </w:p>
        </w:tc>
        <w:tc>
          <w:tcPr>
            <w:tcW w:type="dxa" w:w="2493"/>
            <w:vAlign w:val="center"/>
          </w:tcPr>
          <w:p>
            <w:r>
              <w:rPr>
                <w:rFonts w:ascii="Times New Roman" w:hAnsi="Times New Roman"/>
                <w:sz w:val="16"/>
              </w:rPr>
              <w:t>Trust in the AI plan was rated 3.73 vs 3.36; this did not validate safety.</w:t>
            </w:r>
          </w:p>
        </w:tc>
        <w:tc>
          <w:tcPr>
            <w:tcW w:type="dxa" w:w="2493"/>
            <w:vAlign w:val="center"/>
          </w:tcPr>
          <w:p>
            <w:r>
              <w:rPr>
                <w:rFonts w:ascii="Times New Roman" w:hAnsi="Times New Roman"/>
                <w:sz w:val="16"/>
              </w:rPr>
              <w:t>User trust is not a safety outcome.</w:t>
            </w:r>
          </w:p>
        </w:tc>
        <w:tc>
          <w:tcPr>
            <w:tcW w:type="dxa" w:w="2493"/>
            <w:vAlign w:val="center"/>
          </w:tcPr>
          <w:p>
            <w:r>
              <w:rPr>
                <w:rFonts w:ascii="Times New Roman" w:hAnsi="Times New Roman"/>
                <w:sz w:val="16"/>
              </w:rPr>
              <w:t>Methods/Results pp. 1–4</w:t>
            </w:r>
          </w:p>
        </w:tc>
      </w:tr>
      <w:tr>
        <w:trPr>
          <w:cantSplit/>
        </w:trPr>
        <w:tc>
          <w:tcPr>
            <w:tcW w:type="dxa" w:w="2493"/>
            <w:vAlign w:val="center"/>
          </w:tcPr>
          <w:p>
            <w:r>
              <w:rPr>
                <w:rFonts w:ascii="Times New Roman" w:hAnsi="Times New Roman"/>
                <w:sz w:val="16"/>
              </w:rPr>
              <w:t>W13</w:t>
            </w:r>
          </w:p>
        </w:tc>
        <w:tc>
          <w:tcPr>
            <w:tcW w:type="dxa" w:w="2493"/>
            <w:vAlign w:val="center"/>
          </w:tcPr>
          <w:p>
            <w:r>
              <w:rPr>
                <w:rFonts w:ascii="Times New Roman" w:hAnsi="Times New Roman"/>
                <w:sz w:val="16"/>
              </w:rPr>
              <w:t>Semantic similarity ranged from 0.903 to 0.955; unique-output proportions ranged from 27.5% to 100%.</w:t>
            </w:r>
          </w:p>
        </w:tc>
        <w:tc>
          <w:tcPr>
            <w:tcW w:type="dxa" w:w="2493"/>
            <w:vAlign w:val="center"/>
          </w:tcPr>
          <w:p>
            <w:r>
              <w:rPr>
                <w:rFonts w:ascii="Times New Roman" w:hAnsi="Times New Roman"/>
                <w:sz w:val="16"/>
              </w:rPr>
              <w:t>Safety-expression analysis of generated outputs; not human adverse events.</w:t>
            </w:r>
          </w:p>
        </w:tc>
        <w:tc>
          <w:tcPr>
            <w:tcW w:type="dxa" w:w="2493"/>
            <w:vAlign w:val="center"/>
          </w:tcPr>
          <w:p>
            <w:r>
              <w:rPr>
                <w:rFonts w:ascii="Times New Roman" w:hAnsi="Times New Roman"/>
                <w:sz w:val="16"/>
              </w:rPr>
              <w:t>Abstract p. 2; Methods pp. 4–6; Tables 1–6 pp. 7–12; Supplement pp. 19–24</w:t>
            </w:r>
          </w:p>
        </w:tc>
      </w:tr>
      <w:tr>
        <w:trPr>
          <w:cantSplit/>
        </w:trPr>
        <w:tc>
          <w:tcPr>
            <w:tcW w:type="dxa" w:w="2493"/>
            <w:vAlign w:val="center"/>
          </w:tcPr>
          <w:p>
            <w:r>
              <w:rPr>
                <w:rFonts w:ascii="Times New Roman" w:hAnsi="Times New Roman"/>
                <w:sz w:val="16"/>
              </w:rPr>
              <w:t>W14</w:t>
            </w:r>
          </w:p>
        </w:tc>
        <w:tc>
          <w:tcPr>
            <w:tcW w:type="dxa" w:w="2493"/>
            <w:vAlign w:val="center"/>
          </w:tcPr>
          <w:p>
            <w:r>
              <w:rPr>
                <w:rFonts w:ascii="Times New Roman" w:hAnsi="Times New Roman"/>
                <w:sz w:val="16"/>
              </w:rPr>
              <w:t>Expert-generated plans rated highest, novice-plus-AI plans intermediate, and AI-only plans lowest.</w:t>
            </w:r>
          </w:p>
        </w:tc>
        <w:tc>
          <w:tcPr>
            <w:tcW w:type="dxa" w:w="2493"/>
            <w:vAlign w:val="center"/>
          </w:tcPr>
          <w:p>
            <w:r>
              <w:rPr>
                <w:rFonts w:ascii="Times New Roman" w:hAnsi="Times New Roman"/>
                <w:sz w:val="16"/>
              </w:rPr>
              <w:t>Output comparison; no human implementation safety outcome.</w:t>
            </w:r>
          </w:p>
        </w:tc>
        <w:tc>
          <w:tcPr>
            <w:tcW w:type="dxa" w:w="2493"/>
            <w:vAlign w:val="center"/>
          </w:tcPr>
          <w:p>
            <w:r>
              <w:rPr>
                <w:rFonts w:ascii="Times New Roman" w:hAnsi="Times New Roman"/>
                <w:sz w:val="16"/>
              </w:rPr>
              <w:t>Abstract p. 1; Methods/Results pp. 3–10</w:t>
            </w:r>
          </w:p>
        </w:tc>
      </w:tr>
      <w:tr>
        <w:trPr>
          <w:cantSplit/>
        </w:trPr>
        <w:tc>
          <w:tcPr>
            <w:tcW w:type="dxa" w:w="2493"/>
            <w:vAlign w:val="center"/>
          </w:tcPr>
          <w:p>
            <w:r>
              <w:rPr>
                <w:rFonts w:ascii="Times New Roman" w:hAnsi="Times New Roman"/>
                <w:sz w:val="16"/>
              </w:rPr>
              <w:t>W15</w:t>
            </w:r>
          </w:p>
        </w:tc>
        <w:tc>
          <w:tcPr>
            <w:tcW w:type="dxa" w:w="2493"/>
            <w:vAlign w:val="center"/>
          </w:tcPr>
          <w:p>
            <w:r>
              <w:rPr>
                <w:rFonts w:ascii="Times New Roman" w:hAnsi="Times New Roman"/>
                <w:sz w:val="16"/>
              </w:rPr>
              <w:t>Ratings generally improved at Stage 2 but were inconsistent at Stage 3; ICC=0.139.</w:t>
            </w:r>
          </w:p>
        </w:tc>
        <w:tc>
          <w:tcPr>
            <w:tcW w:type="dxa" w:w="2493"/>
            <w:vAlign w:val="center"/>
          </w:tcPr>
          <w:p>
            <w:r>
              <w:rPr>
                <w:rFonts w:ascii="Times New Roman" w:hAnsi="Times New Roman"/>
                <w:sz w:val="16"/>
              </w:rPr>
              <w:t>Expert evaluation of output safety; not patient harm.</w:t>
            </w:r>
          </w:p>
        </w:tc>
        <w:tc>
          <w:tcPr>
            <w:tcW w:type="dxa" w:w="2493"/>
            <w:vAlign w:val="center"/>
          </w:tcPr>
          <w:p>
            <w:r>
              <w:rPr>
                <w:rFonts w:ascii="Times New Roman" w:hAnsi="Times New Roman"/>
                <w:sz w:val="16"/>
              </w:rPr>
              <w:t>Abstract p. 1; Methods/Results and rubric</w:t>
            </w:r>
          </w:p>
        </w:tc>
      </w:tr>
      <w:tr>
        <w:trPr>
          <w:cantSplit/>
        </w:trPr>
        <w:tc>
          <w:tcPr>
            <w:tcW w:type="dxa" w:w="2493"/>
            <w:vAlign w:val="center"/>
          </w:tcPr>
          <w:p>
            <w:r>
              <w:rPr>
                <w:rFonts w:ascii="Times New Roman" w:hAnsi="Times New Roman"/>
                <w:sz w:val="16"/>
              </w:rPr>
              <w:t>W16</w:t>
            </w:r>
          </w:p>
        </w:tc>
        <w:tc>
          <w:tcPr>
            <w:tcW w:type="dxa" w:w="2493"/>
            <w:vAlign w:val="center"/>
          </w:tcPr>
          <w:p>
            <w:r>
              <w:rPr>
                <w:rFonts w:ascii="Times New Roman" w:hAnsi="Times New Roman"/>
                <w:sz w:val="16"/>
              </w:rPr>
              <w:t>DeepSeek was rated higher overall; ChatGPT more often showed generalization and differential-diagnosis omissions.</w:t>
            </w:r>
          </w:p>
        </w:tc>
        <w:tc>
          <w:tcPr>
            <w:tcW w:type="dxa" w:w="2493"/>
            <w:vAlign w:val="center"/>
          </w:tcPr>
          <w:p>
            <w:r>
              <w:rPr>
                <w:rFonts w:ascii="Times New Roman" w:hAnsi="Times New Roman"/>
                <w:sz w:val="16"/>
              </w:rPr>
              <w:t>Output-level risk evaluation only.</w:t>
            </w:r>
          </w:p>
        </w:tc>
        <w:tc>
          <w:tcPr>
            <w:tcW w:type="dxa" w:w="2493"/>
            <w:vAlign w:val="center"/>
          </w:tcPr>
          <w:p>
            <w:r>
              <w:rPr>
                <w:rFonts w:ascii="Times New Roman" w:hAnsi="Times New Roman"/>
                <w:sz w:val="16"/>
              </w:rPr>
              <w:t>Methods/Tables 2–5/Results pp. 4–9</w:t>
            </w:r>
          </w:p>
        </w:tc>
      </w:tr>
      <w:tr>
        <w:trPr>
          <w:cantSplit/>
        </w:trPr>
        <w:tc>
          <w:tcPr>
            <w:tcW w:type="dxa" w:w="2493"/>
            <w:vAlign w:val="center"/>
          </w:tcPr>
          <w:p>
            <w:r>
              <w:rPr>
                <w:rFonts w:ascii="Times New Roman" w:hAnsi="Times New Roman"/>
                <w:sz w:val="16"/>
              </w:rPr>
              <w:t>W17</w:t>
            </w:r>
          </w:p>
        </w:tc>
        <w:tc>
          <w:tcPr>
            <w:tcW w:type="dxa" w:w="2493"/>
            <w:vAlign w:val="center"/>
          </w:tcPr>
          <w:p>
            <w:r>
              <w:rPr>
                <w:rFonts w:ascii="Times New Roman" w:hAnsi="Times New Roman"/>
                <w:sz w:val="16"/>
              </w:rPr>
              <w:t>Intervention-group LTEQ increased from 6.69 to 34; adverse events were not reported.</w:t>
            </w:r>
          </w:p>
        </w:tc>
        <w:tc>
          <w:tcPr>
            <w:tcW w:type="dxa" w:w="2493"/>
            <w:vAlign w:val="center"/>
          </w:tcPr>
          <w:p>
            <w:r>
              <w:rPr>
                <w:rFonts w:ascii="Times New Roman" w:hAnsi="Times New Roman"/>
                <w:sz w:val="16"/>
              </w:rPr>
              <w:t>Human implementation; adverse-event outcome NR.</w:t>
            </w:r>
          </w:p>
        </w:tc>
        <w:tc>
          <w:tcPr>
            <w:tcW w:type="dxa" w:w="2493"/>
            <w:vAlign w:val="center"/>
          </w:tcPr>
          <w:p>
            <w:r>
              <w:rPr>
                <w:rFonts w:ascii="Times New Roman" w:hAnsi="Times New Roman"/>
                <w:sz w:val="16"/>
              </w:rPr>
              <w:t>Methods/Tables 2–3 pp. 3–6</w:t>
            </w:r>
          </w:p>
        </w:tc>
      </w:tr>
      <w:tr>
        <w:trPr>
          <w:cantSplit/>
        </w:trPr>
        <w:tc>
          <w:tcPr>
            <w:tcW w:type="dxa" w:w="2493"/>
            <w:vAlign w:val="center"/>
          </w:tcPr>
          <w:p>
            <w:r>
              <w:rPr>
                <w:rFonts w:ascii="Times New Roman" w:hAnsi="Times New Roman"/>
                <w:sz w:val="16"/>
              </w:rPr>
              <w:t>W18</w:t>
            </w:r>
          </w:p>
        </w:tc>
        <w:tc>
          <w:tcPr>
            <w:tcW w:type="dxa" w:w="2493"/>
            <w:vAlign w:val="center"/>
          </w:tcPr>
          <w:p>
            <w:r>
              <w:rPr>
                <w:rFonts w:ascii="Times New Roman" w:hAnsi="Times New Roman"/>
                <w:sz w:val="16"/>
              </w:rPr>
              <w:t>With detailed prompts, safety ratings were 3.95 vs 3.33/5 and output variability was lower.</w:t>
            </w:r>
          </w:p>
        </w:tc>
        <w:tc>
          <w:tcPr>
            <w:tcW w:type="dxa" w:w="2493"/>
            <w:vAlign w:val="center"/>
          </w:tcPr>
          <w:p>
            <w:r>
              <w:rPr>
                <w:rFonts w:ascii="Times New Roman" w:hAnsi="Times New Roman"/>
                <w:sz w:val="16"/>
              </w:rPr>
              <w:t>Output safety rating; not human safety.</w:t>
            </w:r>
          </w:p>
        </w:tc>
        <w:tc>
          <w:tcPr>
            <w:tcW w:type="dxa" w:w="2493"/>
            <w:vAlign w:val="center"/>
          </w:tcPr>
          <w:p>
            <w:r>
              <w:rPr>
                <w:rFonts w:ascii="Times New Roman" w:hAnsi="Times New Roman"/>
                <w:sz w:val="16"/>
              </w:rPr>
              <w:t>Abstract p. 1; Methods/Results</w:t>
            </w:r>
          </w:p>
        </w:tc>
      </w:tr>
      <w:tr>
        <w:trPr>
          <w:cantSplit/>
        </w:trPr>
        <w:tc>
          <w:tcPr>
            <w:tcW w:type="dxa" w:w="2493"/>
            <w:vAlign w:val="center"/>
          </w:tcPr>
          <w:p>
            <w:r>
              <w:rPr>
                <w:rFonts w:ascii="Times New Roman" w:hAnsi="Times New Roman"/>
                <w:sz w:val="16"/>
              </w:rPr>
              <w:t>W20</w:t>
            </w:r>
          </w:p>
        </w:tc>
        <w:tc>
          <w:tcPr>
            <w:tcW w:type="dxa" w:w="2493"/>
            <w:vAlign w:val="center"/>
          </w:tcPr>
          <w:p>
            <w:r>
              <w:rPr>
                <w:rFonts w:ascii="Times New Roman" w:hAnsi="Times New Roman"/>
                <w:sz w:val="16"/>
              </w:rPr>
              <w:t>Overall rating 3.85/5; ACL 1.88 and clavicle fracture 5.00.</w:t>
            </w:r>
          </w:p>
        </w:tc>
        <w:tc>
          <w:tcPr>
            <w:tcW w:type="dxa" w:w="2493"/>
            <w:vAlign w:val="center"/>
          </w:tcPr>
          <w:p>
            <w:r>
              <w:rPr>
                <w:rFonts w:ascii="Times New Roman" w:hAnsi="Times New Roman"/>
                <w:sz w:val="16"/>
              </w:rPr>
              <w:t>Expert-rated output; not human adverse events.</w:t>
            </w:r>
          </w:p>
        </w:tc>
        <w:tc>
          <w:tcPr>
            <w:tcW w:type="dxa" w:w="2493"/>
            <w:vAlign w:val="center"/>
          </w:tcPr>
          <w:p>
            <w:r>
              <w:rPr>
                <w:rFonts w:ascii="Times New Roman" w:hAnsi="Times New Roman"/>
                <w:sz w:val="16"/>
              </w:rPr>
              <w:t>Abstract p. 1; six-week program and expert assessment</w:t>
            </w:r>
          </w:p>
        </w:tc>
      </w:tr>
      <w:tr>
        <w:trPr>
          <w:cantSplit/>
        </w:trPr>
        <w:tc>
          <w:tcPr>
            <w:tcW w:type="dxa" w:w="2493"/>
            <w:vAlign w:val="center"/>
          </w:tcPr>
          <w:p>
            <w:r>
              <w:rPr>
                <w:rFonts w:ascii="Times New Roman" w:hAnsi="Times New Roman"/>
                <w:sz w:val="16"/>
              </w:rPr>
              <w:t>W21</w:t>
            </w:r>
          </w:p>
        </w:tc>
        <w:tc>
          <w:tcPr>
            <w:tcW w:type="dxa" w:w="2493"/>
            <w:vAlign w:val="center"/>
          </w:tcPr>
          <w:p>
            <w:r>
              <w:rPr>
                <w:rFonts w:ascii="Times New Roman" w:hAnsi="Times New Roman"/>
                <w:sz w:val="16"/>
              </w:rPr>
              <w:t>ChatGPT had the highest quality ratings; Doubao was most stable but had lower quality ratings.</w:t>
            </w:r>
          </w:p>
        </w:tc>
        <w:tc>
          <w:tcPr>
            <w:tcW w:type="dxa" w:w="2493"/>
            <w:vAlign w:val="center"/>
          </w:tcPr>
          <w:p>
            <w:r>
              <w:rPr>
                <w:rFonts w:ascii="Times New Roman" w:hAnsi="Times New Roman"/>
                <w:sz w:val="16"/>
              </w:rPr>
              <w:t>Repeated-generation and expert-rated output evidence.</w:t>
            </w:r>
          </w:p>
        </w:tc>
        <w:tc>
          <w:tcPr>
            <w:tcW w:type="dxa" w:w="2493"/>
            <w:vAlign w:val="center"/>
          </w:tcPr>
          <w:p>
            <w:r>
              <w:rPr>
                <w:rFonts w:ascii="Times New Roman" w:hAnsi="Times New Roman"/>
                <w:sz w:val="16"/>
              </w:rPr>
              <w:t>Methods/Tables 2 and 5, pp. 3–10</w:t>
            </w:r>
          </w:p>
        </w:tc>
      </w:tr>
      <w:tr>
        <w:trPr>
          <w:cantSplit/>
        </w:trPr>
        <w:tc>
          <w:tcPr>
            <w:tcW w:type="dxa" w:w="2493"/>
            <w:vAlign w:val="center"/>
          </w:tcPr>
          <w:p>
            <w:r>
              <w:rPr>
                <w:rFonts w:ascii="Times New Roman" w:hAnsi="Times New Roman"/>
                <w:sz w:val="16"/>
              </w:rPr>
              <w:t>W22</w:t>
            </w:r>
          </w:p>
        </w:tc>
        <w:tc>
          <w:tcPr>
            <w:tcW w:type="dxa" w:w="2493"/>
            <w:vAlign w:val="center"/>
          </w:tcPr>
          <w:p>
            <w:r>
              <w:rPr>
                <w:rFonts w:ascii="Times New Roman" w:hAnsi="Times New Roman"/>
                <w:sz w:val="16"/>
              </w:rPr>
              <w:t>Completeness and accuracy were reported; safety denominators cannot be inferred directly from 26 cases.</w:t>
            </w:r>
          </w:p>
        </w:tc>
        <w:tc>
          <w:tcPr>
            <w:tcW w:type="dxa" w:w="2493"/>
            <w:vAlign w:val="center"/>
          </w:tcPr>
          <w:p>
            <w:r>
              <w:rPr>
                <w:rFonts w:ascii="Times New Roman" w:hAnsi="Times New Roman"/>
                <w:sz w:val="16"/>
              </w:rPr>
              <w:t>Full-text extraction of safety denominators remains incomplete in the source table.</w:t>
            </w:r>
          </w:p>
        </w:tc>
        <w:tc>
          <w:tcPr>
            <w:tcW w:type="dxa" w:w="2493"/>
            <w:vAlign w:val="center"/>
          </w:tcPr>
          <w:p>
            <w:r>
              <w:rPr>
                <w:rFonts w:ascii="Times New Roman" w:hAnsi="Times New Roman"/>
                <w:sz w:val="16"/>
              </w:rPr>
              <w:t>Abstract p. 1; coding/results pp. 3–6</w:t>
            </w:r>
          </w:p>
        </w:tc>
      </w:tr>
      <w:tr>
        <w:trPr>
          <w:cantSplit/>
        </w:trPr>
        <w:tc>
          <w:tcPr>
            <w:tcW w:type="dxa" w:w="2493"/>
            <w:vAlign w:val="center"/>
          </w:tcPr>
          <w:p>
            <w:r>
              <w:rPr>
                <w:rFonts w:ascii="Times New Roman" w:hAnsi="Times New Roman"/>
                <w:sz w:val="16"/>
              </w:rPr>
              <w:t>W23</w:t>
            </w:r>
          </w:p>
        </w:tc>
        <w:tc>
          <w:tcPr>
            <w:tcW w:type="dxa" w:w="2493"/>
            <w:vAlign w:val="center"/>
          </w:tcPr>
          <w:p>
            <w:r>
              <w:rPr>
                <w:rFonts w:ascii="Times New Roman" w:hAnsi="Times New Roman"/>
                <w:sz w:val="16"/>
              </w:rPr>
              <w:t>Compared 16-week GPT-4 and coach plans for the same real individual; activities and doses were specified, but evidence was limited to one case.</w:t>
            </w:r>
          </w:p>
        </w:tc>
        <w:tc>
          <w:tcPr>
            <w:tcW w:type="dxa" w:w="2493"/>
            <w:vAlign w:val="center"/>
          </w:tcPr>
          <w:p>
            <w:r>
              <w:rPr>
                <w:rFonts w:ascii="Times New Roman" w:hAnsi="Times New Roman"/>
                <w:sz w:val="16"/>
              </w:rPr>
              <w:t>Class B output applicability; not human implementation safety.</w:t>
            </w:r>
          </w:p>
        </w:tc>
        <w:tc>
          <w:tcPr>
            <w:tcW w:type="dxa" w:w="2493"/>
            <w:vAlign w:val="center"/>
          </w:tcPr>
          <w:p>
            <w:r>
              <w:rPr>
                <w:rFonts w:ascii="Times New Roman" w:hAnsi="Times New Roman"/>
                <w:sz w:val="16"/>
              </w:rPr>
              <w:t>Abstract p. 1; Methods/prompts/rubric and Results</w:t>
            </w:r>
          </w:p>
        </w:tc>
      </w:tr>
      <w:tr>
        <w:trPr>
          <w:cantSplit/>
        </w:trPr>
        <w:tc>
          <w:tcPr>
            <w:tcW w:type="dxa" w:w="2493"/>
            <w:vAlign w:val="center"/>
          </w:tcPr>
          <w:p>
            <w:r>
              <w:rPr>
                <w:rFonts w:ascii="Times New Roman" w:hAnsi="Times New Roman"/>
                <w:sz w:val="16"/>
              </w:rPr>
              <w:t>W24</w:t>
            </w:r>
          </w:p>
        </w:tc>
        <w:tc>
          <w:tcPr>
            <w:tcW w:type="dxa" w:w="2493"/>
            <w:vAlign w:val="center"/>
          </w:tcPr>
          <w:p>
            <w:r>
              <w:rPr>
                <w:rFonts w:ascii="Times New Roman" w:hAnsi="Times New Roman"/>
                <w:sz w:val="16"/>
              </w:rPr>
              <w:t>Compared ChatGPT-4o and Gemini Advanced outputs with rehabilitation prescriptions using data from 40 patients with knee osteoarthritis.</w:t>
            </w:r>
          </w:p>
        </w:tc>
        <w:tc>
          <w:tcPr>
            <w:tcW w:type="dxa" w:w="2493"/>
            <w:vAlign w:val="center"/>
          </w:tcPr>
          <w:p>
            <w:r>
              <w:rPr>
                <w:rFonts w:ascii="Times New Roman" w:hAnsi="Times New Roman"/>
                <w:sz w:val="16"/>
              </w:rPr>
              <w:t>Class B output safety and prescription differences; not human adverse events.</w:t>
            </w:r>
          </w:p>
        </w:tc>
        <w:tc>
          <w:tcPr>
            <w:tcW w:type="dxa" w:w="2493"/>
            <w:vAlign w:val="center"/>
          </w:tcPr>
          <w:p>
            <w:r>
              <w:rPr>
                <w:rFonts w:ascii="Times New Roman" w:hAnsi="Times New Roman"/>
                <w:sz w:val="16"/>
              </w:rPr>
              <w:t>Abstract p. 1; Methods/Results for 40 cases</w:t>
            </w:r>
          </w:p>
        </w:tc>
      </w:tr>
      <w:tr>
        <w:trPr>
          <w:cantSplit/>
        </w:trPr>
        <w:tc>
          <w:tcPr>
            <w:tcW w:type="dxa" w:w="2493"/>
            <w:vAlign w:val="center"/>
          </w:tcPr>
          <w:p>
            <w:r>
              <w:rPr>
                <w:rFonts w:ascii="Times New Roman" w:hAnsi="Times New Roman"/>
                <w:sz w:val="16"/>
              </w:rPr>
              <w:t>W25</w:t>
            </w:r>
          </w:p>
        </w:tc>
        <w:tc>
          <w:tcPr>
            <w:tcW w:type="dxa" w:w="2493"/>
            <w:vAlign w:val="center"/>
          </w:tcPr>
          <w:p>
            <w:r>
              <w:rPr>
                <w:rFonts w:ascii="Times New Roman" w:hAnsi="Times New Roman"/>
                <w:sz w:val="16"/>
              </w:rPr>
              <w:t>Eight-week scenario plans included activities and doses; experts noted overly rapid early loading and progression.</w:t>
            </w:r>
          </w:p>
        </w:tc>
        <w:tc>
          <w:tcPr>
            <w:tcW w:type="dxa" w:w="2493"/>
            <w:vAlign w:val="center"/>
          </w:tcPr>
          <w:p>
            <w:r>
              <w:rPr>
                <w:rFonts w:ascii="Times New Roman" w:hAnsi="Times New Roman"/>
                <w:sz w:val="16"/>
              </w:rPr>
              <w:t>Output dose/progression risk; not human adverse events.</w:t>
            </w:r>
          </w:p>
        </w:tc>
        <w:tc>
          <w:tcPr>
            <w:tcW w:type="dxa" w:w="2493"/>
            <w:vAlign w:val="center"/>
          </w:tcPr>
          <w:p>
            <w:r>
              <w:rPr>
                <w:rFonts w:ascii="Times New Roman" w:hAnsi="Times New Roman"/>
                <w:sz w:val="16"/>
              </w:rPr>
              <w:t>Abstract p. 1; Appendix/Table 2 and eight-week plans</w:t>
            </w:r>
          </w:p>
        </w:tc>
      </w:tr>
      <w:tr>
        <w:trPr>
          <w:cantSplit/>
        </w:trPr>
        <w:tc>
          <w:tcPr>
            <w:tcW w:type="dxa" w:w="2493"/>
            <w:vAlign w:val="center"/>
          </w:tcPr>
          <w:p>
            <w:r>
              <w:rPr>
                <w:rFonts w:ascii="Times New Roman" w:hAnsi="Times New Roman"/>
                <w:sz w:val="16"/>
              </w:rPr>
              <w:t>W26</w:t>
            </w:r>
          </w:p>
        </w:tc>
        <w:tc>
          <w:tcPr>
            <w:tcW w:type="dxa" w:w="2493"/>
            <w:vAlign w:val="center"/>
          </w:tcPr>
          <w:p>
            <w:r>
              <w:rPr>
                <w:rFonts w:ascii="Times New Roman" w:hAnsi="Times New Roman"/>
                <w:sz w:val="16"/>
              </w:rPr>
              <w:t>Endpoint BMI: 22.99 vs 24.46 kg/m² (P=0.020); post-knee-raise heart rate: 128 vs 152 bpm (P=0.019); sit-to-stand: 37 vs 32 repetitions (P=0.019).</w:t>
            </w:r>
          </w:p>
        </w:tc>
        <w:tc>
          <w:tcPr>
            <w:tcW w:type="dxa" w:w="2493"/>
            <w:vAlign w:val="center"/>
          </w:tcPr>
          <w:p>
            <w:r>
              <w:rPr>
                <w:rFonts w:ascii="Times New Roman" w:hAnsi="Times New Roman"/>
                <w:sz w:val="16"/>
              </w:rPr>
              <w:t>Human adverse events NR; injury was an exclusion criterion, but event counts were not reported.</w:t>
            </w:r>
          </w:p>
        </w:tc>
        <w:tc>
          <w:tcPr>
            <w:tcW w:type="dxa" w:w="2493"/>
            <w:vAlign w:val="center"/>
          </w:tcPr>
          <w:p>
            <w:r>
              <w:rPr>
                <w:rFonts w:ascii="Times New Roman" w:hAnsi="Times New Roman"/>
                <w:sz w:val="16"/>
              </w:rPr>
              <w:t>Methods p. 2; Table 2 p. 4; Appendix pp. 9–11</w:t>
            </w:r>
          </w:p>
        </w:tc>
      </w:tr>
      <w:tr>
        <w:trPr>
          <w:cantSplit/>
        </w:trPr>
        <w:tc>
          <w:tcPr>
            <w:tcW w:type="dxa" w:w="2493"/>
            <w:vAlign w:val="center"/>
          </w:tcPr>
          <w:p>
            <w:r>
              <w:rPr>
                <w:rFonts w:ascii="Times New Roman" w:hAnsi="Times New Roman"/>
                <w:sz w:val="16"/>
              </w:rPr>
              <w:t>W27</w:t>
            </w:r>
          </w:p>
        </w:tc>
        <w:tc>
          <w:tcPr>
            <w:tcW w:type="dxa" w:w="2493"/>
            <w:vAlign w:val="center"/>
          </w:tcPr>
          <w:p>
            <w:r>
              <w:rPr>
                <w:rFonts w:ascii="Times New Roman" w:hAnsi="Times New Roman"/>
                <w:sz w:val="16"/>
              </w:rPr>
              <w:t>GPT-group left-arm strength increased from 20.31±3.80 to 22.99±4.05 kg (within-group P&lt;0.001); within-group significance does not replace a between-group effect.</w:t>
            </w:r>
          </w:p>
        </w:tc>
        <w:tc>
          <w:tcPr>
            <w:tcW w:type="dxa" w:w="2493"/>
            <w:vAlign w:val="center"/>
          </w:tcPr>
          <w:p>
            <w:r>
              <w:rPr>
                <w:rFonts w:ascii="Times New Roman" w:hAnsi="Times New Roman"/>
                <w:sz w:val="16"/>
              </w:rPr>
              <w:t>Human adverse events NR.</w:t>
            </w:r>
          </w:p>
        </w:tc>
        <w:tc>
          <w:tcPr>
            <w:tcW w:type="dxa" w:w="2493"/>
            <w:vAlign w:val="center"/>
          </w:tcPr>
          <w:p>
            <w:r>
              <w:rPr>
                <w:rFonts w:ascii="Times New Roman" w:hAnsi="Times New Roman"/>
                <w:sz w:val="16"/>
              </w:rPr>
              <w:t>Methods/Tables 1, 3–4, pp. 3–6</w:t>
            </w:r>
          </w:p>
        </w:tc>
      </w:tr>
      <w:tr>
        <w:trPr>
          <w:cantSplit/>
        </w:trPr>
        <w:tc>
          <w:tcPr>
            <w:tcW w:type="dxa" w:w="2493"/>
            <w:vAlign w:val="center"/>
          </w:tcPr>
          <w:p>
            <w:r>
              <w:rPr>
                <w:rFonts w:ascii="Times New Roman" w:hAnsi="Times New Roman"/>
                <w:sz w:val="16"/>
              </w:rPr>
              <w:t>W28</w:t>
            </w:r>
          </w:p>
        </w:tc>
        <w:tc>
          <w:tcPr>
            <w:tcW w:type="dxa" w:w="2493"/>
            <w:vAlign w:val="center"/>
          </w:tcPr>
          <w:p>
            <w:r>
              <w:rPr>
                <w:rFonts w:ascii="Times New Roman" w:hAnsi="Times New Roman"/>
                <w:sz w:val="16"/>
              </w:rPr>
              <w:t>Generated individualized plans from personal data and had professionals evaluate them; this supports output generation, not human implementation effects.</w:t>
            </w:r>
          </w:p>
        </w:tc>
        <w:tc>
          <w:tcPr>
            <w:tcW w:type="dxa" w:w="2493"/>
            <w:vAlign w:val="center"/>
          </w:tcPr>
          <w:p>
            <w:r>
              <w:rPr>
                <w:rFonts w:ascii="Times New Roman" w:hAnsi="Times New Roman"/>
                <w:sz w:val="16"/>
              </w:rPr>
              <w:t>Output quality and potential risk; not human adverse events.</w:t>
            </w:r>
          </w:p>
        </w:tc>
        <w:tc>
          <w:tcPr>
            <w:tcW w:type="dxa" w:w="2493"/>
            <w:vAlign w:val="center"/>
          </w:tcPr>
          <w:p>
            <w:r>
              <w:rPr>
                <w:rFonts w:ascii="Times New Roman" w:hAnsi="Times New Roman"/>
                <w:sz w:val="16"/>
              </w:rPr>
              <w:t>Methods/Table 1/Results pp. 1–3</w:t>
            </w:r>
          </w:p>
        </w:tc>
      </w:tr>
      <w:tr>
        <w:trPr>
          <w:cantSplit/>
        </w:trPr>
        <w:tc>
          <w:tcPr>
            <w:tcW w:type="dxa" w:w="2493"/>
            <w:vAlign w:val="center"/>
          </w:tcPr>
          <w:p>
            <w:r>
              <w:rPr>
                <w:rFonts w:ascii="Times New Roman" w:hAnsi="Times New Roman"/>
                <w:sz w:val="16"/>
              </w:rPr>
              <w:t>W29</w:t>
            </w:r>
          </w:p>
        </w:tc>
        <w:tc>
          <w:tcPr>
            <w:tcW w:type="dxa" w:w="2493"/>
            <w:vAlign w:val="center"/>
          </w:tcPr>
          <w:p>
            <w:r>
              <w:rPr>
                <w:rFonts w:ascii="Times New Roman" w:hAnsi="Times New Roman"/>
                <w:sz w:val="16"/>
              </w:rPr>
              <w:t>Fifteen of 18 initial plans met the study’s weekly-volume requirement; 14/18 included rest days. Mean FITT ratings were 5.67/4.28/5.06/3.89.</w:t>
            </w:r>
          </w:p>
        </w:tc>
        <w:tc>
          <w:tcPr>
            <w:tcW w:type="dxa" w:w="2493"/>
            <w:vAlign w:val="center"/>
          </w:tcPr>
          <w:p>
            <w:r>
              <w:rPr>
                <w:rFonts w:ascii="Times New Roman" w:hAnsi="Times New Roman"/>
                <w:sz w:val="16"/>
              </w:rPr>
              <w:t>Experts noted fatigue/injury concerns with consecutive training; no human implementation events were assessed.</w:t>
            </w:r>
          </w:p>
        </w:tc>
        <w:tc>
          <w:tcPr>
            <w:tcW w:type="dxa" w:w="2493"/>
            <w:vAlign w:val="center"/>
          </w:tcPr>
          <w:p>
            <w:r>
              <w:rPr>
                <w:rFonts w:ascii="Times New Roman" w:hAnsi="Times New Roman"/>
                <w:sz w:val="16"/>
              </w:rPr>
              <w:t>pp. 6, 8–9; Figure 1 p. 13; Tables 2–3</w:t>
            </w:r>
          </w:p>
        </w:tc>
      </w:tr>
      <w:tr>
        <w:trPr>
          <w:cantSplit/>
        </w:trPr>
        <w:tc>
          <w:tcPr>
            <w:tcW w:type="dxa" w:w="2493"/>
            <w:vAlign w:val="center"/>
          </w:tcPr>
          <w:p>
            <w:r>
              <w:rPr>
                <w:rFonts w:ascii="Times New Roman" w:hAnsi="Times New Roman"/>
                <w:sz w:val="16"/>
              </w:rPr>
              <w:t>W30</w:t>
            </w:r>
          </w:p>
        </w:tc>
        <w:tc>
          <w:tcPr>
            <w:tcW w:type="dxa" w:w="2493"/>
            <w:vAlign w:val="center"/>
          </w:tcPr>
          <w:p>
            <w:r>
              <w:rPr>
                <w:rFonts w:ascii="Times New Roman" w:hAnsi="Times New Roman"/>
                <w:sz w:val="16"/>
              </w:rPr>
              <w:t>Ratings and readability were reported; individualized health screening was limited.</w:t>
            </w:r>
          </w:p>
        </w:tc>
        <w:tc>
          <w:tcPr>
            <w:tcW w:type="dxa" w:w="2493"/>
            <w:vAlign w:val="center"/>
          </w:tcPr>
          <w:p>
            <w:r>
              <w:rPr>
                <w:rFonts w:ascii="Times New Roman" w:hAnsi="Times New Roman"/>
                <w:sz w:val="16"/>
              </w:rPr>
              <w:t>Full-text safety details require extraction from the cited source; no human safety inference.</w:t>
            </w:r>
          </w:p>
        </w:tc>
        <w:tc>
          <w:tcPr>
            <w:tcW w:type="dxa" w:w="2493"/>
            <w:vAlign w:val="center"/>
          </w:tcPr>
          <w:p>
            <w:r>
              <w:rPr>
                <w:rFonts w:ascii="Times New Roman" w:hAnsi="Times New Roman"/>
                <w:sz w:val="16"/>
              </w:rPr>
              <w:t>Methods/Results pp. 1–5</w:t>
            </w:r>
          </w:p>
        </w:tc>
      </w:tr>
      <w:tr>
        <w:trPr>
          <w:cantSplit/>
        </w:trPr>
        <w:tc>
          <w:tcPr>
            <w:tcW w:type="dxa" w:w="2493"/>
            <w:vAlign w:val="center"/>
          </w:tcPr>
          <w:p>
            <w:r>
              <w:rPr>
                <w:rFonts w:ascii="Times New Roman" w:hAnsi="Times New Roman"/>
                <w:sz w:val="16"/>
              </w:rPr>
              <w:t>W31</w:t>
            </w:r>
          </w:p>
        </w:tc>
        <w:tc>
          <w:tcPr>
            <w:tcW w:type="dxa" w:w="2493"/>
            <w:vAlign w:val="center"/>
          </w:tcPr>
          <w:p>
            <w:r>
              <w:rPr>
                <w:rFonts w:ascii="Times New Roman" w:hAnsi="Times New Roman"/>
                <w:sz w:val="16"/>
              </w:rPr>
              <w:t>For Q4, 4/12 evaluators rated the response incorrect and unsafe. For Q3, 3/12 rated it complete/accurate, 6/12 safe but incomplete, and 3/12 safe but basic.</w:t>
            </w:r>
          </w:p>
        </w:tc>
        <w:tc>
          <w:tcPr>
            <w:tcW w:type="dxa" w:w="2493"/>
            <w:vAlign w:val="center"/>
          </w:tcPr>
          <w:p>
            <w:r>
              <w:rPr>
                <w:rFonts w:ascii="Times New Roman" w:hAnsi="Times New Roman"/>
                <w:sz w:val="16"/>
              </w:rPr>
              <w:t>Expert output-safety judgments; not four patients or four prescriptions with injury.</w:t>
            </w:r>
          </w:p>
        </w:tc>
        <w:tc>
          <w:tcPr>
            <w:tcW w:type="dxa" w:w="2493"/>
            <w:vAlign w:val="center"/>
          </w:tcPr>
          <w:p>
            <w:r>
              <w:rPr>
                <w:rFonts w:ascii="Times New Roman" w:hAnsi="Times New Roman"/>
                <w:sz w:val="16"/>
              </w:rPr>
              <w:t>Methods/Table 1/Results pp. 2–6</w:t>
            </w:r>
          </w:p>
        </w:tc>
      </w:tr>
      <w:tr>
        <w:trPr>
          <w:cantSplit/>
        </w:trPr>
        <w:tc>
          <w:tcPr>
            <w:tcW w:type="dxa" w:w="2493"/>
            <w:vAlign w:val="center"/>
          </w:tcPr>
          <w:p>
            <w:r>
              <w:rPr>
                <w:rFonts w:ascii="Times New Roman" w:hAnsi="Times New Roman"/>
                <w:sz w:val="16"/>
              </w:rPr>
              <w:t>W32</w:t>
            </w:r>
          </w:p>
        </w:tc>
        <w:tc>
          <w:tcPr>
            <w:tcW w:type="dxa" w:w="2493"/>
            <w:vAlign w:val="center"/>
          </w:tcPr>
          <w:p>
            <w:r>
              <w:rPr>
                <w:rFonts w:ascii="Times New Roman" w:hAnsi="Times New Roman"/>
                <w:sz w:val="16"/>
              </w:rPr>
              <w:t>Mixed consultation tasks; only the actionable rehabilitation subset was extracted. The total of 1,476 responses is not a prescription denominator.</w:t>
            </w:r>
          </w:p>
        </w:tc>
        <w:tc>
          <w:tcPr>
            <w:tcW w:type="dxa" w:w="2493"/>
            <w:vAlign w:val="center"/>
          </w:tcPr>
          <w:p>
            <w:r>
              <w:rPr>
                <w:rFonts w:ascii="Times New Roman" w:hAnsi="Times New Roman"/>
                <w:sz w:val="16"/>
              </w:rPr>
              <w:t>Output-safety evidence only; no human adverse-event inference.</w:t>
            </w:r>
          </w:p>
        </w:tc>
        <w:tc>
          <w:tcPr>
            <w:tcW w:type="dxa" w:w="2493"/>
            <w:vAlign w:val="center"/>
          </w:tcPr>
          <w:p>
            <w:r>
              <w:rPr>
                <w:rFonts w:ascii="Times New Roman" w:hAnsi="Times New Roman"/>
                <w:sz w:val="16"/>
              </w:rPr>
              <w:t>Methods/quality/readability/results pp. 3–18</w:t>
            </w:r>
          </w:p>
        </w:tc>
      </w:tr>
      <w:tr>
        <w:trPr>
          <w:cantSplit/>
        </w:trPr>
        <w:tc>
          <w:tcPr>
            <w:tcW w:type="dxa" w:w="2493"/>
            <w:vAlign w:val="center"/>
          </w:tcPr>
          <w:p>
            <w:r>
              <w:rPr>
                <w:rFonts w:ascii="Times New Roman" w:hAnsi="Times New Roman"/>
                <w:sz w:val="16"/>
              </w:rPr>
              <w:t>W33</w:t>
            </w:r>
          </w:p>
        </w:tc>
        <w:tc>
          <w:tcPr>
            <w:tcW w:type="dxa" w:w="2493"/>
            <w:vAlign w:val="center"/>
          </w:tcPr>
          <w:p>
            <w:r>
              <w:rPr>
                <w:rFonts w:ascii="Times New Roman" w:hAnsi="Times New Roman"/>
                <w:sz w:val="16"/>
              </w:rPr>
              <w:t>Compared LLM-generated exercise rehabilitation plans using data from people with stable angina; this is real-data output evaluation.</w:t>
            </w:r>
          </w:p>
        </w:tc>
        <w:tc>
          <w:tcPr>
            <w:tcW w:type="dxa" w:w="2493"/>
            <w:vAlign w:val="center"/>
          </w:tcPr>
          <w:p>
            <w:r>
              <w:rPr>
                <w:rFonts w:ascii="Times New Roman" w:hAnsi="Times New Roman"/>
                <w:sz w:val="16"/>
              </w:rPr>
              <w:t>Output quality and risk management; not human adverse events.</w:t>
            </w:r>
          </w:p>
        </w:tc>
        <w:tc>
          <w:tcPr>
            <w:tcW w:type="dxa" w:w="2493"/>
            <w:vAlign w:val="center"/>
          </w:tcPr>
          <w:p>
            <w:r>
              <w:rPr>
                <w:rFonts w:ascii="Times New Roman" w:hAnsi="Times New Roman"/>
                <w:sz w:val="16"/>
              </w:rPr>
              <w:t>Methods/Tables/Results pp. 1–9</w:t>
            </w:r>
          </w:p>
        </w:tc>
      </w:tr>
      <w:tr>
        <w:trPr>
          <w:cantSplit/>
        </w:trPr>
        <w:tc>
          <w:tcPr>
            <w:tcW w:type="dxa" w:w="2493"/>
            <w:vAlign w:val="center"/>
          </w:tcPr>
          <w:p>
            <w:r>
              <w:rPr>
                <w:rFonts w:ascii="Times New Roman" w:hAnsi="Times New Roman"/>
                <w:sz w:val="16"/>
              </w:rPr>
              <w:t>W34</w:t>
            </w:r>
          </w:p>
        </w:tc>
        <w:tc>
          <w:tcPr>
            <w:tcW w:type="dxa" w:w="2493"/>
            <w:vAlign w:val="center"/>
          </w:tcPr>
          <w:p>
            <w:r>
              <w:rPr>
                <w:rFonts w:ascii="Times New Roman" w:hAnsi="Times New Roman"/>
                <w:sz w:val="16"/>
              </w:rPr>
              <w:t>Multiple models generated structured marathon periodization plans, but health screening, individualization, and dynamic adjustment were limited.</w:t>
            </w:r>
          </w:p>
        </w:tc>
        <w:tc>
          <w:tcPr>
            <w:tcW w:type="dxa" w:w="2493"/>
            <w:vAlign w:val="center"/>
          </w:tcPr>
          <w:p>
            <w:r>
              <w:rPr>
                <w:rFonts w:ascii="Times New Roman" w:hAnsi="Times New Roman"/>
                <w:sz w:val="16"/>
              </w:rPr>
              <w:t>Output quality and potential loading risk; not human adverse events.</w:t>
            </w:r>
          </w:p>
        </w:tc>
        <w:tc>
          <w:tcPr>
            <w:tcW w:type="dxa" w:w="2493"/>
            <w:vAlign w:val="center"/>
          </w:tcPr>
          <w:p>
            <w:r>
              <w:rPr>
                <w:rFonts w:ascii="Times New Roman" w:hAnsi="Times New Roman"/>
                <w:sz w:val="16"/>
              </w:rPr>
              <w:t>Prompts/Tables 1–3/comparison pp. 3–13</w:t>
            </w:r>
          </w:p>
        </w:tc>
      </w:tr>
      <w:tr>
        <w:trPr>
          <w:cantSplit/>
        </w:trPr>
        <w:tc>
          <w:tcPr>
            <w:tcW w:type="dxa" w:w="2493"/>
            <w:vAlign w:val="center"/>
          </w:tcPr>
          <w:p>
            <w:r>
              <w:rPr>
                <w:rFonts w:ascii="Times New Roman" w:hAnsi="Times New Roman"/>
                <w:sz w:val="16"/>
              </w:rPr>
              <w:t>W35</w:t>
            </w:r>
          </w:p>
        </w:tc>
        <w:tc>
          <w:tcPr>
            <w:tcW w:type="dxa" w:w="2493"/>
            <w:vAlign w:val="center"/>
          </w:tcPr>
          <w:p>
            <w:r>
              <w:rPr>
                <w:rFonts w:ascii="Times New Roman" w:hAnsi="Times New Roman"/>
                <w:sz w:val="16"/>
              </w:rPr>
              <w:t>English outputs generally described progression, monitoring, and intradialytic exercise in greater detail; no comparable human-effect estimate was provided.</w:t>
            </w:r>
          </w:p>
        </w:tc>
        <w:tc>
          <w:tcPr>
            <w:tcW w:type="dxa" w:w="2493"/>
            <w:vAlign w:val="center"/>
          </w:tcPr>
          <w:p>
            <w:r>
              <w:rPr>
                <w:rFonts w:ascii="Times New Roman" w:hAnsi="Times New Roman"/>
                <w:sz w:val="16"/>
              </w:rPr>
              <w:t>Vascular access, contraindications, and symptom monitoring were evaluated as output-safety content.</w:t>
            </w:r>
          </w:p>
        </w:tc>
        <w:tc>
          <w:tcPr>
            <w:tcW w:type="dxa" w:w="2493"/>
            <w:vAlign w:val="center"/>
          </w:tcPr>
          <w:p>
            <w:r>
              <w:rPr>
                <w:rFonts w:ascii="Times New Roman" w:hAnsi="Times New Roman"/>
                <w:sz w:val="16"/>
              </w:rPr>
              <w:t>Methods/Results/Figures pp. 3–12</w:t>
            </w:r>
          </w:p>
        </w:tc>
      </w:tr>
      <w:tr>
        <w:trPr>
          <w:cantSplit/>
        </w:trPr>
        <w:tc>
          <w:tcPr>
            <w:tcW w:type="dxa" w:w="2493"/>
            <w:vAlign w:val="center"/>
          </w:tcPr>
          <w:p>
            <w:r>
              <w:rPr>
                <w:rFonts w:ascii="Times New Roman" w:hAnsi="Times New Roman"/>
                <w:sz w:val="16"/>
              </w:rPr>
              <w:t>W36</w:t>
            </w:r>
          </w:p>
        </w:tc>
        <w:tc>
          <w:tcPr>
            <w:tcW w:type="dxa" w:w="2493"/>
            <w:vAlign w:val="center"/>
          </w:tcPr>
          <w:p>
            <w:r>
              <w:rPr>
                <w:rFonts w:ascii="Times New Roman" w:hAnsi="Times New Roman"/>
                <w:sz w:val="16"/>
              </w:rPr>
              <w:t>PhysioAgent was evaluated for prescription generation and monitoring across 50 clinical scenarios and 200 simulated 30-day cycles; transfer of real logs did not establish human re-prescribing.</w:t>
            </w:r>
          </w:p>
        </w:tc>
        <w:tc>
          <w:tcPr>
            <w:tcW w:type="dxa" w:w="2493"/>
            <w:vAlign w:val="center"/>
          </w:tcPr>
          <w:p>
            <w:r>
              <w:rPr>
                <w:rFonts w:ascii="Times New Roman" w:hAnsi="Times New Roman"/>
                <w:sz w:val="16"/>
              </w:rPr>
              <w:t>Rule-based safety escalation and simulated monitoring; not human adverse events.</w:t>
            </w:r>
          </w:p>
        </w:tc>
        <w:tc>
          <w:tcPr>
            <w:tcW w:type="dxa" w:w="2493"/>
            <w:vAlign w:val="center"/>
          </w:tcPr>
          <w:p>
            <w:r>
              <w:rPr>
                <w:rFonts w:ascii="Times New Roman" w:hAnsi="Times New Roman"/>
                <w:sz w:val="16"/>
              </w:rPr>
              <w:t>Architecture/Datasets/Results/Ablation pp. 4–10</w:t>
            </w:r>
          </w:p>
        </w:tc>
      </w:tr>
      <w:tr w:rsidR="002562B9" w14:paraId="530343AA" w14:textId="77777777">
        <w:trPr>
          <w:jc w:val="center"/>
        </w:trPr>
        <w:tc>
          <w:tcPr>
            <w:tcW w:w="2432" w:type="dxa"/>
          </w:tcPr>
          <w:p w14:paraId="7E581ED1" w14:textId="77777777" w:rsidR="002562B9" w:rsidRDefault="007A4474">
            <w:r>
              <w:rPr>
                <w:sz w:val="16"/>
              </w:rPr>
              <w:t>W37</w:t>
            </w:r>
          </w:p>
        </w:tc>
        <w:tc>
          <w:tcPr>
            <w:tcW w:w="2462" w:type="dxa"/>
          </w:tcPr>
          <w:p w14:paraId="15A32B65" w14:textId="77777777" w:rsidR="002562B9" w:rsidRDefault="007A4474">
            <w:r>
              <w:rPr>
                <w:sz w:val="16"/>
              </w:rPr>
              <w:t>Accessibility-aware prompting narrowed the socio-economic gap in the access-cost proxy (0.306 to 0.139) while maintaining guideline alignment; alignment stayed low in some conditions</w:t>
            </w:r>
          </w:p>
        </w:tc>
        <w:tc>
          <w:tcPr>
            <w:tcW w:w="2457" w:type="dxa"/>
          </w:tcPr>
          <w:p w14:paraId="2FC471B9" w14:textId="77777777" w:rsidR="002562B9" w:rsidRDefault="007A4474">
            <w:r>
              <w:rPr>
                <w:sz w:val="16"/>
              </w:rPr>
              <w:t>Output-safety content captured as a structured schema field but not evaluated; no human adverse events</w:t>
            </w:r>
          </w:p>
        </w:tc>
        <w:tc>
          <w:tcPr>
            <w:tcW w:w="2723" w:type="dxa"/>
          </w:tcPr>
          <w:p w14:paraId="1E4B8A3F" w14:textId="77777777" w:rsidR="002562B9" w:rsidRDefault="007A4474">
            <w:r>
              <w:rPr>
                <w:sz w:val="16"/>
              </w:rPr>
              <w:t>pp.4-6 Methods; pp.6-9 Results; Tables 1-3</w:t>
            </w:r>
          </w:p>
        </w:tc>
      </w:tr>
      <w:tr w:rsidR="002562B9" w14:paraId="60E4FC78" w14:textId="77777777">
        <w:trPr>
          <w:jc w:val="center"/>
        </w:trPr>
        <w:tc>
          <w:tcPr>
            <w:tcW w:w="2432" w:type="dxa"/>
          </w:tcPr>
          <w:p>
            <w:r>
              <w:t>W24-R2 (linked report)</w:t>
            </w:r>
          </w:p>
        </w:tc>
        <w:tc>
          <w:tcPr>
            <w:tcW w:w="2462" w:type="dxa"/>
          </w:tcPr>
          <w:p w14:paraId="3CD590D4" w14:textId="77777777" w:rsidR="002562B9" w:rsidRDefault="007A4474">
            <w:r>
              <w:rPr>
                <w:sz w:val="16"/>
              </w:rPr>
              <w:t xml:space="preserve">74% (ChatGPT-4o) and 70% (Gemini) agreement with the physiotherapist consensus; deficits in sets, frequency and </w:t>
            </w:r>
            <w:r>
              <w:rPr>
                <w:sz w:val="16"/>
              </w:rPr>
              <w:lastRenderedPageBreak/>
              <w:t>progression</w:t>
            </w:r>
          </w:p>
        </w:tc>
        <w:tc>
          <w:tcPr>
            <w:tcW w:w="2457" w:type="dxa"/>
          </w:tcPr>
          <w:p w14:paraId="6821FC1D" w14:textId="77777777" w:rsidR="002562B9" w:rsidRDefault="007A4474">
            <w:r>
              <w:rPr>
                <w:sz w:val="16"/>
              </w:rPr>
              <w:lastRenderedPageBreak/>
              <w:t>No safety domain; no implementation, so no human adverse events</w:t>
            </w:r>
          </w:p>
        </w:tc>
        <w:tc>
          <w:tcPr>
            <w:tcW w:w="2723" w:type="dxa"/>
          </w:tcPr>
          <w:p>
            <w:r>
              <w:t>Methods section 2; Results Tables 1-3 (PMC12134017) Same cohort as W24-R1; not a separate study.</w:t>
            </w:r>
          </w:p>
        </w:tc>
      </w:tr>
      <w:tr w:rsidR="002562B9" w14:paraId="5106987F" w14:textId="77777777">
        <w:trPr>
          <w:jc w:val="center"/>
        </w:trPr>
        <w:tc>
          <w:tcPr>
            <w:tcW w:w="2432" w:type="dxa"/>
          </w:tcPr>
          <w:p w14:paraId="4BB671EB" w14:textId="77777777" w:rsidR="002562B9" w:rsidRDefault="007A4474">
            <w:r>
              <w:rPr>
                <w:sz w:val="16"/>
              </w:rPr>
              <w:t>W39</w:t>
            </w:r>
          </w:p>
        </w:tc>
        <w:tc>
          <w:tcPr>
            <w:tcW w:w="2462" w:type="dxa"/>
          </w:tcPr>
          <w:p w14:paraId="313D148C" w14:textId="77777777" w:rsidR="002562B9" w:rsidRDefault="007A4474">
            <w:r>
              <w:rPr>
                <w:sz w:val="16"/>
              </w:rPr>
              <w:t>Coaches rated plans 3.6-3.7 and athletes 2.8-3.1; adequate in low-intensity zones, excessive or insufficient dosing in moderate and anaerobic zones</w:t>
            </w:r>
          </w:p>
        </w:tc>
        <w:tc>
          <w:tcPr>
            <w:tcW w:w="2457" w:type="dxa"/>
          </w:tcPr>
          <w:p w14:paraId="0F49FFFA" w14:textId="77777777" w:rsidR="002562B9" w:rsidRDefault="007A4474">
            <w:r>
              <w:rPr>
                <w:sz w:val="16"/>
              </w:rPr>
              <w:t>Ratings cover frequency, intensity and structure; safety is not a separate domain</w:t>
            </w:r>
          </w:p>
        </w:tc>
        <w:tc>
          <w:tcPr>
            <w:tcW w:w="2723" w:type="dxa"/>
          </w:tcPr>
          <w:p w14:paraId="24EDC761" w14:textId="77777777" w:rsidR="002562B9" w:rsidRDefault="007A4474">
            <w:r>
              <w:rPr>
                <w:sz w:val="16"/>
              </w:rPr>
              <w:t>pp.355-366; Tables 1-2</w:t>
            </w:r>
          </w:p>
        </w:tc>
      </w:tr>
      <w:tr w:rsidR="002562B9" w14:paraId="3AEE8877" w14:textId="77777777">
        <w:trPr>
          <w:jc w:val="center"/>
        </w:trPr>
        <w:tc>
          <w:tcPr>
            <w:tcW w:w="2432" w:type="dxa"/>
          </w:tcPr>
          <w:p w14:paraId="05152C30" w14:textId="77777777" w:rsidR="002562B9" w:rsidRDefault="007A4474">
            <w:r>
              <w:rPr>
                <w:sz w:val="16"/>
              </w:rPr>
              <w:t>W40</w:t>
            </w:r>
          </w:p>
        </w:tc>
        <w:tc>
          <w:tcPr>
            <w:tcW w:w="2462" w:type="dxa"/>
          </w:tcPr>
          <w:p w14:paraId="184CDE12" w14:textId="77777777" w:rsidR="002562B9" w:rsidRDefault="007A4474">
            <w:r>
              <w:rPr>
                <w:sz w:val="16"/>
              </w:rPr>
              <w:t>Experimental group improved performance metrics versus control (p&lt;0.05); no adverse events reported</w:t>
            </w:r>
          </w:p>
        </w:tc>
        <w:tc>
          <w:tcPr>
            <w:tcW w:w="2457" w:type="dxa"/>
          </w:tcPr>
          <w:p w14:paraId="57F00798" w14:textId="77777777" w:rsidR="002562B9" w:rsidRDefault="007A4474">
            <w:r>
              <w:rPr>
                <w:sz w:val="16"/>
              </w:rPr>
              <w:t>No adverse events (injuries, overtraining syndromes) reported over 12 weeks</w:t>
            </w:r>
          </w:p>
        </w:tc>
        <w:tc>
          <w:tcPr>
            <w:tcW w:w="2723" w:type="dxa"/>
          </w:tcPr>
          <w:p w14:paraId="2E602EC2" w14:textId="77777777" w:rsidR="002562B9" w:rsidRDefault="007A4474">
            <w:r>
              <w:rPr>
                <w:sz w:val="16"/>
              </w:rPr>
              <w:t>Sections B-C, pp.4-7</w:t>
            </w:r>
          </w:p>
        </w:tc>
      </w:tr>
      <w:tr w:rsidR="002562B9" w14:paraId="7DB98B44" w14:textId="77777777">
        <w:trPr>
          <w:jc w:val="center"/>
        </w:trPr>
        <w:tc>
          <w:tcPr>
            <w:tcW w:w="2432" w:type="dxa"/>
          </w:tcPr>
          <w:p w14:paraId="6BF61BB6" w14:textId="77777777" w:rsidR="002562B9" w:rsidRDefault="007A4474">
            <w:r>
              <w:rPr>
                <w:sz w:val="16"/>
              </w:rPr>
              <w:t>W41</w:t>
            </w:r>
          </w:p>
        </w:tc>
        <w:tc>
          <w:tcPr>
            <w:tcW w:w="2462" w:type="dxa"/>
          </w:tcPr>
          <w:p w14:paraId="5B921731" w14:textId="77777777" w:rsidR="002562B9" w:rsidRDefault="007A4474">
            <w:r>
              <w:rPr>
                <w:sz w:val="16"/>
              </w:rPr>
              <w:t>High semantic consistency (0.879-0.939); intensity unstable; unclassifiable intensity in 10-25% of resistance outputs; safety expressions in 100% of outputs</w:t>
            </w:r>
          </w:p>
        </w:tc>
        <w:tc>
          <w:tcPr>
            <w:tcW w:w="2457" w:type="dxa"/>
          </w:tcPr>
          <w:p w14:paraId="0E90993B" w14:textId="77777777" w:rsidR="002562B9" w:rsidRDefault="007A4474">
            <w:r>
              <w:rPr>
                <w:sz w:val="16"/>
              </w:rPr>
              <w:t>Safety-expression counts per scenario; no clinical adjudication</w:t>
            </w:r>
          </w:p>
        </w:tc>
        <w:tc>
          <w:tcPr>
            <w:tcW w:w="2723" w:type="dxa"/>
          </w:tcPr>
          <w:p w14:paraId="5C532B86" w14:textId="77777777" w:rsidR="002562B9" w:rsidRDefault="007A4474">
            <w:r>
              <w:rPr>
                <w:sz w:val="16"/>
              </w:rPr>
              <w:t>pp.2-10; Tables 2-4</w:t>
            </w:r>
          </w:p>
        </w:tc>
      </w:tr>
      <w:tr w:rsidR="002562B9" w14:paraId="7F7BCDF0" w14:textId="77777777">
        <w:trPr>
          <w:jc w:val="center"/>
        </w:trPr>
        <w:tc>
          <w:tcPr>
            <w:tcW w:w="2432" w:type="dxa"/>
          </w:tcPr>
          <w:p w14:paraId="5220BCDE" w14:textId="77777777" w:rsidR="002562B9" w:rsidRDefault="007A4474">
            <w:r>
              <w:rPr>
                <w:sz w:val="16"/>
              </w:rPr>
              <w:t>W42</w:t>
            </w:r>
          </w:p>
        </w:tc>
        <w:tc>
          <w:tcPr>
            <w:tcW w:w="2462" w:type="dxa"/>
          </w:tcPr>
          <w:p w14:paraId="4CFA7294" w14:textId="77777777" w:rsidR="002562B9" w:rsidRDefault="007A4474">
            <w:r>
              <w:rPr>
                <w:sz w:val="16"/>
              </w:rPr>
              <w:t>ChatGPT-o3 outperformed DeepSeek on all five domains including safety (beta=0.383, 95% CI 0.302-0.465)</w:t>
            </w:r>
          </w:p>
        </w:tc>
        <w:tc>
          <w:tcPr>
            <w:tcW w:w="2457" w:type="dxa"/>
          </w:tcPr>
          <w:p w14:paraId="3F0A811D" w14:textId="77777777" w:rsidR="002562B9" w:rsidRDefault="007A4474">
            <w:r>
              <w:rPr>
                <w:sz w:val="16"/>
              </w:rPr>
              <w:t>Clinician-rated safety domain; no human adverse events</w:t>
            </w:r>
          </w:p>
        </w:tc>
        <w:tc>
          <w:tcPr>
            <w:tcW w:w="2723" w:type="dxa"/>
          </w:tcPr>
          <w:p w14:paraId="11081E37" w14:textId="77777777" w:rsidR="002562B9" w:rsidRDefault="007A4474">
            <w:r>
              <w:rPr>
                <w:sz w:val="16"/>
              </w:rPr>
              <w:t>Sections 2.5, 3.3 and Table 2 (PMC13546465)</w:t>
            </w:r>
          </w:p>
        </w:tc>
      </w:tr>
      <w:tr w:rsidR="002562B9" w14:paraId="14537769" w14:textId="77777777">
        <w:trPr>
          <w:jc w:val="center"/>
        </w:trPr>
        <w:tc>
          <w:tcPr>
            <w:tcW w:w="2432" w:type="dxa"/>
          </w:tcPr>
          <w:p w14:paraId="4B98659A" w14:textId="77777777" w:rsidR="002562B9" w:rsidRDefault="007A4474">
            <w:r>
              <w:rPr>
                <w:sz w:val="16"/>
              </w:rPr>
              <w:t>W43</w:t>
            </w:r>
          </w:p>
        </w:tc>
        <w:tc>
          <w:tcPr>
            <w:tcW w:w="2462" w:type="dxa"/>
          </w:tcPr>
          <w:p w14:paraId="307E90B3" w14:textId="77777777" w:rsidR="002562B9" w:rsidRDefault="007A4474">
            <w:r>
              <w:rPr>
                <w:sz w:val="16"/>
              </w:rPr>
              <w:t>Grok-4 (4.31) and Gemini-2.5-pro (4.14) exceeded the expert benchmark (3.56); clinical applicability and safety was the primary endpoint</w:t>
            </w:r>
          </w:p>
        </w:tc>
        <w:tc>
          <w:tcPr>
            <w:tcW w:w="2457" w:type="dxa"/>
          </w:tcPr>
          <w:p w14:paraId="0281EF02" w14:textId="77777777" w:rsidR="002562B9" w:rsidRDefault="007A4474">
            <w:r>
              <w:rPr>
                <w:sz w:val="16"/>
              </w:rPr>
              <w:t>Safety incidents defined as a clinical-applicability-and-safety score of 2 or less; output-level only</w:t>
            </w:r>
          </w:p>
        </w:tc>
        <w:tc>
          <w:tcPr>
            <w:tcW w:w="2723" w:type="dxa"/>
          </w:tcPr>
          <w:p w14:paraId="4DBADA3F" w14:textId="77777777" w:rsidR="002562B9" w:rsidRDefault="007A4474">
            <w:r>
              <w:rPr>
                <w:sz w:val="16"/>
              </w:rPr>
              <w:t>Methods; rubric Table 6; Results (PMC12951902)</w:t>
            </w:r>
          </w:p>
        </w:tc>
      </w:tr>
      <w:tr w:rsidR="002562B9" w14:paraId="5D30BD1F" w14:textId="77777777">
        <w:trPr>
          <w:jc w:val="center"/>
        </w:trPr>
        <w:tc>
          <w:tcPr>
            <w:tcW w:w="2432" w:type="dxa"/>
          </w:tcPr>
          <w:p w14:paraId="6118BD6D" w14:textId="77777777" w:rsidR="002562B9" w:rsidRDefault="007A4474">
            <w:r>
              <w:rPr>
                <w:sz w:val="16"/>
              </w:rPr>
              <w:t>W44</w:t>
            </w:r>
          </w:p>
        </w:tc>
        <w:tc>
          <w:tcPr>
            <w:tcW w:w="2462" w:type="dxa"/>
          </w:tcPr>
          <w:p w14:paraId="0D27E6FA" w14:textId="77777777" w:rsidR="002562B9" w:rsidRDefault="007A4474">
            <w:r>
              <w:rPr>
                <w:sz w:val="16"/>
              </w:rPr>
              <w:t>Mean plan score 4.30; safety 4.41; 72% suitable for use with corrections and none completely unsuitable</w:t>
            </w:r>
          </w:p>
        </w:tc>
        <w:tc>
          <w:tcPr>
            <w:tcW w:w="2457" w:type="dxa"/>
          </w:tcPr>
          <w:p w14:paraId="4ED4B945" w14:textId="77777777" w:rsidR="002562B9" w:rsidRDefault="007A4474">
            <w:r>
              <w:rPr>
                <w:sz w:val="16"/>
              </w:rPr>
              <w:t>Expert-rated safety criterion; no human adverse events</w:t>
            </w:r>
          </w:p>
        </w:tc>
        <w:tc>
          <w:tcPr>
            <w:tcW w:w="2723" w:type="dxa"/>
          </w:tcPr>
          <w:p w14:paraId="51D46B99" w14:textId="77777777" w:rsidR="002562B9" w:rsidRDefault="007A4474">
            <w:r>
              <w:rPr>
                <w:sz w:val="16"/>
              </w:rPr>
              <w:t>pp.753-759; Table 1</w:t>
            </w:r>
          </w:p>
        </w:tc>
      </w:tr>
    </w:tbl>
    <w:p>
      <w:pPr>
        <w:pStyle w:val="Heading2"/>
        <w:keepNext/>
      </w:pPr>
      <w:r>
        <w:rPr>
          <w:rFonts w:ascii="Times New Roman" w:hAnsi="Times New Roman"/>
          <w:sz w:val="22"/>
        </w:rPr>
        <w:t>Table 3. Human implementation evidence.</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t>Study ID</w:t>
            </w:r>
          </w:p>
        </w:tc>
        <w:tc>
          <w:tcPr>
            <w:tcW w:type="dxa" w:w="2493"/>
            <w:vAlign w:val="center"/>
          </w:tcPr>
          <w:p>
            <w:r>
              <w:t>Reported assignment and support</w:t>
            </w:r>
          </w:p>
        </w:tc>
        <w:tc>
          <w:tcPr>
            <w:tcW w:type="dxa" w:w="2493"/>
            <w:vAlign w:val="center"/>
          </w:tcPr>
          <w:p>
            <w:r>
              <w:t>Comparator and actual plan</w:t>
            </w:r>
          </w:p>
        </w:tc>
        <w:tc>
          <w:tcPr>
            <w:tcW w:type="dxa" w:w="2493"/>
            <w:vAlign w:val="center"/>
          </w:tcPr>
          <w:p>
            <w:r>
              <w:t>Outcomes; adverse-event reporting and inferential limit</w:t>
            </w:r>
          </w:p>
        </w:tc>
      </w:tr>
      <w:tr>
        <w:trPr>
          <w:cantSplit/>
        </w:trPr>
        <w:tc>
          <w:tcPr>
            <w:tcW w:type="dxa" w:w="2493"/>
            <w:vAlign w:val="center"/>
          </w:tcPr>
          <w:p>
            <w:r>
              <w:rPr>
                <w:rFonts w:ascii="Times New Roman" w:hAnsi="Times New Roman"/>
                <w:sz w:val="16"/>
              </w:rPr>
              <w:t>W17</w:t>
            </w:r>
          </w:p>
        </w:tc>
        <w:tc>
          <w:tcPr>
            <w:tcW w:type="dxa" w:w="2493"/>
            <w:vAlign w:val="center"/>
          </w:tcPr>
          <w:p>
            <w:r>
              <w:t>Random assignment stated; 26 families; parent ChatGPT training (three 40-minute sessions) and researcher support</w:t>
            </w:r>
          </w:p>
        </w:tc>
        <w:tc>
          <w:tcPr>
            <w:tcW w:type="dxa" w:w="2493"/>
            <w:vAlign w:val="center"/>
          </w:tcPr>
          <w:p>
            <w:r>
              <w:t>Control condition detail NR in available extraction; four-week child activity programme</w:t>
            </w:r>
          </w:p>
        </w:tc>
        <w:tc>
          <w:tcPr>
            <w:tcW w:type="dxa" w:w="2493"/>
            <w:vAlign w:val="center"/>
          </w:tcPr>
          <w:p>
            <w:r>
              <w:t>Parent-reported LTEQ 6.69→34 in intervention arm; human adverse events NR; LLM contribution inseparable from parent training/support.</w:t>
            </w:r>
          </w:p>
        </w:tc>
      </w:tr>
      <w:tr>
        <w:trPr>
          <w:cantSplit/>
        </w:trPr>
        <w:tc>
          <w:tcPr>
            <w:tcW w:type="dxa" w:w="2493"/>
            <w:vAlign w:val="center"/>
          </w:tcPr>
          <w:p>
            <w:r>
              <w:rPr>
                <w:rFonts w:ascii="Times New Roman" w:hAnsi="Times New Roman"/>
                <w:sz w:val="16"/>
              </w:rPr>
              <w:t>W26</w:t>
            </w:r>
          </w:p>
        </w:tc>
        <w:tc>
          <w:tcPr>
            <w:tcW w:type="dxa" w:w="2493"/>
            <w:vAlign w:val="center"/>
          </w:tcPr>
          <w:p>
            <w:r>
              <w:t>Random assignment described as simple random sampling; nine men, six versus three; eight-week ChatGPT-generated plan</w:t>
            </w:r>
          </w:p>
        </w:tc>
        <w:tc>
          <w:tcPr>
            <w:tcW w:type="dxa" w:w="2493"/>
            <w:vAlign w:val="center"/>
          </w:tcPr>
          <w:p>
            <w:r>
              <w:t>No-intervention controls; usual daily life</w:t>
            </w:r>
          </w:p>
        </w:tc>
        <w:tc>
          <w:tcPr>
            <w:tcW w:type="dxa" w:w="2493"/>
            <w:vAlign w:val="center"/>
          </w:tcPr>
          <w:p>
            <w:r>
              <w:t>Endpoint BMI 22.99 vs 24.46 kg/m² (P=0.020); injury mentioned as exclusion, not an adverse-event count; surveillance NR.</w:t>
            </w:r>
          </w:p>
        </w:tc>
      </w:tr>
      <w:tr>
        <w:trPr>
          <w:cantSplit/>
        </w:trPr>
        <w:tc>
          <w:tcPr>
            <w:tcW w:type="dxa" w:w="2493"/>
            <w:vAlign w:val="center"/>
          </w:tcPr>
          <w:p>
            <w:r>
              <w:rPr>
                <w:rFonts w:ascii="Times New Roman" w:hAnsi="Times New Roman"/>
                <w:sz w:val="16"/>
              </w:rPr>
              <w:t>W27</w:t>
            </w:r>
          </w:p>
        </w:tc>
        <w:tc>
          <w:tcPr>
            <w:tcW w:type="dxa" w:w="2493"/>
            <w:vAlign w:val="center"/>
          </w:tcPr>
          <w:p>
            <w:r>
              <w:t>Random assignment stated in abstract; 20 men, ten per arm; GPT plan fixed for 12 weeks</w:t>
            </w:r>
          </w:p>
        </w:tc>
        <w:tc>
          <w:tcPr>
            <w:tcW w:type="dxa" w:w="2493"/>
            <w:vAlign w:val="center"/>
          </w:tcPr>
          <w:p>
            <w:r>
              <w:t>Trainer-led plan reassessed every four weeks; support differs</w:t>
            </w:r>
          </w:p>
        </w:tc>
        <w:tc>
          <w:tcPr>
            <w:tcW w:type="dxa" w:w="2493"/>
            <w:vAlign w:val="center"/>
          </w:tcPr>
          <w:p>
            <w:r>
              <w:t>Within-GPT-arm left strength 20.31±3.80→22.99±4.05 kg (P&lt;0.001); no between-arm inference from this; human adverse events NR.</w:t>
            </w:r>
          </w:p>
        </w:tc>
      </w:tr>
      <w:tr w:rsidR="002562B9" w14:paraId="0CAA0EE1" w14:textId="77777777">
        <w:trPr>
          <w:jc w:val="center"/>
        </w:trPr>
        <w:tc>
          <w:tcPr>
            <w:tcW w:w="2493" w:type="dxa"/>
          </w:tcPr>
          <w:p w14:paraId="0A2E7281" w14:textId="77777777" w:rsidR="002562B9" w:rsidRDefault="007A4474">
            <w:r>
              <w:rPr>
                <w:sz w:val="16"/>
              </w:rPr>
              <w:t>W40</w:t>
            </w:r>
          </w:p>
        </w:tc>
        <w:tc>
          <w:tcPr>
            <w:tcW w:w="2493" w:type="dxa"/>
          </w:tcPr>
          <w:p>
            <w:r>
              <w:t>Computer-generated stratified random sequence and sealed envelopes reported; 120 athletes; GPT-4-based daily plan with coach override</w:t>
            </w:r>
          </w:p>
        </w:tc>
        <w:tc>
          <w:tcPr>
            <w:tcW w:w="2493" w:type="dxa"/>
          </w:tcPr>
          <w:p>
            <w:r>
              <w:t>Traditional coach-led training over 12 weeks; rules and coaches co-intervene</w:t>
            </w:r>
          </w:p>
        </w:tc>
        <w:tc>
          <w:tcPr>
            <w:tcW w:w="2493" w:type="dxa"/>
          </w:tcPr>
          <w:p>
            <w:r>
              <w:t>Performance differences reported (P&lt;0.05); paper says no injuries/overtraining events reported, but active surveillance detail NR; researcher appraisal pending.</w:t>
            </w:r>
          </w:p>
        </w:tc>
      </w:tr>
    </w:tbl>
    <w:p>
      <w:pPr>
        <w:pStyle w:val="Heading2"/>
        <w:keepNext/>
      </w:pPr>
      <w:r>
        <w:rPr>
          <w:rFonts w:ascii="Times New Roman" w:hAnsi="Times New Roman"/>
          <w:sz w:val="22"/>
        </w:rPr>
        <w:t>Table 4. Structured appraisal evidence and confirmation status.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val="true"/>
        </w:trPr>
        <w:tc>
          <w:tcPr>
            <w:tcW w:type="dxa" w:w="2493"/>
            <w:vAlign w:val="center"/>
          </w:tcPr>
          <w:p>
            <w:r>
              <w:rPr>
                <w:rFonts w:ascii="Times New Roman" w:hAnsi="Times New Roman"/>
                <w:sz w:val="16"/>
              </w:rPr>
              <w:t>Study ID / class</w:t>
            </w:r>
          </w:p>
        </w:tc>
        <w:tc>
          <w:tcPr>
            <w:tcW w:type="dxa" w:w="2493"/>
            <w:vAlign w:val="center"/>
          </w:tcPr>
          <w:p>
            <w:r>
              <w:rPr>
                <w:rFonts w:ascii="Times New Roman" w:hAnsi="Times New Roman"/>
                <w:sz w:val="16"/>
              </w:rPr>
              <w:t>Framework and target</w:t>
            </w:r>
          </w:p>
        </w:tc>
        <w:tc>
          <w:tcPr>
            <w:tcW w:type="dxa" w:w="2493"/>
            <w:vAlign w:val="center"/>
          </w:tcPr>
          <w:p>
            <w:r>
              <w:rPr>
                <w:rFonts w:ascii="Times New Roman" w:hAnsi="Times New Roman"/>
                <w:sz w:val="16"/>
              </w:rPr>
              <w:t>Evidence / AI-assisted appraisal</w:t>
            </w:r>
          </w:p>
        </w:tc>
        <w:tc>
          <w:tcPr>
            <w:tcW w:type="dxa" w:w="2493"/>
            <w:vAlign w:val="center"/>
          </w:tcPr>
          <w:p>
            <w:r>
              <w:rPr>
                <w:rFonts w:ascii="Times New Roman" w:hAnsi="Times New Roman"/>
                <w:sz w:val="16"/>
              </w:rPr>
              <w:t>Researcher confirmation status</w:t>
            </w:r>
          </w:p>
        </w:tc>
      </w:tr>
      <w:tr>
        <w:trPr>
          <w:cantSplit/>
        </w:trPr>
        <w:tc>
          <w:tcPr>
            <w:tcW w:type="dxa" w:w="2493"/>
            <w:vAlign w:val="center"/>
          </w:tcPr>
          <w:p>
            <w:r>
              <w:rPr>
                <w:rFonts w:ascii="Times New Roman" w:hAnsi="Times New Roman"/>
                <w:sz w:val="16"/>
              </w:rPr>
              <w:t>W01</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W02</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W03</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W04</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W05</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W06</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W07</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W08</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W09</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W10</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W11</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W12</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W13</w:t>
            </w:r>
          </w:p>
        </w:tc>
        <w:tc>
          <w:tcPr>
            <w:tcW w:type="dxa" w:w="2493"/>
            <w:vAlign w:val="center"/>
          </w:tcPr>
          <w:p>
            <w:r>
              <w:t>A/B / review-specific nine-domain output appraisal (not externally validated)</w:t>
            </w:r>
          </w:p>
        </w:tc>
        <w:tc>
          <w:tcPr>
            <w:tcW w:type="dxa" w:w="2493"/>
            <w:vAlign w:val="center"/>
          </w:tcPr>
          <w:p>
            <w:r>
              <w:t>Claude Sonnet 4.6 generated outputs and assisted classification; potential self-evaluation concern. Output safety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W14</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W15</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W16</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W17</w:t>
            </w:r>
          </w:p>
        </w:tc>
        <w:tc>
          <w:tcPr>
            <w:tcW w:type="dxa" w:w="2493"/>
            <w:vAlign w:val="center"/>
          </w:tcPr>
          <w:p>
            <w:r>
              <w:t>C / RoB 2; randomized allocation reported in the source study</w:t>
            </w:r>
          </w:p>
        </w:tc>
        <w:tc>
          <w:tcPr>
            <w:tcW w:type="dxa" w:w="2493"/>
            <w:vAlign w:val="center"/>
          </w:tcPr>
          <w:p>
            <w:r>
              <w:t>Five domain-level judgments with cited evidence; evaluates human implementation outcomes, not output safety.</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W18</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W20</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W21</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W22</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W23</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W24</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W25</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W26</w:t>
            </w:r>
          </w:p>
        </w:tc>
        <w:tc>
          <w:tcPr>
            <w:tcW w:type="dxa" w:w="2493"/>
            <w:vAlign w:val="center"/>
          </w:tcPr>
          <w:p>
            <w:r>
              <w:t>C / RoB 2; randomized allocation reported in the source study</w:t>
            </w:r>
          </w:p>
        </w:tc>
        <w:tc>
          <w:tcPr>
            <w:tcW w:type="dxa" w:w="2493"/>
            <w:vAlign w:val="center"/>
          </w:tcPr>
          <w:p>
            <w:r>
              <w:t>Five domain-level judgments with cited evidence; evaluates human implementation outcomes, not output safety.</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W27</w:t>
            </w:r>
          </w:p>
        </w:tc>
        <w:tc>
          <w:tcPr>
            <w:tcW w:type="dxa" w:w="2493"/>
            <w:vAlign w:val="center"/>
          </w:tcPr>
          <w:p>
            <w:r>
              <w:t>C / RoB 2; randomized allocation reported in the source study</w:t>
            </w:r>
          </w:p>
        </w:tc>
        <w:tc>
          <w:tcPr>
            <w:tcW w:type="dxa" w:w="2493"/>
            <w:vAlign w:val="center"/>
          </w:tcPr>
          <w:p>
            <w:r>
              <w:t>Five domain-level judgments with cited evidence; evaluates human implementation outcomes, not output safety.</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W28</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W29</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W30</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W31</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W32</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W33</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W34</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W35</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trPr>
          <w:cantSplit/>
        </w:trPr>
        <w:tc>
          <w:tcPr>
            <w:tcW w:type="dxa" w:w="2493"/>
            <w:vAlign w:val="center"/>
          </w:tcPr>
          <w:p>
            <w:r>
              <w:rPr>
                <w:rFonts w:ascii="Times New Roman" w:hAnsi="Times New Roman"/>
                <w:sz w:val="16"/>
              </w:rPr>
              <w:t>W36</w:t>
            </w:r>
          </w:p>
        </w:tc>
        <w:tc>
          <w:tcPr>
            <w:tcW w:type="dxa" w:w="2493"/>
            <w:vAlign w:val="center"/>
          </w:tcPr>
          <w:p>
            <w:r>
              <w:t>A/B / review-specific nine-domain output appraisal (not externally validated)</w:t>
            </w:r>
          </w:p>
        </w:tc>
        <w:tc>
          <w:tcPr>
            <w:tcW w:type="dxa" w:w="2493"/>
            <w:vAlign w:val="center"/>
          </w:tcPr>
          <w:p>
            <w:r>
              <w:t>Domain-level judgments with cited evidence; no unvalidated overall rating calculated. Output-safety evidence is not a human adverse-event outcome.</w:t>
            </w:r>
          </w:p>
        </w:tc>
        <w:tc>
          <w:tcPr>
            <w:tcW w:type="dxa" w:w="2493"/>
            <w:vAlign w:val="center"/>
          </w:tcPr>
          <w:p>
            <w:r>
              <w:t>Saved source status: researcher-reviewed-confirmed (25 Oct 2026); reviewer identity NR; no independent second reviewer.</w:t>
            </w:r>
          </w:p>
        </w:tc>
      </w:tr>
      <w:tr w:rsidR="002562B9" w14:paraId="08C051B2" w14:textId="77777777">
        <w:trPr>
          <w:jc w:val="center"/>
        </w:trPr>
        <w:tc>
          <w:tcPr>
            <w:tcW w:w="2493" w:type="dxa"/>
          </w:tcPr>
          <w:p w14:paraId="676A3344" w14:textId="77777777" w:rsidR="002562B9" w:rsidRDefault="007A4474">
            <w:r>
              <w:rPr>
                <w:sz w:val="16"/>
              </w:rPr>
              <w:t>W37</w:t>
            </w:r>
          </w:p>
        </w:tc>
        <w:tc>
          <w:tcPr>
            <w:tcW w:w="2493" w:type="dxa"/>
          </w:tcPr>
          <w:p w14:paraId="703D99DB" w14:textId="77777777" w:rsidR="002562B9" w:rsidRDefault="007A4474">
            <w:r>
              <w:rPr>
                <w:sz w:val="16"/>
              </w:rPr>
              <w:t>A/B / review-specific nine-domain output appraisal</w:t>
            </w:r>
          </w:p>
        </w:tc>
        <w:tc>
          <w:tcPr>
            <w:tcW w:w="2493" w:type="dxa"/>
          </w:tcPr>
          <w:p w14:paraId="064464D1" w14:textId="77777777" w:rsidR="002562B9" w:rsidRDefault="007A4474">
            <w:r>
              <w:rPr>
                <w:sz w:val="16"/>
              </w:rPr>
              <w:t xml:space="preserve">Domain-level judgements with cited evidence; no overall score </w:t>
            </w:r>
            <w:r>
              <w:rPr>
                <w:sz w:val="16"/>
              </w:rPr>
              <w:lastRenderedPageBreak/>
              <w:t>computed</w:t>
            </w:r>
          </w:p>
        </w:tc>
        <w:tc>
          <w:tcPr>
            <w:tcW w:w="2493" w:type="dxa"/>
          </w:tcPr>
          <w:p>
            <w:r>
              <w:t>AI-assisted appraisal; researcher signoff pending.</w:t>
            </w:r>
          </w:p>
        </w:tc>
      </w:tr>
      <w:tr w:rsidR="002562B9" w14:paraId="6F586898" w14:textId="77777777">
        <w:trPr>
          <w:jc w:val="center"/>
        </w:trPr>
        <w:tc>
          <w:tcPr>
            <w:tcW w:w="2493" w:type="dxa"/>
          </w:tcPr>
          <w:p w14:paraId="3E2F4351" w14:textId="77777777" w:rsidR="002562B9" w:rsidRDefault="007A4474">
            <w:r>
              <w:rPr>
                <w:sz w:val="16"/>
              </w:rPr>
              <w:t>W39</w:t>
            </w:r>
          </w:p>
        </w:tc>
        <w:tc>
          <w:tcPr>
            <w:tcW w:w="2493" w:type="dxa"/>
          </w:tcPr>
          <w:p w14:paraId="36364B46" w14:textId="77777777" w:rsidR="002562B9" w:rsidRDefault="007A4474">
            <w:r>
              <w:rPr>
                <w:sz w:val="16"/>
              </w:rPr>
              <w:t>A/B / review-specific nine-domain output appraisal</w:t>
            </w:r>
          </w:p>
        </w:tc>
        <w:tc>
          <w:tcPr>
            <w:tcW w:w="2493" w:type="dxa"/>
          </w:tcPr>
          <w:p w14:paraId="5BF295E5" w14:textId="77777777" w:rsidR="002562B9" w:rsidRDefault="007A4474">
            <w:r>
              <w:rPr>
                <w:sz w:val="16"/>
              </w:rPr>
              <w:t>Domain-level judgements with cited evidence; no overall score computed</w:t>
            </w:r>
          </w:p>
        </w:tc>
        <w:tc>
          <w:tcPr>
            <w:tcW w:w="2493" w:type="dxa"/>
          </w:tcPr>
          <w:p>
            <w:r>
              <w:t>AI-assisted appraisal; researcher signoff pending.</w:t>
            </w:r>
          </w:p>
        </w:tc>
      </w:tr>
      <w:tr w:rsidR="002562B9" w14:paraId="7CB3BBA6" w14:textId="77777777">
        <w:trPr>
          <w:jc w:val="center"/>
        </w:trPr>
        <w:tc>
          <w:tcPr>
            <w:tcW w:w="2493" w:type="dxa"/>
          </w:tcPr>
          <w:p w14:paraId="2DB181EF" w14:textId="77777777" w:rsidR="002562B9" w:rsidRDefault="007A4474">
            <w:r>
              <w:rPr>
                <w:sz w:val="16"/>
              </w:rPr>
              <w:t>W40</w:t>
            </w:r>
          </w:p>
        </w:tc>
        <w:tc>
          <w:tcPr>
            <w:tcW w:w="2493" w:type="dxa"/>
          </w:tcPr>
          <w:p w14:paraId="0DD28B43" w14:textId="77777777" w:rsidR="002562B9" w:rsidRDefault="007A4474">
            <w:r>
              <w:rPr>
                <w:sz w:val="16"/>
              </w:rPr>
              <w:t>RoB 2 / five domains</w:t>
            </w:r>
          </w:p>
        </w:tc>
        <w:tc>
          <w:tcPr>
            <w:tcW w:w="2493" w:type="dxa"/>
          </w:tcPr>
          <w:p w14:paraId="61355038" w14:textId="77777777" w:rsidR="002562B9" w:rsidRDefault="007A4474">
            <w:r>
              <w:rPr>
                <w:sz w:val="16"/>
              </w:rPr>
              <w:t>AI-assisted RoB 2 judgements with cited evidence; researcher adjudication pending</w:t>
            </w:r>
          </w:p>
        </w:tc>
        <w:tc>
          <w:tcPr>
            <w:tcW w:w="2493" w:type="dxa"/>
          </w:tcPr>
          <w:p>
            <w:r>
              <w:t>AI-assisted appraisal; researcher signoff pending.</w:t>
            </w:r>
          </w:p>
        </w:tc>
      </w:tr>
      <w:tr w:rsidR="002562B9" w14:paraId="16BAECD7" w14:textId="77777777">
        <w:trPr>
          <w:jc w:val="center"/>
        </w:trPr>
        <w:tc>
          <w:tcPr>
            <w:tcW w:w="2493" w:type="dxa"/>
          </w:tcPr>
          <w:p w14:paraId="1632D834" w14:textId="77777777" w:rsidR="002562B9" w:rsidRDefault="007A4474">
            <w:r>
              <w:rPr>
                <w:sz w:val="16"/>
              </w:rPr>
              <w:t>W41</w:t>
            </w:r>
          </w:p>
        </w:tc>
        <w:tc>
          <w:tcPr>
            <w:tcW w:w="2493" w:type="dxa"/>
          </w:tcPr>
          <w:p w14:paraId="379CF0F9" w14:textId="77777777" w:rsidR="002562B9" w:rsidRDefault="007A4474">
            <w:r>
              <w:rPr>
                <w:sz w:val="16"/>
              </w:rPr>
              <w:t>A/B / review-specific nine-domain output appraisal</w:t>
            </w:r>
          </w:p>
        </w:tc>
        <w:tc>
          <w:tcPr>
            <w:tcW w:w="2493" w:type="dxa"/>
          </w:tcPr>
          <w:p w14:paraId="1AD54F22" w14:textId="77777777" w:rsidR="002562B9" w:rsidRDefault="007A4474">
            <w:r>
              <w:rPr>
                <w:sz w:val="16"/>
              </w:rPr>
              <w:t>Domain-level judgements with cited evidence; no overall score computed</w:t>
            </w:r>
          </w:p>
        </w:tc>
        <w:tc>
          <w:tcPr>
            <w:tcW w:w="2493" w:type="dxa"/>
          </w:tcPr>
          <w:p>
            <w:r>
              <w:t>AI-assisted appraisal; researcher signoff pending.</w:t>
            </w:r>
          </w:p>
        </w:tc>
      </w:tr>
      <w:tr w:rsidR="002562B9" w14:paraId="062E641A" w14:textId="77777777">
        <w:trPr>
          <w:jc w:val="center"/>
        </w:trPr>
        <w:tc>
          <w:tcPr>
            <w:tcW w:w="2493" w:type="dxa"/>
          </w:tcPr>
          <w:p w14:paraId="1C1CB0E0" w14:textId="77777777" w:rsidR="002562B9" w:rsidRDefault="007A4474">
            <w:r>
              <w:rPr>
                <w:sz w:val="16"/>
              </w:rPr>
              <w:t>W42</w:t>
            </w:r>
          </w:p>
        </w:tc>
        <w:tc>
          <w:tcPr>
            <w:tcW w:w="2493" w:type="dxa"/>
          </w:tcPr>
          <w:p w14:paraId="13BA40C4" w14:textId="77777777" w:rsidR="002562B9" w:rsidRDefault="007A4474">
            <w:r>
              <w:rPr>
                <w:sz w:val="16"/>
              </w:rPr>
              <w:t>A/B / review-specific nine-domain output appraisal</w:t>
            </w:r>
          </w:p>
        </w:tc>
        <w:tc>
          <w:tcPr>
            <w:tcW w:w="2493" w:type="dxa"/>
          </w:tcPr>
          <w:p w14:paraId="6B536C4D" w14:textId="77777777" w:rsidR="002562B9" w:rsidRDefault="007A4474">
            <w:r>
              <w:rPr>
                <w:sz w:val="16"/>
              </w:rPr>
              <w:t>Domain-level judgements with cited evidence; no overall score computed</w:t>
            </w:r>
          </w:p>
        </w:tc>
        <w:tc>
          <w:tcPr>
            <w:tcW w:w="2493" w:type="dxa"/>
          </w:tcPr>
          <w:p>
            <w:r>
              <w:t>AI-assisted appraisal; researcher signoff pending.</w:t>
            </w:r>
          </w:p>
        </w:tc>
      </w:tr>
      <w:tr w:rsidR="002562B9" w14:paraId="60DB82BF" w14:textId="77777777">
        <w:trPr>
          <w:jc w:val="center"/>
        </w:trPr>
        <w:tc>
          <w:tcPr>
            <w:tcW w:w="2493" w:type="dxa"/>
          </w:tcPr>
          <w:p w14:paraId="3CC2EE6C" w14:textId="77777777" w:rsidR="002562B9" w:rsidRDefault="007A4474">
            <w:r>
              <w:rPr>
                <w:sz w:val="16"/>
              </w:rPr>
              <w:t>W43</w:t>
            </w:r>
          </w:p>
        </w:tc>
        <w:tc>
          <w:tcPr>
            <w:tcW w:w="2493" w:type="dxa"/>
          </w:tcPr>
          <w:p w14:paraId="1D4168D2" w14:textId="77777777" w:rsidR="002562B9" w:rsidRDefault="007A4474">
            <w:r>
              <w:rPr>
                <w:sz w:val="16"/>
              </w:rPr>
              <w:t>A/B / review-specific nine-domain output appraisal</w:t>
            </w:r>
          </w:p>
        </w:tc>
        <w:tc>
          <w:tcPr>
            <w:tcW w:w="2493" w:type="dxa"/>
          </w:tcPr>
          <w:p w14:paraId="715F13FB" w14:textId="77777777" w:rsidR="002562B9" w:rsidRDefault="007A4474">
            <w:r>
              <w:rPr>
                <w:sz w:val="16"/>
              </w:rPr>
              <w:t>Domain-level judgements with cited evidence; no overall score computed</w:t>
            </w:r>
          </w:p>
        </w:tc>
        <w:tc>
          <w:tcPr>
            <w:tcW w:w="2493" w:type="dxa"/>
          </w:tcPr>
          <w:p>
            <w:r>
              <w:t>AI-assisted appraisal; researcher signoff pending.</w:t>
            </w:r>
          </w:p>
        </w:tc>
      </w:tr>
      <w:tr w:rsidR="002562B9" w14:paraId="4E481D6B" w14:textId="77777777">
        <w:trPr>
          <w:jc w:val="center"/>
        </w:trPr>
        <w:tc>
          <w:tcPr>
            <w:tcW w:w="2493" w:type="dxa"/>
          </w:tcPr>
          <w:p w14:paraId="6033D59E" w14:textId="77777777" w:rsidR="002562B9" w:rsidRDefault="007A4474">
            <w:r>
              <w:rPr>
                <w:sz w:val="16"/>
              </w:rPr>
              <w:t>W44</w:t>
            </w:r>
          </w:p>
        </w:tc>
        <w:tc>
          <w:tcPr>
            <w:tcW w:w="2493" w:type="dxa"/>
          </w:tcPr>
          <w:p w14:paraId="3F96EE62" w14:textId="77777777" w:rsidR="002562B9" w:rsidRDefault="007A4474">
            <w:r>
              <w:rPr>
                <w:sz w:val="16"/>
              </w:rPr>
              <w:t>A/B / review-specific nine-domain output appraisal</w:t>
            </w:r>
          </w:p>
        </w:tc>
        <w:tc>
          <w:tcPr>
            <w:tcW w:w="2493" w:type="dxa"/>
          </w:tcPr>
          <w:p w14:paraId="1C43F33B" w14:textId="77777777" w:rsidR="002562B9" w:rsidRDefault="007A4474">
            <w:r>
              <w:rPr>
                <w:sz w:val="16"/>
              </w:rPr>
              <w:t>Domain-level judgements with cited evidence; no overall score computed</w:t>
            </w:r>
          </w:p>
        </w:tc>
        <w:tc>
          <w:tcPr>
            <w:tcW w:w="2493" w:type="dxa"/>
          </w:tcPr>
          <w:p>
            <w:r>
              <w:t>AI-assisted appraisal; researcher signoff pending.</w:t>
            </w:r>
          </w:p>
        </w:tc>
      </w:tr>
    </w:tbl>
    <w:p>
      <w:r>
        <w:t>Table 5. Decision-domain evidence and limits of inference (post hoc synthesis).</w:t>
      </w:r>
    </w:p>
    <w:tbl>
      <w:tblPr>
        <w:tblStyle w:val="TableGrid"/>
        <w:tblW w:type="auto" w:w="0"/>
        <w:tblLook w:firstColumn="1" w:firstRow="1" w:lastColumn="0" w:lastRow="0" w:noHBand="0" w:noVBand="1" w:val="04A0"/>
      </w:tblPr>
      <w:tblGrid>
        <w:gridCol w:w="2464"/>
        <w:gridCol w:w="2464"/>
        <w:gridCol w:w="2464"/>
        <w:gridCol w:w="2464"/>
      </w:tblGrid>
      <w:tr>
        <w:tc>
          <w:tcPr>
            <w:tcW w:type="dxa" w:w="2464"/>
          </w:tcPr>
          <w:p>
            <w:r>
              <w:t>Decision domain</w:t>
            </w:r>
          </w:p>
        </w:tc>
        <w:tc>
          <w:tcPr>
            <w:tcW w:type="dxa" w:w="2464"/>
          </w:tcPr>
          <w:p>
            <w:r>
              <w:t>Evidence/methods</w:t>
            </w:r>
          </w:p>
        </w:tc>
        <w:tc>
          <w:tcPr>
            <w:tcW w:type="dxa" w:w="2464"/>
          </w:tcPr>
          <w:p>
            <w:r>
              <w:t>Observed findings</w:t>
            </w:r>
          </w:p>
        </w:tc>
        <w:tc>
          <w:tcPr>
            <w:tcW w:type="dxa" w:w="2464"/>
          </w:tcPr>
          <w:p>
            <w:r>
              <w:t>Inference limit</w:t>
            </w:r>
          </w:p>
        </w:tc>
      </w:tr>
      <w:tr>
        <w:tc>
          <w:tcPr>
            <w:tcW w:type="dxa" w:w="2464"/>
          </w:tcPr>
          <w:p>
            <w:r>
              <w:t>Pre-exercise risk screening</w:t>
            </w:r>
          </w:p>
        </w:tc>
        <w:tc>
          <w:tcPr>
            <w:tcW w:type="dxa" w:w="2464"/>
          </w:tcPr>
          <w:p>
            <w:r>
              <w:t>Expert review, error coding, CKD rubric and simulated escalation</w:t>
            </w:r>
          </w:p>
        </w:tc>
        <w:tc>
          <w:tcPr>
            <w:tcW w:type="dxa" w:w="2464"/>
          </w:tcPr>
          <w:p>
            <w:r>
              <w:t>Comorbidity safety gaps, omitted differential diagnosis/exam screening, and simulated risk handling were reported.</w:t>
            </w:r>
          </w:p>
        </w:tc>
        <w:tc>
          <w:tcPr>
            <w:tcW w:type="dxa" w:w="2464"/>
          </w:tcPr>
          <w:p>
            <w:r>
              <w:t>No common false-negative or referral sensitivity denominator.</w:t>
            </w:r>
          </w:p>
        </w:tc>
      </w:tr>
      <w:tr>
        <w:tc>
          <w:tcPr>
            <w:tcW w:type="dxa" w:w="2464"/>
          </w:tcPr>
          <w:p>
            <w:r>
              <w:t>Exercise-dose appropriateness</w:t>
            </w:r>
          </w:p>
        </w:tc>
        <w:tc>
          <w:tcPr>
            <w:tcW w:type="dxa" w:w="2464"/>
          </w:tcPr>
          <w:p>
            <w:r>
              <w:t>FITT scoring, guideline alignment, plan comparison and expert ratings</w:t>
            </w:r>
          </w:p>
        </w:tc>
        <w:tc>
          <w:tcPr>
            <w:tcW w:type="dxa" w:w="2464"/>
          </w:tcPr>
          <w:p>
            <w:r>
              <w:t>Rapid progression, missing mileage, unclassifiable intensity and uneven training-zone ratings occurred in specific outputs.</w:t>
            </w:r>
          </w:p>
        </w:tc>
        <w:tc>
          <w:tcPr>
            <w:tcW w:type="dxa" w:w="2464"/>
          </w:tcPr>
          <w:p>
            <w:r>
              <w:t>Structural or rubric compliance is not individual tolerance.</w:t>
            </w:r>
          </w:p>
        </w:tc>
      </w:tr>
      <w:tr>
        <w:tc>
          <w:tcPr>
            <w:tcW w:type="dxa" w:w="2464"/>
          </w:tcPr>
          <w:p>
            <w:r>
              <w:t>Individual adaptation</w:t>
            </w:r>
          </w:p>
        </w:tc>
        <w:tc>
          <w:tcPr>
            <w:tcW w:type="dxa" w:w="2464"/>
          </w:tcPr>
          <w:p>
            <w:r>
              <w:t>Real-data cases, physiotherapist consensus, athlete levels and accessibility proxies</w:t>
            </w:r>
          </w:p>
        </w:tc>
        <w:tc>
          <w:tcPr>
            <w:tcW w:type="dxa" w:w="2464"/>
          </w:tcPr>
          <w:p>
            <w:r>
              <w:t>W24-R1/R2 used one 40-patient cohort; W37 narrowed an access-cost proxy gap; several plans still missed individual details.</w:t>
            </w:r>
          </w:p>
        </w:tc>
        <w:tc>
          <w:tcPr>
            <w:tcW w:type="dxa" w:w="2464"/>
          </w:tcPr>
          <w:p>
            <w:r>
              <w:t>Real data and expert agreement do not show delivered benefit.</w:t>
            </w:r>
          </w:p>
        </w:tc>
      </w:tr>
      <w:tr>
        <w:tc>
          <w:tcPr>
            <w:tcW w:type="dxa" w:w="2464"/>
          </w:tcPr>
          <w:p>
            <w:r>
              <w:t>Dynamic monitoring</w:t>
            </w:r>
          </w:p>
        </w:tc>
        <w:tc>
          <w:tcPr>
            <w:tcW w:type="dxa" w:w="2464"/>
          </w:tcPr>
          <w:p>
            <w:r>
              <w:t>Simulated follow-up/escalation; daily wearable-informed plans in W40</w:t>
            </w:r>
          </w:p>
        </w:tc>
        <w:tc>
          <w:tcPr>
            <w:tcW w:type="dxa" w:w="2464"/>
          </w:tcPr>
          <w:p>
            <w:r>
              <w:t>W29/W36 assessed simulated changes; W40 combined daily generation with rules and coach override.</w:t>
            </w:r>
          </w:p>
        </w:tc>
        <w:tc>
          <w:tcPr>
            <w:tcW w:type="dxa" w:w="2464"/>
          </w:tcPr>
          <w:p>
            <w:r>
              <w:t>Separate LLM contribution and response to monitored triggers unverified.</w:t>
            </w:r>
          </w:p>
        </w:tc>
      </w:tr>
      <w:tr>
        <w:tc>
          <w:tcPr>
            <w:tcW w:type="dxa" w:w="2464"/>
          </w:tcPr>
          <w:p>
            <w:r>
              <w:t>Human implementation safety</w:t>
            </w:r>
          </w:p>
        </w:tc>
        <w:tc>
          <w:tcPr>
            <w:tcW w:type="dxa" w:w="2464"/>
          </w:tcPr>
          <w:p>
            <w:r>
              <w:t>W17/W26/W27/W40 human comparisons</w:t>
            </w:r>
          </w:p>
        </w:tc>
        <w:tc>
          <w:tcPr>
            <w:tcW w:type="dxa" w:w="2464"/>
          </w:tcPr>
          <w:p>
            <w:r>
              <w:t>Three reports had adverse events NR; W40 explicitly stated none reported during 12 weeks.</w:t>
            </w:r>
          </w:p>
        </w:tc>
        <w:tc>
          <w:tcPr>
            <w:tcW w:type="dxa" w:w="2464"/>
          </w:tcPr>
          <w:p>
            <w:r>
              <w:t>Surveillance and co-interventions prevent a general safety claim.</w:t>
            </w:r>
          </w:p>
        </w:tc>
      </w:tr>
    </w:tbl>
    <w:p>
      <w:pPr>
        <w:keepNext/>
      </w:pPr>
      <w:r>
        <w:t>Figure 3. A/B/C evidence scenarios and their permissible inferences in the prior 35-study set. Scenario labels do not rank methodological quality; the seven new independent studies and linked W24-R2 report remain provisional.</w:t>
      </w:r>
    </w:p>
    <w:p>
      <w:pPr>
        <w:jc w:val="center"/>
      </w:pPr>
      <w:r>
        <w:drawing>
          <wp:inline xmlns:a="http://schemas.openxmlformats.org/drawingml/2006/main" xmlns:pic="http://schemas.openxmlformats.org/drawingml/2006/picture">
            <wp:extent cx="5806440" cy="3322418"/>
            <wp:docPr id="4" name="Picture 4"/>
            <wp:cNvGraphicFramePr>
              <a:graphicFrameLocks noChangeAspect="1"/>
            </wp:cNvGraphicFramePr>
            <a:graphic>
              <a:graphicData uri="http://schemas.openxmlformats.org/drawingml/2006/picture">
                <pic:pic>
                  <pic:nvPicPr>
                    <pic:cNvPr id="0" name="Figure_3_Evidence_Classes_and_Inference_Boundaries.png"/>
                    <pic:cNvPicPr/>
                  </pic:nvPicPr>
                  <pic:blipFill>
                    <a:blip r:embed="rId17"/>
                    <a:stretch>
                      <a:fillRect/>
                    </a:stretch>
                  </pic:blipFill>
                  <pic:spPr>
                    <a:xfrm>
                      <a:off x="0" y="0"/>
                      <a:ext cx="5806440" cy="3322418"/>
                    </a:xfrm>
                    <a:prstGeom prst="rect"/>
                  </pic:spPr>
                </pic:pic>
              </a:graphicData>
            </a:graphic>
          </wp:inline>
        </w:drawing>
      </w:r>
    </w:p>
    <w:p>
      <w:r>
        <w:rPr>
          <w:rFonts w:ascii="Times New Roman" w:hAnsi="Times New Roman"/>
          <w:sz w:val="22"/>
        </w:rPr>
      </w:r>
    </w:p>
    <w:p>
      <w:r>
        <w:rPr>
          <w:rFonts w:ascii="Times New Roman" w:hAnsi="Times New Roman"/>
          <w:sz w:val="22"/>
        </w:rPr>
        <w:t>Conceptual evidence map; it does not represent an effect size, risk-of-bias rating, or adverse-event incidence.</w:t>
      </w:r>
    </w:p>
    <w:p>
      <w:pPr>
        <w:pStyle w:val="Heading1"/>
      </w:pPr>
      <w:r>
        <w:rPr>
          <w:rFonts w:ascii="Times New Roman" w:hAnsi="Times New Roman"/>
          <w:sz w:val="22"/>
        </w:rPr>
        <w:t>Declarations—author confirmation required</w:t>
      </w:r>
    </w:p>
    <w:p>
      <w:pPr/>
      <w:r>
        <w:rPr>
          <w:rFonts w:ascii="Times New Roman" w:hAnsi="Times New Roman"/>
          <w:b/>
          <w:sz w:val="22"/>
        </w:rPr>
        <w:t xml:space="preserve">Data availability: </w:t>
      </w:r>
      <w:r>
        <w:rPr>
          <w:rFonts w:ascii="Times New Roman" w:hAnsi="Times New Roman"/>
          <w:sz w:val="22"/>
        </w:rPr>
        <w:t>PENDING: confirm whether the extracted study-level dataset, screening records, and appraisal workbook will be made publicly available and provide a repository link if applicable.</w:t>
      </w:r>
    </w:p>
    <w:p>
      <w:pPr/>
      <w:r>
        <w:rPr>
          <w:rFonts w:ascii="Times New Roman" w:hAnsi="Times New Roman"/>
          <w:b/>
          <w:sz w:val="22"/>
        </w:rPr>
        <w:t xml:space="preserve">Author contributions: </w:t>
      </w:r>
      <w:r>
        <w:rPr>
          <w:rFonts w:ascii="Times New Roman" w:hAnsi="Times New Roman"/>
          <w:sz w:val="22"/>
        </w:rPr>
        <w:t>PENDING: authors must confirm roles using the journal’s required taxonomy. No contribution statement is inferred from the supervisor field.</w:t>
      </w:r>
    </w:p>
    <w:p>
      <w:pPr/>
      <w:r>
        <w:rPr>
          <w:rFonts w:ascii="Times New Roman" w:hAnsi="Times New Roman"/>
          <w:b/>
          <w:sz w:val="22"/>
        </w:rPr>
        <w:t xml:space="preserve">Funding: </w:t>
      </w:r>
      <w:r>
        <w:rPr>
          <w:rFonts w:ascii="Times New Roman" w:hAnsi="Times New Roman"/>
          <w:sz w:val="22"/>
        </w:rPr>
        <w:t>PENDING: author confirmation required; no funding source was supplied in the audited project materials.</w:t>
      </w:r>
    </w:p>
    <w:p>
      <w:pPr/>
      <w:r>
        <w:rPr>
          <w:rFonts w:ascii="Times New Roman" w:hAnsi="Times New Roman"/>
          <w:b/>
          <w:sz w:val="22"/>
        </w:rPr>
        <w:t xml:space="preserve">Conflict of interest: </w:t>
      </w:r>
      <w:r>
        <w:rPr>
          <w:rFonts w:ascii="Times New Roman" w:hAnsi="Times New Roman"/>
          <w:sz w:val="22"/>
        </w:rPr>
        <w:t>PENDING: author confirmation required.</w:t>
      </w:r>
    </w:p>
    <w:p>
      <w:pPr/>
      <w:r>
        <w:rPr>
          <w:rFonts w:ascii="Times New Roman" w:hAnsi="Times New Roman"/>
          <w:b/>
          <w:sz w:val="22"/>
        </w:rPr>
        <w:t xml:space="preserve">Ethics statement: </w:t>
      </w:r>
      <w:r>
        <w:rPr>
          <w:rFonts w:ascii="Times New Roman" w:hAnsi="Times New Roman"/>
          <w:sz w:val="22"/>
        </w:rPr>
        <w:t>Not applicable to this review of published reports, subject to author and journal confirmation.</w:t>
      </w:r>
    </w:p>
    <w:p>
      <w:pPr/>
      <w:r>
        <w:rPr>
          <w:rFonts w:ascii="Times New Roman" w:hAnsi="Times New Roman"/>
          <w:b/>
          <w:sz w:val="22"/>
        </w:rPr>
        <w:t xml:space="preserve">Generative AI statement: </w:t>
      </w:r>
      <w:r>
        <w:rPr>
          <w:rFonts w:ascii="Times New Roman" w:hAnsi="Times New Roman"/>
          <w:sz w:val="22"/>
        </w:rPr>
        <w:t>AI tools assisted with record organization, evidence extraction, and language editing. The authors must confirm the exact tools, scope, and responsibility statement before submission.</w:t>
      </w:r>
    </w:p>
    <w:p>
      <w:pPr/>
      <w:r>
        <w:rPr>
          <w:rFonts w:ascii="Times New Roman" w:hAnsi="Times New Roman"/>
          <w:b/>
          <w:sz w:val="22"/>
        </w:rPr>
        <w:t xml:space="preserve">Supplementary material: </w:t>
      </w:r>
      <w:r>
        <w:rPr>
          <w:rFonts w:ascii="Times New Roman" w:hAnsi="Times New Roman"/>
          <w:sz w:val="22"/>
        </w:rPr>
        <w:t>Supplementary extraction and evidence files are prepared in the accompanying workbook; final journal file naming and upload requirements remain to be checked against current author instructions.</w:t>
      </w:r>
    </w:p>
    <w:p>
      <w:pPr>
        <w:pStyle w:val="Heading1"/>
      </w:pPr>
      <w:r>
        <w:t>References</w:t>
      </w:r>
    </w:p>
    <w:p>
      <w:r>
        <w:rPr>
          <w:rFonts w:ascii="Times New Roman" w:hAnsi="Times New Roman"/>
          <w:sz w:val="22"/>
        </w:rPr>
        <w:t>1. Page MJ, McKenzie JE, Bossuyt PM, Boutron I, Hoffmann TC, Mulrow CD, et al. The PRISMA 2020 statement: an updated guideline for reporting systematic reviews. BMJ. 2021;372:n71. doi:10.1136/bmj.n71.</w:t>
      </w:r>
    </w:p>
    <w:p>
      <w:r>
        <w:rPr>
          <w:rFonts w:ascii="Times New Roman" w:hAnsi="Times New Roman"/>
          <w:sz w:val="22"/>
        </w:rPr>
        <w:t>2. Rethlefsen ML, Kirtley S, Waffenschmidt S, Ayala AP, Moher D, Page MJ, et al. PRISMA-S: an extension to the PRISMA Statement for Reporting Literature Searches in Systematic Reviews. Syst Rev. 2021;10(1):39. doi:10.1186/s13643-020-01542-z.</w:t>
      </w:r>
    </w:p>
    <w:p>
      <w:r>
        <w:rPr>
          <w:rFonts w:ascii="Times New Roman" w:hAnsi="Times New Roman"/>
          <w:sz w:val="22"/>
        </w:rPr>
        <w:t>3. Campbell M, McKenzie JE, Sowden A, Katikireddi SV, Brennan SE, Ellis S, et al. Synthesis without meta-analysis (SWiM) in systematic reviews: reporting guideline. BMJ. 2020;368:l6890. doi:10.1136/bmj.l6890.</w:t>
      </w:r>
    </w:p>
    <w:p>
      <w:r>
        <w:rPr>
          <w:rFonts w:ascii="Times New Roman" w:hAnsi="Times New Roman"/>
          <w:sz w:val="22"/>
        </w:rPr>
        <w:t>4. Garber CE, Blissmer B, Deschenes MR, Franklin BA, Lamonte MJ, Lee IM, et al. Quantity and Quality of Exercise for Developing and Maintaining Cardiorespiratory, Musculoskeletal, and Neuromotor Fitness in Apparently Healthy Adults. Med Sci Sports Exerc. 2011;43(7):1334-1359. doi:10.1249/MSS.0b013e318213fefb.</w:t>
      </w:r>
    </w:p>
    <w:p>
      <w:r>
        <w:rPr>
          <w:rFonts w:ascii="Times New Roman" w:hAnsi="Times New Roman"/>
          <w:sz w:val="22"/>
        </w:rPr>
        <w:t>5. Dergaa I, Ben Saad H, El Omri A, Glenn J, Clark C, Washif J, et al. Using artificial intelligence for exercise prescription in personalised health promotion: A critical evaluation of OpenAI’s GPT-4 model. Biol Sport. 2024;41(2):221-241. doi:10.5114/biolsport.2024.133661.</w:t>
      </w:r>
    </w:p>
    <w:p>
      <w:r>
        <w:rPr>
          <w:rFonts w:ascii="Times New Roman" w:hAnsi="Times New Roman"/>
          <w:sz w:val="22"/>
        </w:rPr>
        <w:t>6. Havers T, Jelonnek C, Masur L, Isenmann E, Sperlich B, Geisler S, et al. A professional assessment of training plans for muscle hypertrophy and maximal strength developed by generative artificial intelligence. Biol Sport. 2025;42(4):353-380. doi:10.5114/biolsport.2026.152350.</w:t>
      </w:r>
    </w:p>
    <w:p>
      <w:r>
        <w:rPr>
          <w:rFonts w:ascii="Times New Roman" w:hAnsi="Times New Roman"/>
          <w:sz w:val="22"/>
        </w:rPr>
        <w:t>7. He Z, Wang J, Zhang B, Li Y. Knowledge-grounded large language model for personalized sports training plan generation. Sci Rep. 2026;16(1):6793. doi:10.1038/s41598-026-37075-z.</w:t>
      </w:r>
    </w:p>
    <w:p>
      <w:r>
        <w:rPr>
          <w:rFonts w:ascii="Times New Roman" w:hAnsi="Times New Roman"/>
          <w:sz w:val="22"/>
        </w:rPr>
        <w:t>8. Washif J, Pagaduan J, James C, Dergaa I, Beaven C. Artificial intelligence in sport: Exploring the potential of using ChatGPT in resistance training prescription. Biol Sport. 2024;41(2):209-220. doi:10.5114/biolsport.2024.132987.</w:t>
      </w:r>
    </w:p>
    <w:p>
      <w:r>
        <w:rPr>
          <w:rFonts w:ascii="Times New Roman" w:hAnsi="Times New Roman"/>
          <w:sz w:val="22"/>
        </w:rPr>
        <w:t>9. Havers T, Masur L, Isenmann E, Geisler S, Zinner C, Sperlich B, et al. Reproducibility and quality of hypertrophy-related training plans generated by GPT-4 and Google Gemini as evaluated by coaching experts. Biol Sport. 2025;42(2):289-329. doi:10.5114/biolsport.2025.145911.</w:t>
      </w:r>
    </w:p>
    <w:p>
      <w:r>
        <w:rPr>
          <w:rFonts w:ascii="Times New Roman" w:hAnsi="Times New Roman"/>
          <w:sz w:val="22"/>
        </w:rPr>
        <w:t>10. Düking P, Sperlich B, Voigt L, van Hooren B, Zanini M, Zinner C. ChatGPT Generated Training Plans for Runners are not Rated Optimal by Coaching Experts, but Increase in Quality with Additional Input Information. J Sports Sci Med. 2024;23:56-72. doi:10.52082/jssm.2024.56.</w:t>
      </w:r>
    </w:p>
    <w:p>
      <w:r>
        <w:rPr>
          <w:rFonts w:ascii="Times New Roman" w:hAnsi="Times New Roman"/>
          <w:sz w:val="22"/>
        </w:rPr>
        <w:t>11. Feng H, Wang X. Comparative performance of four large language models in generating evidence-based exercise prescriptions using FITT-VP framework. Front. Physiol. 2026;17:1846567. doi:10.3389/fphys.2026.1846567.</w:t>
      </w:r>
    </w:p>
    <w:p>
      <w:r>
        <w:rPr>
          <w:rFonts w:ascii="Times New Roman" w:hAnsi="Times New Roman"/>
          <w:sz w:val="22"/>
        </w:rPr>
        <w:t>12. Aydemir U. ChatGPT-Delivered Physical Activity Intervention for Children With Autism Spectrum Disorder: Pre-Post Feasibility Study. JMIR Hum Factors. 2025;12:e71119. doi:10.2196/71119.</w:t>
      </w:r>
    </w:p>
    <w:p>
      <w:r>
        <w:rPr>
          <w:rFonts w:ascii="Times New Roman" w:hAnsi="Times New Roman"/>
          <w:sz w:val="22"/>
        </w:rPr>
        <w:t>13. Zhao T, Peng Y, Chen Z, Wang X. Physiological relevance and generation-level stability of artificial intelligence-generated race-day warm-up and cool-down plans for sprint swimming: an expert-rated comparison of four large language models. Front. Physiol. 2026;17:1923231. doi:10.3389/fphys.2026.1923231.</w:t>
      </w:r>
    </w:p>
    <w:p>
      <w:r>
        <w:rPr>
          <w:rFonts w:ascii="Times New Roman" w:hAnsi="Times New Roman"/>
          <w:sz w:val="22"/>
        </w:rPr>
        <w:t>14. Philuek P, Kusump S, Sathianpoonsook T, Jansupom C, Sawanyawisuth P, Sawanyawisuth K, et al. The effects of chat GPT generated exercise program in healthy overweight young adults: A pilot study. J Hum Sport Exerc. 2025;20:169-179. doi:10.55860/1epqgp77.</w:t>
      </w:r>
    </w:p>
    <w:p>
      <w:r>
        <w:rPr>
          <w:rFonts w:ascii="Times New Roman" w:hAnsi="Times New Roman"/>
          <w:sz w:val="22"/>
        </w:rPr>
        <w:t>15. Genç A, Aydin R, Canuzakov K, Abdurrahmanova D, Gürcan HH, Dere G, et al. Digital coaches: an alternative to expert coaches for men's fitness goals. Phys Act Rev. 2025;13(2):35-44. doi:10.16926/par.2025.13.18.</w:t>
      </w:r>
    </w:p>
    <w:p>
      <w:r>
        <w:rPr>
          <w:rFonts w:ascii="Times New Roman" w:hAnsi="Times New Roman"/>
          <w:sz w:val="22"/>
        </w:rPr>
        <w:t>16. Shin D, Hsieh G, Kim YH. PlanFitting: Personalized Exercise Planning with Large Language Model-driven Conversational Agent. In: Proceedings of the 7th ACM Conference on Conversational User Interfaces (CUI 2025). 2025:1-19. doi:10.1145/3719160.3736607.</w:t>
      </w:r>
    </w:p>
    <w:p>
      <w:r>
        <w:rPr>
          <w:rFonts w:ascii="Times New Roman" w:hAnsi="Times New Roman"/>
          <w:sz w:val="22"/>
        </w:rPr>
        <w:t>17. Schütze K, Shehatha R, Beer K, Needham M, Smith T, Bagg M, et al. Evaluating ChatGPT’s advice and recommendations regarding exercise for people with inclusion body myositis. Neuromuscular Disorders. 2026;62:106418. doi:10.1016/j.nmd.2026.106418.</w:t>
      </w:r>
    </w:p>
    <w:p>
      <w:r>
        <w:rPr>
          <w:rFonts w:ascii="Times New Roman" w:hAnsi="Times New Roman"/>
          <w:sz w:val="22"/>
        </w:rPr>
        <w:t>18. Bezruk V, Ivanov D, Ivanchuk M, Shkrobanets I, Makarova O, Rynzhuk L, et al. Impact of Query Language on the Structure and Guideline Alignment of AI-Generated Rehabilitation Programs in Chronic Kidney Disease. J Clin Med. 2026;15(11):4218. doi:10.3390/jcm15114218.</w:t>
      </w:r>
    </w:p>
    <w:p>
      <w:r>
        <w:rPr>
          <w:rFonts w:ascii="Times New Roman" w:hAnsi="Times New Roman"/>
          <w:sz w:val="22"/>
        </w:rPr>
        <w:t>19. Sterne JAC, Savović J, Page MJ, et al. RoB 2: a revised tool for assessing risk of bias in randomised trials. BMJ. 2019;366:l4898. doi:10.1136/bmj.l4898.</w:t>
      </w:r>
    </w:p>
    <w:p>
      <w:r>
        <w:rPr>
          <w:rFonts w:ascii="Times New Roman" w:hAnsi="Times New Roman"/>
          <w:sz w:val="22"/>
        </w:rPr>
        <w:t>20. Risk of Bias Tools. ROBINS-I Version 2. Updated November 20, 2025. https://www.riskofbias.info/welcome/robins-i-v2.</w:t>
      </w:r>
    </w:p>
    <w:p>
      <w:r>
        <w:rPr>
          <w:rFonts w:ascii="Times New Roman" w:hAnsi="Times New Roman"/>
          <w:sz w:val="22"/>
        </w:rPr>
        <w:t>21. JBI. Critical appraisal tools. https://jbi.global/critical-appraisal-tools.</w:t>
      </w:r>
    </w:p>
    <w:p>
      <w:r>
        <w:rPr>
          <w:rFonts w:ascii="Times New Roman" w:hAnsi="Times New Roman"/>
          <w:sz w:val="22"/>
        </w:rPr>
        <w:t>22. Wang M, Chen L, Yin M, Zhang B, et al. WMRE2030: integrating wearable devices, multi-omics, and artificial intelligence–driven real-time feedback into a daily-scale closed-loop framework for a new era of precision exercise. Front Physiol. 2026;17:1883295. doi:10.3389/fphys.2026.1883295.</w:t>
      </w:r>
    </w:p>
    <w:p>
      <w:r>
        <w:rPr>
          <w:rFonts w:ascii="Times New Roman" w:hAnsi="Times New Roman"/>
          <w:sz w:val="22"/>
        </w:rPr>
        <w:t>23. Lee K. Cross-model consistency of AI-generated exercise prescriptions: A repeated generation study across three large language models. International Journal of Medical Informatics. 2026; article 106594. doi:10.1016/j.ijmedinf.2026.106594.</w:t>
      </w:r>
    </w:p>
    <w:p>
      <w:pPr>
        <w:pStyle w:val="Heading1"/>
      </w:pPr>
      <w:r>
        <w:t>Appendix: Reports for the prior 35-study set and eight provisional eligible reports (seven new independent studies plus W24-R2).</w:t>
      </w:r>
    </w:p>
    <w:p>
      <w:r>
        <w:rPr>
          <w:rFonts w:ascii="Times New Roman" w:hAnsi="Times New Roman"/>
          <w:sz w:val="22"/>
        </w:rPr>
        <w:t>W01. Dergaa I; Ben Saad H; El Omri A; Glenn J; Clark C; Washif J; et al. (2024). Using artificial intelligence for exercise prescription in personalised health promotion: A critical evaluation of OpenAI’s GPT-4 model. DOI: 10.5114/biolsport.2024.133661.</w:t>
      </w:r>
    </w:p>
    <w:p>
      <w:r>
        <w:rPr>
          <w:rFonts w:ascii="Times New Roman" w:hAnsi="Times New Roman"/>
          <w:sz w:val="22"/>
        </w:rPr>
        <w:t>W02. Havers T; Jelonnek C; Masur L; Isenmann E; Sperlich B; Geisler S; et al. (2025). A professional assessment of training plans for muscle hypertrophy and maximal strength developed by generative artificial intelligence. DOI: 10.5114/biolsport.2026.152350.</w:t>
      </w:r>
    </w:p>
    <w:p>
      <w:r>
        <w:rPr>
          <w:rFonts w:ascii="Times New Roman" w:hAnsi="Times New Roman"/>
          <w:sz w:val="22"/>
        </w:rPr>
        <w:t>W03. He Z; Wang J; Zhang B; Li Y. (2026). Knowledge-grounded large language model for personalized sports training plan generation. DOI: 10.1038/s41598-026-37075-z.</w:t>
      </w:r>
    </w:p>
    <w:p>
      <w:r>
        <w:rPr>
          <w:rFonts w:ascii="Times New Roman" w:hAnsi="Times New Roman"/>
          <w:sz w:val="22"/>
        </w:rPr>
        <w:t>W04. Washif J; Pagaduan J; James C; Dergaa I; Beaven C. (2024). Artificial intelligence in sport: Exploring the potential of using ChatGPT in resistance training prescription. DOI: 10.5114/biolsport.2024.132987.</w:t>
      </w:r>
    </w:p>
    <w:p>
      <w:r>
        <w:rPr>
          <w:rFonts w:ascii="Times New Roman" w:hAnsi="Times New Roman"/>
          <w:sz w:val="22"/>
        </w:rPr>
        <w:t>W05. Havers T; Masur L; Isenmann E; Geisler S; Zinner C; Sperlich B; et al. (2025). Reproducibility and quality of hypertrophy-related training plans generated by GPT-4 and Google Gemini as evaluated by coaching experts. DOI: 10.5114/biolsport.2025.145911.</w:t>
      </w:r>
    </w:p>
    <w:p>
      <w:r>
        <w:rPr>
          <w:rFonts w:ascii="Times New Roman" w:hAnsi="Times New Roman"/>
          <w:sz w:val="22"/>
        </w:rPr>
        <w:t>W06. Düking P; Sperlich B; Voigt L; Hooren BV; Zanini M; Zinner C. (2024). ChatGPT Generated Training Plans for Runners are not Rated Optimal by Coaching Experts, but Increase in Quality with Additional Input Information. DOI: 10.52082/jssm.2024.56.</w:t>
      </w:r>
    </w:p>
    <w:p>
      <w:r>
        <w:rPr>
          <w:rFonts w:ascii="Times New Roman" w:hAnsi="Times New Roman"/>
          <w:sz w:val="22"/>
        </w:rPr>
        <w:t>W07. Feng H; Wang X. (2026). Comparative performance of four large language models in generating evidence-based exercise prescriptions using FITT-VP framework. DOI: 10.3389/fphys.2026.1846567.</w:t>
      </w:r>
    </w:p>
    <w:p>
      <w:r>
        <w:rPr>
          <w:rFonts w:ascii="Times New Roman" w:hAnsi="Times New Roman"/>
          <w:sz w:val="22"/>
        </w:rPr>
        <w:t>W08. Perrero L; Gardalini M; Bolgeo T; Valorio P; Malfitano C; De Michelis V. (2026). Evaluation of AI-generated exercise prescriptions for diverse cardiac conditions in rehabilitation: a simulation study using the DeepSeek model. DOI: 10.3389/fresc.2026.1844420.</w:t>
      </w:r>
    </w:p>
    <w:p>
      <w:r>
        <w:rPr>
          <w:rFonts w:ascii="Times New Roman" w:hAnsi="Times New Roman"/>
          <w:sz w:val="22"/>
        </w:rPr>
        <w:t>W09. Genç A; Aydın GR; Kasap M; Özkan A; Rakhymzhanov A; Gürcan HH; et al. (2026). Comparative evaluation of ChatGPT versions in training program design: scientific approach, accuracy, and practical applicability. DOI: 10.1186/s13102-025-01409-7.</w:t>
      </w:r>
    </w:p>
    <w:p>
      <w:r>
        <w:rPr>
          <w:rFonts w:ascii="Times New Roman" w:hAnsi="Times New Roman"/>
          <w:sz w:val="22"/>
        </w:rPr>
        <w:t>W10. Akrimi S; Schwensfeier L; Düking P; Kreutz T; Brinkmann C. (2025). ChatGPT-4o-Generated Exercise Plans for Patients with Type 2 Diabetes Mellitus—Assessment of Their Safety and Other Quality Criteria by Coaching Experts. DOI: 10.3390/sports13040092.</w:t>
      </w:r>
    </w:p>
    <w:p>
      <w:r>
        <w:rPr>
          <w:rFonts w:ascii="Times New Roman" w:hAnsi="Times New Roman"/>
          <w:sz w:val="22"/>
        </w:rPr>
        <w:t>W11. Xu Y; Liu Q; Pang J; Zeng C; Ma X; Li P; et al. (2024). Assessment of Personalized Exercise Prescriptions Issued by ChatGPT 4.0 and Intelligent Health Promotion Systems for Patients with Hypertension Comorbidities Based on the Transtheoretical Model: A Comparative Analysis. DOI: 10.2147/JMDH.S477452.</w:t>
      </w:r>
    </w:p>
    <w:p>
      <w:r>
        <w:rPr>
          <w:rFonts w:ascii="Times New Roman" w:hAnsi="Times New Roman"/>
          <w:sz w:val="22"/>
        </w:rPr>
        <w:t>W12. Wachholz F; Manno S; Schlachter D; Gamper N; Schnitzer M. (2025). Acceptance and trust in AI-generated exercise plans among recreational athletes and quality evaluation by experienced coaches: a pilot study. DOI: 10.1186/s13104-025-07172-9.</w:t>
      </w:r>
    </w:p>
    <w:p>
      <w:r>
        <w:rPr>
          <w:rFonts w:ascii="Times New Roman" w:hAnsi="Times New Roman"/>
          <w:sz w:val="22"/>
        </w:rPr>
        <w:t>W13. Lee K. (2026). Cross-model consistency of AI-generated exercise prescriptions: A repeated generation study across three large language models. DOI: 10.1016/j.ijmedinf.2026.106594.</w:t>
      </w:r>
    </w:p>
    <w:p>
      <w:r>
        <w:rPr>
          <w:rFonts w:ascii="Times New Roman" w:hAnsi="Times New Roman"/>
          <w:sz w:val="22"/>
        </w:rPr>
        <w:t>W14. Sortino M; Trovato B; Chiaramonte R; Carrera A; Sapienza M; Roggio F; et al. (2026). The Role of Artificial Intelligence and Professional Expertise in Adapted Physical Activity Prescription for Orthopedic Rehabilitation. DOI: 10.3390/jfmk11010113.</w:t>
      </w:r>
    </w:p>
    <w:p>
      <w:r>
        <w:rPr>
          <w:rFonts w:ascii="Times New Roman" w:hAnsi="Times New Roman"/>
          <w:sz w:val="22"/>
        </w:rPr>
        <w:t>W15. Choi M; Park J; Lee M; Beom J; Jung SY; Lee K. (2026). AI-Generated Exercise Prescriptions for At-Risk Populations: Safety and Feasibility of a Large Language Model Assessed by Expert Evaluation. DOI: 10.3390/jcm15062457.</w:t>
      </w:r>
    </w:p>
    <w:p>
      <w:r>
        <w:rPr>
          <w:rFonts w:ascii="Times New Roman" w:hAnsi="Times New Roman"/>
          <w:sz w:val="22"/>
        </w:rPr>
        <w:t>W16. Cheng Q; Lou W; Mou G; Liu Y. (2026). Evaluating AI in postoperative rehabilitation of axillary web syndrome after breast cancer surgery: ChatGPT vs DeepSeek. DOI: 10.1080/01443615.2026.2695784.</w:t>
      </w:r>
    </w:p>
    <w:p>
      <w:r>
        <w:rPr>
          <w:rFonts w:ascii="Times New Roman" w:hAnsi="Times New Roman"/>
          <w:sz w:val="22"/>
        </w:rPr>
        <w:t>W17. Aydemir U. (2025). ChatGPT-Delivered Physical Activity Intervention for Children With Autism Spectrum Disorder: Pre-Post Feasibility Study. DOI: 10.2196/71119.</w:t>
      </w:r>
    </w:p>
    <w:p>
      <w:r>
        <w:rPr>
          <w:rFonts w:ascii="Times New Roman" w:hAnsi="Times New Roman"/>
          <w:sz w:val="22"/>
        </w:rPr>
        <w:t>W18. Yang Z; Zhang X; Li H; Ye J. (2026). More details, less variability? A crossover design study on the impact of information granularity on ChatGPT’s training program stability. DOI: 10.5114/biolsport.2026.154148.</w:t>
      </w:r>
    </w:p>
    <w:p>
      <w:r>
        <w:rPr>
          <w:rFonts w:ascii="Times New Roman" w:hAnsi="Times New Roman"/>
          <w:sz w:val="22"/>
        </w:rPr>
        <w:t>W20. Cali A; Yorukoglu ME; Acar G; Safran E. (2026). ChatGPT-generated rehabilitation programs in sports physiotherapy: an expert evaluation and a mixed-methods study of clinical applicability. DOI: 10.3389/fmed.2026.1935702.</w:t>
      </w:r>
    </w:p>
    <w:p>
      <w:r>
        <w:rPr>
          <w:rFonts w:ascii="Times New Roman" w:hAnsi="Times New Roman"/>
          <w:sz w:val="22"/>
        </w:rPr>
        <w:t>W21. Zhao T; Peng Y; Chen Z; Wang X. (2026). Physiological relevance and generation-level stability of artificial intelligence-generated race-day warm-up and cool-down plans for sprint swimming: an expert-rated comparison of four large language models. DOI: 10.3389/fphys.2026.1923231.</w:t>
      </w:r>
    </w:p>
    <w:p>
      <w:r>
        <w:rPr>
          <w:rFonts w:ascii="Times New Roman" w:hAnsi="Times New Roman"/>
          <w:sz w:val="22"/>
        </w:rPr>
        <w:t>W22. Zaleski AL; Berkowsky R; Craig KJT; Pescatello LS. (2024). Comprehensiveness, Accuracy, and Readability of Exercise Recommendations Provided by an AI-Based Chatbot: Mixed Methods Study. DOI: 10.2196/51308.</w:t>
      </w:r>
    </w:p>
    <w:p>
      <w:r>
        <w:rPr>
          <w:rFonts w:ascii="Times New Roman" w:hAnsi="Times New Roman"/>
          <w:sz w:val="22"/>
        </w:rPr>
        <w:t>W23. Li G; Li H; Su Y; Li Y; Jiang S; Zhang G. (2025). GPT-4 as a virtual fitness coach: a case study assessing its effectiveness in providing weight loss and fitness guidance. DOI: 10.1186/s12889-025-22739-8.</w:t>
      </w:r>
    </w:p>
    <w:p>
      <w:r>
        <w:rPr>
          <w:rFonts w:ascii="Times New Roman" w:hAnsi="Times New Roman"/>
          <w:sz w:val="22"/>
        </w:rPr>
        <w:t>W24. Gürses ÖA; Özüdoğru A; Tuncay F; Karartı C. (2025). Artificial intelligence exercise recommendations in knee osteoarthritis rehabilitation: ChatGPT-4o and Gemini Advanced example. DOI: 10.54005/geneltip.1634118.</w:t>
      </w:r>
    </w:p>
    <w:p>
      <w:r>
        <w:rPr>
          <w:rFonts w:ascii="Times New Roman" w:hAnsi="Times New Roman"/>
          <w:sz w:val="22"/>
        </w:rPr>
        <w:t>W25. Onan D; Arıkan H; Can İ; Güven Ş; Işıkay L; Ozge A. (2025). Examining the ability of artificial intelligence with ChatGPT-4.0 to create an exercise program: Case scenario examples “lumbar disc herniation, chronic migraine, and urge urinary incontinence”. DOI: 10.31459/turkjkin.1617953.</w:t>
      </w:r>
    </w:p>
    <w:p>
      <w:r>
        <w:rPr>
          <w:rFonts w:ascii="Times New Roman" w:hAnsi="Times New Roman"/>
          <w:sz w:val="22"/>
        </w:rPr>
        <w:t>W26. Philuek P; Kusump S; Sathianpoonsook T; Jansupom C; Sawanyawisuth P; Sawanyawisuth K; et al. (2025). The effects of chat GPT generated exercise program in healthy overweight young adults: A pilot study. DOI: 10.55860/1epqgp77.</w:t>
      </w:r>
    </w:p>
    <w:p>
      <w:r>
        <w:rPr>
          <w:rFonts w:ascii="Times New Roman" w:hAnsi="Times New Roman"/>
          <w:sz w:val="22"/>
        </w:rPr>
        <w:t>W27. Genç A; Aydin R; Canuzakov K; Abdurrahmanova D; Gürcan HH; Dere G; et al. (2025). Digital coaches: an alternative to expert coaches for men’s fitness goals. DOI: 10.16926/par.2025.13.18.</w:t>
      </w:r>
    </w:p>
    <w:p>
      <w:r>
        <w:rPr>
          <w:rFonts w:ascii="Times New Roman" w:hAnsi="Times New Roman"/>
          <w:sz w:val="22"/>
        </w:rPr>
        <w:t>W28. Enichen EJ; Young CC; Frates EP. (2025). The Potential of AI to Create Personalized Exercise Plans. DOI: 10.1177/15248399251394695.</w:t>
      </w:r>
    </w:p>
    <w:p>
      <w:r>
        <w:rPr>
          <w:rFonts w:ascii="Times New Roman" w:hAnsi="Times New Roman"/>
          <w:sz w:val="22"/>
        </w:rPr>
        <w:t>W29. Shin D; Hsieh G; Kim YH. (2025). PlanFitting: Personalized Exercise Planning with Large Language Model-driven Conversational Agent. DOI: 10.1145/3719160.3736607.</w:t>
      </w:r>
    </w:p>
    <w:p>
      <w:r>
        <w:rPr>
          <w:rFonts w:ascii="Times New Roman" w:hAnsi="Times New Roman"/>
          <w:sz w:val="22"/>
        </w:rPr>
        <w:t>W30. Yang J; Qin S; Ren D. (2026). Artificial intelligence coaches on the sidelines: Evaluating readability and quality of soccer training plans from six generative models. DOI: 10.1177/17479541251369593.</w:t>
      </w:r>
    </w:p>
    <w:p>
      <w:r>
        <w:rPr>
          <w:rFonts w:ascii="Times New Roman" w:hAnsi="Times New Roman"/>
          <w:sz w:val="22"/>
        </w:rPr>
        <w:t>W31. Schütze K; Shehatha R; Beer K; Needham M; Smith T; Bagg M; et al. (2026). Evaluating ChatGPT’s advice and recommendations regarding exercise for people with inclusion body myositis. DOI: 10.1016/j.nmd.2026.106418.</w:t>
      </w:r>
    </w:p>
    <w:p>
      <w:r>
        <w:rPr>
          <w:rFonts w:ascii="Times New Roman" w:hAnsi="Times New Roman"/>
          <w:sz w:val="22"/>
        </w:rPr>
        <w:t>W32. Fu Y; Li H; You M; Wang L; Liu W; Zhou K; et al. (2026). Evaluation of Large Language Models in Generating Physical Exercise Rehabilitation Programs for Musculoskeletal Disorders Across Multiple Clinical Scenarios. DOI: 10.3390/healthcare14152389.</w:t>
      </w:r>
    </w:p>
    <w:p>
      <w:r>
        <w:rPr>
          <w:rFonts w:ascii="Times New Roman" w:hAnsi="Times New Roman"/>
          <w:sz w:val="22"/>
        </w:rPr>
        <w:t>W33. Hüzmeli İ; Akkuş O. (2026). Usability of Large Language Models for Developing Exercise-Based Rehabilitation Programs in Patients With Stable Angina. DOI: 10.1155/ijcp/1434301.</w:t>
      </w:r>
    </w:p>
    <w:p>
      <w:r>
        <w:rPr>
          <w:rFonts w:ascii="Times New Roman" w:hAnsi="Times New Roman"/>
          <w:sz w:val="22"/>
        </w:rPr>
        <w:t>W34. Montaruli G; Nikolaidis PT; Racil G; Maffulli N; Migliaccio GM; Padulo J. (2026). Artificial intelligence–generated marathon training programs: reliable tools in exercise prescription for athletic performance?. DOI: 10.1093/bmb/ldag010.</w:t>
      </w:r>
    </w:p>
    <w:p>
      <w:r>
        <w:rPr>
          <w:rFonts w:ascii="Times New Roman" w:hAnsi="Times New Roman"/>
          <w:sz w:val="22"/>
        </w:rPr>
        <w:t>W35. Bezruk V; Ivanov D; Ivanchuk M; Shkrobanets I; Makarova O; Rynzhuk L; et al. (2026). Impact of Query Language on the Structure and Guideline Alignment of AI-Generated Rehabilitation Programs in Chronic Kidney Disease. DOI: 10.3390/jcm15114218.</w:t>
      </w:r>
    </w:p>
    <w:p>
      <w:r>
        <w:rPr>
          <w:rFonts w:ascii="Times New Roman" w:hAnsi="Times New Roman"/>
          <w:sz w:val="22"/>
        </w:rPr>
        <w:t>W36. Rezaei H; Rabhi F; Beheshti A; Behnia A. (2026). PhysioAgent: A Multi-Agent AI Framework for Personalised Exercise Prescription and Longitudinal Adherence Monitoring in Physiotherapy. DOI: 10.1109/ICDH72779.2026.00045.</w:t>
      </w:r>
    </w:p>
    <w:p>
      <w:r>
        <w:t>W37. Bao H; Yu T; Wang J; Yin H; Gao Y; Mao Y. (2026). Algorithmic fairness in AI-based fitness advice: evaluating socioeconomic bias in county-contextualized physical activity prescriptions. DOI: 10.3389/fpubh.2026.1844470.</w:t>
      </w:r>
    </w:p>
    <w:p>
      <w:r>
        <w:t>W24-R2 (historical W38). Gürses ÖA; Özüdoğru A; Tuncay F; Kararti C. (2025). The Role of Artificial Intelligence Large Language Models in Personalized Rehabilitation Programs for Knee Osteoarthritis: An Observational Study. DOI: 10.1007/s10916-025-02207-x. Same 40-patient cohort as W24-R1.</w:t>
      </w:r>
    </w:p>
    <w:p>
      <w:r>
        <w:t>W39. Puce L; Żmijewski P; Cotellessa F; Schenone C; Ceylan HI; Bragazzi NL; Trompetto C. The role of artificial intelligence in sports training: opportunities, challenges and future applications for competitive swimming. Biology of Sport 2026;43. DOI: 10.5114/biolsport.2026.152352.</w:t>
      </w:r>
    </w:p>
    <w:p>
      <w:r>
        <w:t>W40. Xiao Z; Guo W. (2026). Generative Artificial Intelligence in University Sports Training: A Mixed-Methods Study. DOI: 10.18178/ijiet.2026.16.5.2584.</w:t>
      </w:r>
    </w:p>
    <w:p>
      <w:r>
        <w:t>W41. Lee K. (2026). Consistency of AI-Generated Exercise Prescriptions: A Repeated Generation Study Using a Large Language Model. arXiv:2604.11287. DOI: NR in supplied full text.</w:t>
      </w:r>
    </w:p>
    <w:p>
      <w:r>
        <w:t>W42. Wang Y-L; Chen L-L; Sun P-P; Ma Z-Z; Chen Y-P; Ge Y-S; et al. (2026). A two-stage evaluation of large language models for guideline-based Q&amp;A and draft rehabilitation planning in stroke care. DOI: 10.1177/20552076261484840.</w:t>
      </w:r>
    </w:p>
    <w:p>
      <w:r>
        <w:t>W43. Cao W; Qu M; Zhu T; Liu J; Shen Y; Zou J; et al. (2026). Benchmarking large language models against human experts in rehabilitation medicine: a multidimensional evaluation. DOI: 10.1186/s12984-026-01903-0.</w:t>
      </w:r>
    </w:p>
    <w:p>
      <w:r>
        <w:t>W44. Mykhalko Y; Dyditska S; Balatska L; Filak F; Rubtsova Y. (2025). AI-driven rehabilitation: evaluation of ChatGPT-4o for generating personalized physical rehabilitation plans in comorbid patients. DOI: 10.36740/wlek/203850.</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Quality, and Applicability of Large Language Model–Generated Exercise Prescriptions: A Systematic Review</dc:title>
  <dc:subject>English author-review manuscript</dc:subject>
  <dc:creator>Xinyun Lü</dc:creator>
  <cp:keywords>large language models; exercise prescription; systematic review; safety; output quality; reproducibility</cp:keywords>
  <dc:description>2026-10-25：同步35项最终纳入、303条研究者审核质量评价及PRISMA审计状态。</dc:description>
  <cp:lastModifiedBy/>
  <cp:revision>1</cp:revision>
  <dcterms:created xsi:type="dcterms:W3CDTF">2013-12-23T23:15:00Z</dcterms:created>
  <dcterms:modified xsi:type="dcterms:W3CDTF">2013-12-23T23:15:00Z</dcterms:modified>
  <cp:category/>
</cp:coreProperties>
</file>