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Final Word–PDF and evidence consistency check</w:t>
      </w:r>
    </w:p>
    <w:p>
      <w:r>
        <w:t>Checked: 28 October 2026 | Files: Manuscript_Final_English.docx and Manuscript_Final_English.pdf</w:t>
      </w:r>
    </w:p>
    <w:p>
      <w:pPr>
        <w:pStyle w:val="ListBullet"/>
      </w:pPr>
      <w:r>
        <w:t>Word and PDF were regenerated from the same revised manuscript. PDF export completed successfully; the exported PDF has 28 US Letter pages.</w:t>
      </w:r>
    </w:p>
    <w:p>
      <w:pPr>
        <w:pStyle w:val="ListBullet"/>
      </w:pPr>
      <w:r>
        <w:t>Figure 1 is the updated PRISMA working evidence map and appears once. Figure 2 and Figure 3 each appear once. PDF rendering confirms the three figures on pages 6, 7, and 23; no duplicate Figure 3 was introduced.</w:t>
      </w:r>
    </w:p>
    <w:p>
      <w:pPr>
        <w:pStyle w:val="ListBullet"/>
      </w:pPr>
      <w:r>
        <w:t>PDF text extraction found no Chinese characters. The revised text consistently reports a completed synthesis of 35 studies in 37 reports, A/B/C=25/7/3, W19 as a full-text exclusion, and W13 as 360 generated outputs.</w:t>
      </w:r>
    </w:p>
    <w:p>
      <w:pPr>
        <w:pStyle w:val="ListBullet"/>
      </w:pPr>
      <w:r>
        <w:t>Screening: 533 exclusions and 222 full-text requests in the current 755-row ledger. The 189-report supplementary update is reported separately as 168 abstract-level exclusion recommendations, 14 completed full-text initial assessments (8 include recommendations, 4 exclude recommendations, 2 undecided), and 7 reports not obtained. These recommendations are not presented as reconstructed historical researcher decisions.</w:t>
      </w:r>
    </w:p>
    <w:p>
      <w:pPr>
        <w:pStyle w:val="ListBullet"/>
      </w:pPr>
      <w:r>
        <w:t>Quality appraisal: the 303 saved item-level judgments for the completed 35-study synthesis remain present (288 A/B and 15 C). The eight additional inclusion candidates are not incorporated because complete record-level extraction and design-appropriate appraisal files are unavailable. No second reviewer is claimed.</w:t>
      </w:r>
    </w:p>
    <w:p>
      <w:pPr>
        <w:pStyle w:val="ListBullet"/>
      </w:pPr>
      <w:r>
        <w:t>PRISMA remains a working, not closed, flow because the supplementary-review outcomes are unavailable at record level, two full-text assessments remain undecided, seven reports were not obtained, and W34–W36 require documented pathway corrections. Author declarations and current journal-specific checks also remain to be completed.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