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22"/>
        </w:rPr>
        <w:t>Safety, Quality, and Applicability of Large Language Model–Generated Exercise Prescriptions: A Systematic Review</w:t>
      </w:r>
    </w:p>
    <w:p>
      <w:r>
        <w:rPr>
          <w:rFonts w:ascii="Times New Roman" w:hAnsi="Times New Roman"/>
          <w:sz w:val="22"/>
        </w:rPr>
        <w:t>Safety, Quality, and Applicability of Large Language Model–Generated Exercise Prescriptions: A Systematic Review</w:t>
      </w:r>
    </w:p>
    <w:p>
      <w:r>
        <w:rPr>
          <w:rFonts w:ascii="Times New Roman" w:hAnsi="Times New Roman"/>
          <w:sz w:val="22"/>
        </w:rPr>
        <w:t>Author: Xinyun Lü</w:t>
      </w:r>
    </w:p>
    <w:p>
      <w:r>
        <w:t>Author-review draft | 28 October 2026. The completed synthesis remains 35 studies (25 Class A, 7 Class B, and 3 Class C) reported in 37 reports; W19 is the documented full-text exclusion. The 755-row title/abstract ledger records 533 exclusions and 222 reports sought for full text. A supplementary review of the 189 previously unlinked reports classified 168 as abstract-level exclusion recommendations, 14 as having completed full-text initial assessment, and 7 as not obtained. Of the 14 assessed reports, 8 were recommended for inclusion, 4 for exclusion, and 2 remained undecided. These are AI-assisted recommendations or unresolved states, not reconstructed historical researcher decisions. Because the eight new inclusion candidates do not have complete record-level data extraction and quality appraisal in the available workspace, they are not incorporated into the 35-study synthesis. The 303 saved appraisal judgments for the 35-study set remain unchanged. The PRISMA pathway is therefore an updated working pathway rather than a closed final flow.</w:t>
      </w:r>
    </w:p>
    <w:p>
      <w:pPr>
        <w:pStyle w:val="Heading1"/>
      </w:pPr>
      <w:r>
        <w:rPr>
          <w:rFonts w:ascii="Times New Roman" w:hAnsi="Times New Roman"/>
          <w:sz w:val="22"/>
        </w:rPr>
        <w:t>Abstract</w:t>
      </w:r>
    </w:p>
    <w:p>
      <w:r>
        <w:rPr>
          <w:rFonts w:ascii="Times New Roman" w:hAnsi="Times New Roman"/>
          <w:sz w:val="22"/>
        </w:rPr>
        <w:t>Background: LLMs can rapidly generate exercise plans, but output quality, safety, and real-world applicability represent distinct levels of evidence and require separate assessment.</w:t>
      </w:r>
    </w:p>
    <w:p>
      <w:r>
        <w:rPr>
          <w:rFonts w:ascii="Times New Roman" w:hAnsi="Times New Roman"/>
          <w:sz w:val="22"/>
        </w:rPr>
        <w:t>Objective: To evaluate the quality, adherence to exercise-prescription principles, safety-related content, output stability, and applicability of exercise prescriptions generated by large language models (LLMs).</w:t>
      </w:r>
    </w:p>
    <w:p>
      <w:r>
        <w:t>Methods: Searches yielded 449 main-search records and 597 PubMed update records (1,046 total). After reconciliation of historical duplicate flags, 755 records entered the title/abstract ledger; 533 were excluded and 222 were sought for full text. A supplementary review of 189 previously unlinked reports produced 168 abstract-level exclusion recommendations, 14 completed full-text initial assessments (8 inclusion recommendations, 4 exclusion recommendations, and 2 undecided), and 7 reports not obtained. Recommendation status was kept separate from formal researcher confirmation. The completed synthesis therefore remains 35 studies in 37 reports (A=25, B=7, C=3), with W19 excluded; eight additional inclusion candidates await complete extraction and design-appropriate appraisal. Quality appraisal for the completed synthesis comprises 288 items in a review-specific, unvalidated Class A/B framework and 15 RoB 2 domains for three randomized Class C studies. No independent second reviewer was recorded.</w:t>
      </w:r>
    </w:p>
    <w:p>
      <w:r>
        <w:rPr>
          <w:rFonts w:ascii="Times New Roman" w:hAnsi="Times New Roman"/>
          <w:sz w:val="22"/>
        </w:rPr>
        <w:t>Results: The current author-designated synthesis set comprises 35 studies reported in 37 reports, including simulated cases, repeated generation across models, evaluations using real patient or user data, and three human implementation studies. LLMs generally generated structured plans containing an exercise type and at least one dose dimension, but dose suitability, individualization, risk screening, prompt transparency, and repeated-generation stability varied. W13 evaluated 360 outputs from three models across six clinical scenarios. Claude Sonnet 4.6 contributed to both generation and output classification, raising a potential self-evaluation or measurement-bias concern. Safety outcomes in Classes A and B primarily concerned warnings, contraindications, dose, or expert judgments and should not be interpreted as human adverse events. The three human implementation studies did not adequately report adverse-event outcomes.</w:t>
      </w:r>
    </w:p>
    <w:p>
      <w:r>
        <w:t>Conclusions: The completed 35-study synthesis indicates that LLMs can generate structured exercise-prescription drafts, while completeness, dose suitability, individualization, output safety, reproducibility, and human safety remain distinct evidence domains. The evidence does not support unsupervised prescribing. The supplementary review has narrowed the 189-report linkage gap, but eight inclusion candidates still require complete extraction and quality appraisal, two full-text assessments remain undecided, and seven reports were not obtained. The PRISMA pathway should not be reported as final until those record-level decisions and W34–W36 pathway corrections are formally documented.</w:t>
      </w:r>
    </w:p>
    <w:p>
      <w:r>
        <w:rPr>
          <w:rFonts w:ascii="Times New Roman" w:hAnsi="Times New Roman"/>
          <w:sz w:val="22"/>
        </w:rPr>
        <w:t>Keywords: large language models; exercise prescription; systematic review; safety; output quality; reproducibility</w:t>
      </w:r>
    </w:p>
    <w:p>
      <w:pPr>
        <w:pStyle w:val="Heading1"/>
      </w:pPr>
      <w:r>
        <w:rPr>
          <w:rFonts w:ascii="Times New Roman" w:hAnsi="Times New Roman"/>
          <w:sz w:val="22"/>
        </w:rPr>
        <w:t>1. Introduction</w:t>
      </w:r>
    </w:p>
    <w:p>
      <w:r>
        <w:rPr>
          <w:rFonts w:ascii="Times New Roman" w:hAnsi="Times New Roman"/>
          <w:sz w:val="22"/>
        </w:rPr>
        <w:t>Exercise prescription translates health status, physical capacity, and personal goals into actionable activities and doses. Frequency, intensity, time, type, volume, and progression form the FITT-VP framework, but these components must be adjusted in response to the individual [4]. The same training format may impose different demands on a healthy young adult, a person with a chronic condition, or someone with marked muscle weakness. Prescription evaluation should therefore assess not only whether components are present, but also whether the dose is appropriate, monitoring is feasible, and stopping or referral criteria are specified.</w:t>
      </w:r>
    </w:p>
    <w:p>
      <w:r>
        <w:rPr>
          <w:rFonts w:ascii="Times New Roman" w:hAnsi="Times New Roman"/>
          <w:sz w:val="22"/>
        </w:rPr>
        <w:t>LLMs can interpret natural-language requests, organize training schedules, and revise activities and doses through conversation. Primary studies have examined synthetic cases, resistance and running programs, plans generated from real user information, and implementation in home and fitness settings [5,6,10,12,16]. This approach may reduce the effort required to draft plans and explain information, while making prompt design, input completeness, and professional review important determinants of prescription quality. A fluent, well-formatted plan may not make dose or applicability limitations apparent to users.</w:t>
      </w:r>
    </w:p>
    <w:p>
      <w:r>
        <w:rPr>
          <w:rFonts w:ascii="Times New Roman" w:hAnsi="Times New Roman"/>
          <w:sz w:val="22"/>
        </w:rPr>
        <w:t>The evidence assessed in existing evaluations is not uniform. Expert ratings assess output content; text-similarity measures assess linguistic or semantic proximity; user questionnaires reflect experience; and changes in physical activity or fitness concern human implementation. Even when all are described as “safety,” guideline adherence, expert judgments of risk, and actual adverse events are not interchangeable. Without these distinctions, generatability, acceptability, or reproducibility may be mistaken for clinical effectiveness or safety.</w:t>
      </w:r>
    </w:p>
    <w:p>
      <w:r>
        <w:rPr>
          <w:rFonts w:ascii="Times New Roman" w:hAnsi="Times New Roman"/>
          <w:sz w:val="22"/>
        </w:rPr>
        <w:t>This review focuses on studies in which an LLM actually generated or materially modified an exercise prescription. It examines output quality, adherence to prescription principles, safety-related concerns, stability, and applicability. Evidence from standardized or simulated outputs, outputs based on real-world data, and human implementation is synthesized separately to clarify what each evidence class can support.</w:t>
      </w:r>
    </w:p>
    <w:p>
      <w:pPr>
        <w:pStyle w:val="Heading1"/>
      </w:pPr>
      <w:r>
        <w:rPr>
          <w:rFonts w:ascii="Times New Roman" w:hAnsi="Times New Roman"/>
          <w:sz w:val="22"/>
        </w:rPr>
        <w:t>2. Methods</w:t>
      </w:r>
    </w:p>
    <w:p>
      <w:pPr>
        <w:pStyle w:val="Heading2"/>
      </w:pPr>
      <w:r>
        <w:rPr>
          <w:rFonts w:ascii="Times New Roman" w:hAnsi="Times New Roman"/>
          <w:sz w:val="22"/>
        </w:rPr>
        <w:t>2.1 Protocol and reporting framework</w:t>
      </w:r>
    </w:p>
    <w:p>
      <w:r>
        <w:rPr>
          <w:rFonts w:ascii="Times New Roman" w:hAnsi="Times New Roman"/>
          <w:sz w:val="22"/>
        </w:rPr>
        <w:t>Study selection and searches were organized with reference to PRISMA 2020 and PRISMA-S [1,2]. The current review follows an independently revised protocol (Pathway B). The original PROSPERO record, CRD420261495731, is not presented as prospective registration of the current protocol. The available revision record is dated 11 October 2026; this date is not taken to mean that the revised rules were established before searching or screening. The protocol change is reported transparently in the Methods and limitations.</w:t>
      </w:r>
    </w:p>
    <w:p>
      <w:r>
        <w:rPr>
          <w:rFonts w:ascii="Times New Roman" w:hAnsi="Times New Roman"/>
          <w:sz w:val="22"/>
        </w:rPr>
        <w:t>Evidence was stratified into Classes A, B, and C. Classification was based on data source, the LLM’s role, and whether exercise was implemented, rather than on whether experts participated in evaluation. PlanFitting (W29) generated plans from real user information without continuous implementation and was classified as Class B. The inclusion body myositis study (W31) evaluated standardized clinical questions and was classified as Class A. Results across the three classes were not combined into an overall effect.</w:t>
      </w:r>
    </w:p>
    <w:p>
      <w:pPr>
        <w:pStyle w:val="Heading2"/>
      </w:pPr>
      <w:r>
        <w:rPr>
          <w:rFonts w:ascii="Times New Roman" w:hAnsi="Times New Roman"/>
          <w:sz w:val="22"/>
        </w:rPr>
        <w:t>2.2 Eligibility criteria and evidence classes</w:t>
      </w:r>
    </w:p>
    <w:p>
      <w:r>
        <w:rPr>
          <w:rFonts w:ascii="Times New Roman" w:hAnsi="Times New Roman"/>
          <w:sz w:val="22"/>
        </w:rPr>
        <w:t>Studies were eligible when they reported extractable empirical results and an LLM actually generated or materially modified an exercise prescription. A prescription had to specify an exercise type or activity and at least one actionable dose dimension: frequency, intensity, time, volume, or progression. Health education, explanations of plans written by humans, general conversation, or stand-alone risk/referral advice without the required prescription content did not meet the core definition.</w:t>
      </w:r>
    </w:p>
    <w:p>
      <w:r>
        <w:rPr>
          <w:rFonts w:ascii="Times New Roman" w:hAnsi="Times New Roman"/>
          <w:sz w:val="22"/>
        </w:rPr>
        <w:t>Class A comprised evaluations of generated prescriptions in standardized, simulated, or synthetic cases. Class B comprised evaluations of outputs generated from real user or patient data. Class C required that the generated plan be implemented in people and that implementation or human outcomes be extractable. User interaction with a Class B system did not constitute exercise implementation. For Class C studies in which the independent causal contribution of the LLM could not be identified, the overall intervention could still be described, but its effects were not attributed to the model.</w:t>
      </w:r>
    </w:p>
    <w:p>
      <w:r>
        <w:rPr>
          <w:rFonts w:ascii="Times New Roman" w:hAnsi="Times New Roman"/>
          <w:sz w:val="22"/>
        </w:rPr>
        <w:t>Both public and proprietary LLMs were eligible; no language or study-design restrictions were prespecified. Conference full papers and preprints could be included when they contained complete Methods and Results and duplicate reports had been checked. Full-text availability was recorded separately from eligibility. Study-level eligibility was based on the full-text generation process, the presence of an activity/type and an actionable dose dimension, and independent empirical evaluation.</w:t>
      </w:r>
    </w:p>
    <w:p>
      <w:pPr>
        <w:pStyle w:val="Heading2"/>
      </w:pPr>
      <w:r>
        <w:rPr>
          <w:rFonts w:ascii="Times New Roman" w:hAnsi="Times New Roman"/>
          <w:sz w:val="22"/>
        </w:rPr>
        <w:t>2.3 Information sources and search records</w:t>
      </w:r>
    </w:p>
    <w:p>
      <w:r>
        <w:rPr>
          <w:rFonts w:ascii="Times New Roman" w:hAnsi="Times New Roman"/>
          <w:sz w:val="22"/>
        </w:rPr>
        <w:t>Existing search materials from PubMed/MEDLINE, Embase, Scopus, Web of Science, IEEE Xplore, and arXiv were reused; no new searches were conducted. The historical main search yielded 449 records and the PubMed update yielded 597, for 1,046 records in total. The original paper records the main search as having been run on 27–28 September 2026 and the update on 5 October 2026. These dates are available only as historical entries. Original documentation of the exact search strategy, date, fields, and limits is incomplete for individual databases, so these details have not all been independently verified.</w:t>
      </w:r>
    </w:p>
    <w:p>
      <w:r>
        <w:rPr>
          <w:rFonts w:ascii="Times New Roman" w:hAnsi="Times New Roman"/>
          <w:sz w:val="22"/>
        </w:rPr>
        <w:t>Original exports and historical record-level data were retained separately. The recovered PubMed main-search text contains 68 PMIDs, but this does not mean that original exports are available for all 449 records from the six sources. The current IEEE file contains 18 RIS records, a subset of the 27 records recorded in the historical workbook. Existing mappings support parts of the deduplication audit but do not replace missing complete database search documentation.</w:t>
      </w:r>
    </w:p>
    <w:p>
      <w:pPr>
        <w:pStyle w:val="Heading2"/>
      </w:pPr>
      <w:r>
        <w:rPr>
          <w:rFonts w:ascii="Times New Roman" w:hAnsi="Times New Roman"/>
          <w:sz w:val="22"/>
        </w:rPr>
        <w:t>2.4 Deduplication and study selection</w:t>
      </w:r>
    </w:p>
    <w:p>
      <w:r>
        <w:t>The 1,046 original records retain source identifiers and historical deduplication mappings. The source workbook flags 295 records as duplicates; four were restored as distinct reports, leaving 291 net removals and a 755-row report-level screening inventory. The current ledger contains 533 exclusions and 222 reports sought for full text. Of the 533 exclusions, 530 were recovered from the saved log and three (MAIN-0271, MAIN-0282, and MAIN-0290) were confirmed on 27 October 2026; those three decisions were not backdated. Historical labels, AI advice, saved screening outcomes, and supplementary-review recommendations were retained as separate evidence fields.</w:t>
      </w:r>
    </w:p>
    <w:p>
      <w:r>
        <w:t>The 222 reports sought for full text comprise 33 exact DOI links to the existing candidate inventory and a 189-report supplementary-review queue. The supplementary review classified 168 records as abstract-level exclusion recommendations, 14 reports as having completed full-text initial assessment, and 7 reports as not obtained. Among the 14 assessed reports, 8 were recommended for inclusion, 4 for exclusion, and 2 remained undecided. These outcomes are not treated as historical human decisions. Record-level files identifying the 14 assessed reports, the eight new inclusion candidates, and the seven unobtained reports were not present in the available workspace, so the eight candidates were not added to the completed synthesis or quality appraisal. MAIN-0076 retains a provisional author preference toward exclusion rather than a final decision. W34–W36 retain a cross-stage discrepancy between saved title/abstract labels and the current candidate set. W13 and W29 each have an associated report version and count once at study level.</w:t>
      </w:r>
    </w:p>
    <w:p>
      <w:pPr>
        <w:pStyle w:val="Heading2"/>
      </w:pPr>
      <w:r>
        <w:rPr>
          <w:rFonts w:ascii="Times New Roman" w:hAnsi="Times New Roman"/>
          <w:sz w:val="22"/>
        </w:rPr>
        <w:t>2.5 Data extraction and source traceability</w:t>
      </w:r>
    </w:p>
    <w:p>
      <w:r>
        <w:rPr>
          <w:rFonts w:ascii="Times New Roman" w:hAnsi="Times New Roman"/>
          <w:sz w:val="22"/>
        </w:rPr>
        <w:t>Data were extracted by Study_ID and Report_ID, including author, year, setting, design, case or population, model and version, prompt conditions, LLM role, activities and doses, evaluation method, outcomes, safety, principal findings, and limitations. The 35 studies were classified as A (n=25), B (n=7), or C (n=3); multiple reports for W13 and W29 were linked to one study each.</w:t>
      </w:r>
    </w:p>
    <w:p>
      <w:r>
        <w:rPr>
          <w:rFonts w:ascii="Times New Roman" w:hAnsi="Times New Roman"/>
          <w:sz w:val="22"/>
        </w:rPr>
        <w:t>Information not reported in a source that was read was coded as NR. Country was not inferred from author affiliation, and an interface or product name was not automatically treated as the underlying model architecture. Numbers of cases, outputs, users, evaluators, and rating records were extracted separately and were not added into a single sample size.</w:t>
      </w:r>
    </w:p>
    <w:p>
      <w:pPr>
        <w:pStyle w:val="Heading2"/>
      </w:pPr>
      <w:r>
        <w:rPr>
          <w:rFonts w:ascii="Times New Roman" w:hAnsi="Times New Roman"/>
          <w:sz w:val="22"/>
        </w:rPr>
        <w:t>2.6 Outcomes and safety definitions</w:t>
      </w:r>
    </w:p>
    <w:p>
      <w:r>
        <w:rPr>
          <w:rFonts w:ascii="Times New Roman" w:hAnsi="Times New Roman"/>
          <w:sz w:val="22"/>
        </w:rPr>
        <w:t>The review focused primarily on prescription quality, completeness, accuracy, individual fit, and safety-related content. Repeated generation, model differences, user acceptance, implementation feasibility, and human physical activity or fitness were considered within their respective evidence classes. Safety was separated into output-level evaluation and events observed during human implementation. Output-level assessment included contraindications, risk warnings, dose, monitoring, stopping/referral advice, and expert judgments. Human safety required observations in people and was not inferred from output assessment.</w:t>
      </w:r>
    </w:p>
    <w:p>
      <w:r>
        <w:rPr>
          <w:rFonts w:ascii="Times New Roman" w:hAnsi="Times New Roman"/>
          <w:sz w:val="22"/>
        </w:rPr>
        <w:t>Where prescription-level coding was sufficiently detailed, the “proportion of prescriptions with at least one safety failure” was defined as the number of evaluable prescriptions with at least one prespecified failure divided by the number evaluable under the composite indicator’s rules. The denominator for “failure by safety domain” was the number of prescriptions evaluable for that domain. “Number of safety-failure events” counted identifiable distinct events. One event could receive multiple domain labels, but was counted once in the event total; missing domains or outputs were not coded as zero and were to be reported separately. Denominator rules needed to be explicit; study counts, evaluator counts, or rating records could not substitute for prescription counts. The available data did not support cross-study pooled proportions.</w:t>
      </w:r>
    </w:p>
    <w:p>
      <w:r>
        <w:rPr>
          <w:rFonts w:ascii="Times New Roman" w:hAnsi="Times New Roman"/>
          <w:sz w:val="22"/>
        </w:rPr>
        <w:t>Text similarity, the proportion of unique outputs, activity/dose consistency, generation-level score coefficients of variation (CVs), and inter-rater agreement were interpreted separately. When human studies did not report adverse events, this was recorded as “not reported,” not as no events or evidence of safety.</w:t>
      </w:r>
    </w:p>
    <w:p>
      <w:pPr>
        <w:pStyle w:val="Heading2"/>
      </w:pPr>
      <w:r>
        <w:rPr>
          <w:rFonts w:ascii="Times New Roman" w:hAnsi="Times New Roman"/>
          <w:sz w:val="22"/>
        </w:rPr>
        <w:t>2.7 Methodological quality and risk of bias</w:t>
      </w:r>
    </w:p>
    <w:p>
      <w:r>
        <w:rPr>
          <w:rFonts w:ascii="Times New Roman" w:hAnsi="Times New Roman"/>
          <w:sz w:val="22"/>
        </w:rPr>
        <w:t>Appraisal was matched to study design. The 32 Class A/B output-evaluation studies were assessed with a review-specific nine-domain framework covering clarity of the question and target, case/data source, model and generation conditions, prompt reproducibility, number of generations, evaluators/reference standards, outcome validity, unit of analysis, and safety-outcome boundaries. This framework is not a validated standardized risk-of-bias tool, and no total score was calculated.</w:t>
      </w:r>
    </w:p>
    <w:p>
      <w:r>
        <w:rPr>
          <w:rFonts w:ascii="Times New Roman" w:hAnsi="Times New Roman"/>
          <w:sz w:val="22"/>
        </w:rPr>
        <w:t>The three Class C studies were described as randomized: W17 reports random assignment of 26 families (p.1 Abstract), W26 describes a randomized controlled study and random allocation (pp.1–2 Methods), and W27 reports that participants were randomly divided into two groups (pp.3–4 Methods). RoB 2 was therefore retained for their randomized comparisons. The workbook contains 288 Class A/B framework judgments and 15 Class C RoB 2 domain judgments, each marked researcher-reviewed-confirmed in the saved source on 25 October 2026; reviewer identity is NR. No independent second reviewer or inter-rater statistic is recorded.</w:t>
      </w:r>
    </w:p>
    <w:p>
      <w:pPr>
        <w:pStyle w:val="Heading2"/>
      </w:pPr>
      <w:r>
        <w:rPr>
          <w:rFonts w:ascii="Times New Roman" w:hAnsi="Times New Roman"/>
          <w:sz w:val="22"/>
        </w:rPr>
        <w:t>2.8 Evidence synthesis</w:t>
      </w:r>
    </w:p>
    <w:p>
      <w:r>
        <w:rPr>
          <w:rFonts w:ascii="Times New Roman" w:hAnsi="Times New Roman"/>
          <w:sz w:val="22"/>
        </w:rPr>
        <w:t>We used a stratified narrative synthesis, with reporting informed by transparent synthesis principles for reviews without meta-analysis [3]. Classes A, B, and C were described separately. Within each study, model, prompt, comparator, scale direction, denominator, and time point were retained. We did not pool overall effects across different designs or scales, or rank models using scores from unrelated studies. Human outcomes were distinguished by within- versus between-group analysis, means versus medians, and combined-intervention context. Studies with missing full text were not included in verified-results narratives, although existing evidence leads were retained.</w:t>
      </w:r>
    </w:p>
    <w:p>
      <w:pPr>
        <w:pStyle w:val="Heading1"/>
      </w:pPr>
      <w:r>
        <w:rPr>
          <w:rFonts w:ascii="Times New Roman" w:hAnsi="Times New Roman"/>
          <w:sz w:val="22"/>
        </w:rPr>
        <w:t>3. Results</w:t>
      </w:r>
    </w:p>
    <w:p>
      <w:pPr>
        <w:pStyle w:val="Heading2"/>
      </w:pPr>
      <w:r>
        <w:rPr>
          <w:rFonts w:ascii="Times New Roman" w:hAnsi="Times New Roman"/>
          <w:sz w:val="22"/>
        </w:rPr>
        <w:t>3.1 Search results and study selection</w:t>
      </w:r>
    </w:p>
    <w:p>
      <w:r>
        <w:t>The searches identified 1,046 records. The historical workbook flagged 295 duplicates; four distinct records were restored, giving 291 net removals and 755 title/abstract screening rows. The current ledger records 533 exclusions and 222 reports sought for full text. Thirty-three reports have exact DOI links to the existing candidate inventory. The supplementary review of the other 189 records yielded 168 abstract-level exclusion recommendations, 14 completed full-text initial assessments, and 7 reports not obtained. The 14 assessments comprised 8 inclusion recommendations, 4 exclusion recommendations, and 2 undecided reports. Because the record-level supplementary-review files and complete extraction/appraisal for the eight candidates were unavailable in this workspace, the completed synthesis remains 37 reports representing 35 studies (A=25, B=7, C=3). W19 remains the documented full-text exclusion, and the PRISMA flow remains open.</w:t>
      </w:r>
    </w:p>
    <w:p>
      <w:r>
        <w:t>The 84 historical conflict rows retain their saved screening outcome and separate AI recommendation; row-specific reconciliation evidence remains incomplete. MAIN-0271, MAIN-0282, and MAIN-0290 have explicit current decisions dated 27 October 2026. MAIN-0076 carries an author-stated provisional preference toward exclusion, not a final eligibility decision. The second undecided full-text report and the seven unobtained reports cannot be identified from the aggregate update available here. W34–W36 remain in the synthesis set but require a documented correction or reinstatement pathway.</w:t>
      </w:r>
    </w:p>
    <w:p>
      <w:pPr>
        <w:keepNext/>
        <w:jc w:val="center"/>
      </w:pPr>
      <w:r>
        <w:t>Figure 1. PRISMA 2020 selection evidence map. The 28 October 2026 supplementary-review status is shown separately from historical researcher decisions; unresolved nodes remain explicitly open.</w:t>
      </w:r>
    </w:p>
    <w:p>
      <w:pPr>
        <w:jc w:val="center"/>
      </w:pPr>
      <w:r>
        <w:drawing>
          <wp:inline xmlns:a="http://schemas.openxmlformats.org/drawingml/2006/main" xmlns:pic="http://schemas.openxmlformats.org/drawingml/2006/picture">
            <wp:extent cx="5806440" cy="5806440"/>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06440" cy="5806440"/>
                    </a:xfrm>
                    <a:prstGeom prst="rect"/>
                  </pic:spPr>
                </pic:pic>
              </a:graphicData>
            </a:graphic>
          </wp:inline>
        </w:drawing>
      </w:r>
    </w:p>
    <w:p>
      <w:r>
        <w:rPr>
          <w:rFonts w:ascii="Times New Roman" w:hAnsi="Times New Roman"/>
          <w:sz w:val="22"/>
        </w:rPr>
      </w:r>
    </w:p>
    <w:p>
      <w:r>
        <w:t>The 751 historical working set and the 755-row screening inventory represent different stages: four previously duplicate-flagged records were restored. The current ledger records 533 exclusions and 222 full-text requests. Of the 222, 33 link by DOI to the existing candidate inventory and 189 entered supplementary review. The 189-record update comprises 168 abstract-level exclusion recommendations, 14 completed full-text initial assessments, and 7 unobtained reports. Recommendation status is not equivalent to a historical or final researcher decision.</w:t>
      </w:r>
    </w:p>
    <w:p>
      <w:pPr>
        <w:pStyle w:val="Heading2"/>
      </w:pPr>
      <w:r>
        <w:rPr>
          <w:rFonts w:ascii="Times New Roman" w:hAnsi="Times New Roman"/>
          <w:sz w:val="22"/>
        </w:rPr>
        <w:t>3.2 Characteristics of the studies</w:t>
      </w:r>
    </w:p>
    <w:p>
      <w:r>
        <w:rPr>
          <w:rFonts w:ascii="Times New Roman" w:hAnsi="Times New Roman"/>
          <w:sz w:val="22"/>
        </w:rPr>
        <w:t>The current author-designated set contains 35 studies: 25 Class A, 7 Class B, and 3 Class C. Class A primarily evaluated prescription completeness, quality, safety expression, and reproducibility in simulated or standardized scenarios. Class B used real user or patient data, or real interactions, to generate and evaluate outputs. Class C involved implementation of LLM-generated plans in people. Results from the three classes were not combined.</w:t>
      </w:r>
    </w:p>
    <w:p>
      <w:r>
        <w:rPr>
          <w:rFonts w:ascii="Times New Roman" w:hAnsi="Times New Roman"/>
          <w:sz w:val="22"/>
        </w:rPr>
        <w:t>Units of analysis in output-evaluation studies included cases, generated texts, models, evaluators, and rating records; these were not added into a single sample size. Real-world data in Class B did not imply human implementation. For example, W03 used historical user logs for system training and offline evaluation, whereas W24 and W33 generated prescriptions from patient data without verifying actual patient implementation.</w:t>
      </w:r>
    </w:p>
    <w:p>
      <w:r>
        <w:rPr>
          <w:rFonts w:ascii="Times New Roman" w:hAnsi="Times New Roman"/>
          <w:sz w:val="22"/>
        </w:rPr>
        <w:t>Author, year, DOI, design, model, exercise context, evaluation method, and evidence location for the 35 studies are provided in the accompanying tables. W13 and W29 each count as one study, with their linked preprints retained as reports. W19 was not included in the synthesis.</w:t>
      </w:r>
    </w:p>
    <w:p>
      <w:pPr>
        <w:keepNext/>
      </w:pPr>
      <w:r>
        <w:rPr>
          <w:rFonts w:ascii="Times New Roman" w:hAnsi="Times New Roman"/>
          <w:sz w:val="22"/>
        </w:rPr>
        <w:t>Figure 2. Study-class distribution in the author-designated working set (A=25, B=7, C=3); these counts do not represent a completed screening flow.</w:t>
      </w:r>
    </w:p>
    <w:p>
      <w:pPr>
        <w:jc w:val="center"/>
      </w:pPr>
      <w:r>
        <w:drawing>
          <wp:inline xmlns:a="http://schemas.openxmlformats.org/drawingml/2006/main" xmlns:pic="http://schemas.openxmlformats.org/drawingml/2006/picture">
            <wp:extent cx="5806440" cy="3438375"/>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06440" cy="3438375"/>
                    </a:xfrm>
                    <a:prstGeom prst="rect"/>
                  </pic:spPr>
                </pic:pic>
              </a:graphicData>
            </a:graphic>
          </wp:inline>
        </w:drawing>
      </w:r>
    </w:p>
    <w:p>
      <w:r>
        <w:rPr>
          <w:rFonts w:ascii="Times New Roman" w:hAnsi="Times New Roman"/>
          <w:sz w:val="22"/>
        </w:rPr>
      </w:r>
    </w:p>
    <w:p>
      <w:r>
        <w:rPr>
          <w:rFonts w:ascii="Times New Roman" w:hAnsi="Times New Roman"/>
          <w:sz w:val="22"/>
        </w:rPr>
        <w:t>Classes A, B, and C were synthesized separately; no overall effect was pooled across classes.</w:t>
      </w:r>
    </w:p>
    <w:p>
      <w:pPr>
        <w:pStyle w:val="Heading2"/>
      </w:pPr>
      <w:r>
        <w:rPr>
          <w:rFonts w:ascii="Times New Roman" w:hAnsi="Times New Roman"/>
          <w:sz w:val="22"/>
        </w:rPr>
        <w:t>3.3 Completeness and quality of LLM-generated exercise prescriptions</w:t>
      </w:r>
    </w:p>
    <w:p>
      <w:pPr/>
      <w:r>
        <w:rPr>
          <w:rFonts w:ascii="Times New Roman" w:hAnsi="Times New Roman"/>
          <w:sz w:val="22"/>
        </w:rPr>
        <w:t>Across the 35 studies, LLMs generally produced at least some prescription elements, such as activity, frequency, intensity, time, sets, or progression, but completeness and suitability varied. Class A studies covered resistance and running training, swimming, soccer, cardiac rehabilitation, musculoskeletal rehabilitation, diabetes, and kidney disease. Most used expert-developed scales, FITT/FITT-VP criteria, or guideline-adherence assessments; differences in scales and denominators precluded comparison of total scores across studies.</w:t>
      </w:r>
    </w:p>
    <w:p>
      <w:r>
        <w:rPr>
          <w:rFonts w:ascii="Times New Roman" w:hAnsi="Times New Roman"/>
          <w:sz w:val="22"/>
        </w:rPr>
        <w:t>Additional full-text evidence supports a “generatable but requiring review” pattern. W08 generated 30-day FITT-VP plans for five simulated cardiac rehabilitation cases. Experts identified gaps in examination reminders, contraindications, and intensity control in nine diabetes plans in W10. W15, W16, and W20 found that structural completeness could coexist with limited clinical specificity in high-risk or rehabilitation scenarios.</w:t>
      </w:r>
    </w:p>
    <w:p>
      <w:r>
        <w:rPr>
          <w:rFonts w:ascii="Times New Roman" w:hAnsi="Times New Roman"/>
          <w:sz w:val="22"/>
        </w:rPr>
        <w:t>W22 coded recommendations for 26 population groups by frequency, intensity, time, type, volume, and progression and found limited overall completeness. The eight-week clinical scenarios in W25 specified activities and doses, but experts noted overly rapid progression. W30 and W34 compared soccer and marathon plans, respectively; multiple models generated structured periodized plans, but individual health screening and dynamic adjustment were limited.</w:t>
      </w:r>
    </w:p>
    <w:p>
      <w:r>
        <w:rPr>
          <w:rFonts w:ascii="Times New Roman" w:hAnsi="Times New Roman"/>
          <w:sz w:val="22"/>
        </w:rPr>
        <w:t>Output evaluations using real-world data provided evidence closer to practical use. W11, W14, W23, W24, and W33 used real patient data or clinical prescriptions as inputs to compare individualization, workload, guideline adherence, or expert plans. However, use of patient data did not mean that patients implemented the plans, and output consistency could not be interpreted as a clinical effect.</w:t>
      </w:r>
    </w:p>
    <w:p>
      <w:r>
        <w:rPr>
          <w:rFonts w:ascii="Times New Roman" w:hAnsi="Times New Roman"/>
          <w:sz w:val="22"/>
        </w:rPr>
        <w:t>W36’s PhysioAgent used MedGemma, multi-agent orchestration, and a rule-based safety state machine to generate structured home exercise plans and was evaluated in 50 clinical scenarios and 200 simulated 30-day cycles. Transfer of real logs primarily validated the monitoring module and did not establish automated re-prescribing to real patients. System performance and safety-escalation rates remained offline or simulated evidence.</w:t>
      </w:r>
    </w:p>
    <w:p>
      <w:r>
        <w:rPr>
          <w:rFonts w:ascii="Times New Roman" w:hAnsi="Times New Roman"/>
          <w:sz w:val="22"/>
        </w:rPr>
        <w:t>Specific activities, doses, and expert ratings from W01–W07, W21, W31, and W35 were retained in the supplementary tables. “Actionable” meant only that an output contained an activity and at least one dose dimension; it did not mean that the dose was appropriate for a particular patient.</w:t>
      </w:r>
    </w:p>
    <w:p>
      <w:r>
        <w:rPr>
          <w:rFonts w:ascii="Times New Roman" w:hAnsi="Times New Roman"/>
          <w:sz w:val="22"/>
        </w:rPr>
        <w:t>Model, prompt detail, and language could affect prescription structure and ratings. Within-study comparisons can identify task-specific differences, but variation in model version, scenario, prompt, and scale precluded a cross-study ranking.</w:t>
      </w:r>
    </w:p>
    <w:p>
      <w:r>
        <w:rPr>
          <w:rFonts w:ascii="Times New Roman" w:hAnsi="Times New Roman"/>
          <w:sz w:val="22"/>
        </w:rPr>
        <w:t>Full study characteristics and item-level evidence are provided in Tables 1 and 2. Information not reported in the source is coded as NR.</w:t>
      </w:r>
    </w:p>
    <w:p>
      <w:pPr>
        <w:pStyle w:val="Heading2"/>
      </w:pPr>
      <w:r>
        <w:rPr>
          <w:rFonts w:ascii="Times New Roman" w:hAnsi="Times New Roman"/>
          <w:sz w:val="22"/>
        </w:rPr>
        <w:t>3.4 Guideline adherence and safety</w:t>
      </w:r>
    </w:p>
    <w:p>
      <w:r>
        <w:rPr>
          <w:rFonts w:ascii="Times New Roman" w:hAnsi="Times New Roman"/>
          <w:sz w:val="22"/>
        </w:rPr>
        <w:t>Safety evidence primarily concerned output content. W08 reported expert safety ratings; W10 identified substantial gaps in plans for diabetes with comorbidities; W15 compared warnings and guideline adherence for at-risk populations; W16 assessed safety and risk awareness; W22 quantified errors such as missing medical-examination screening; W25 noted overly rapid progression; and W31 documented expert judgments that specific responses were unsafe. None of these represents a human injury event.</w:t>
      </w:r>
    </w:p>
    <w:p>
      <w:r>
        <w:rPr>
          <w:rFonts w:ascii="Times New Roman" w:hAnsi="Times New Roman"/>
          <w:sz w:val="22"/>
        </w:rPr>
        <w:t>W13 coded contraindications, precautions, monitoring, and warnings as binary safety expressions. All three models had near-ceiling safety-expression scores. The authors noted that safety language did not guarantee dose completeness; Claude Sonnet 4.6 contributed to both generation and evaluation, raising a potential self-evaluation concern [23].</w:t>
      </w:r>
    </w:p>
    <w:p>
      <w:r>
        <w:rPr>
          <w:rFonts w:ascii="Times New Roman" w:hAnsi="Times New Roman"/>
          <w:sz w:val="22"/>
        </w:rPr>
        <w:t>Class B studies W24 and W33 compared outputs based on real patient data with clinical plans and identified differences in prescription decisions. The rest-day and total-volume issues in W29 reflected structural plan risks. Real-data evaluation did not constitute human-implementation safety evidence.</w:t>
      </w:r>
    </w:p>
    <w:p>
      <w:r>
        <w:rPr>
          <w:rFonts w:ascii="Times New Roman" w:hAnsi="Times New Roman"/>
          <w:sz w:val="22"/>
        </w:rPr>
        <w:t>A cross-study safety-failure rate could not be calculated because studies used different safety domains, output units, evaluator counts, and denominators. The three Class C studies did not adequately report human adverse-event outcomes; these were coded as NR, not as zero events.</w:t>
      </w:r>
    </w:p>
    <w:p>
      <w:pPr>
        <w:pStyle w:val="Heading2"/>
      </w:pPr>
      <w:r>
        <w:rPr>
          <w:rFonts w:ascii="Times New Roman" w:hAnsi="Times New Roman"/>
          <w:sz w:val="22"/>
        </w:rPr>
        <w:t>3.5 Individualization and clinical applicability</w:t>
      </w:r>
    </w:p>
    <w:p>
      <w:r>
        <w:rPr>
          <w:rFonts w:ascii="Times New Roman" w:hAnsi="Times New Roman"/>
          <w:sz w:val="22"/>
        </w:rPr>
        <w:t>The seven Class B studies were W03, W11, W14, W23, W24, W29, and W33. They generated and evaluated outputs using real logs, user needs, patient data, or clinical prescriptions; the use of “real-world data” alone did not make a study a human implementation study.</w:t>
      </w:r>
    </w:p>
    <w:p>
      <w:r>
        <w:rPr>
          <w:rFonts w:ascii="Times New Roman" w:hAnsi="Times New Roman"/>
          <w:sz w:val="22"/>
        </w:rPr>
        <w:t>W03 and W29 provided system-performance and interaction evidence. W11 compared prescriptions generated by ChatGPT and an intelligent health-promotion system for patients with hypertension and comorbidities. W14 compared experts, novices assisted by AI, and AI-only protocols. W23 compared 16-week plans developed by GPT-4 and a coach for the same real individual. W24 and W33 compared prescriptions using data from patients with knee osteoarthritis and stable angina, respectively.</w:t>
      </w:r>
    </w:p>
    <w:p>
      <w:r>
        <w:rPr>
          <w:rFonts w:ascii="Times New Roman" w:hAnsi="Times New Roman"/>
          <w:sz w:val="22"/>
        </w:rPr>
        <w:t>These studies show that LLMs can generate structured plans from real-world inputs, but outcomes were primarily expert ratings, algorithmic proxy measures, or output consistency. Adherence, effectiveness, or harm cannot be inferred unless plans are implemented and outcomes are observed.</w:t>
      </w:r>
    </w:p>
    <w:p>
      <w:r>
        <w:rPr>
          <w:rFonts w:ascii="Times New Roman" w:hAnsi="Times New Roman"/>
          <w:sz w:val="22"/>
        </w:rPr>
        <w:t>Individualization should be assessed across input information, activity selection, dose, progression, contraindications, and resource constraints—not solely by output length or whether personal information is mentioned.</w:t>
      </w:r>
    </w:p>
    <w:p>
      <w:pPr>
        <w:pStyle w:val="Heading2"/>
      </w:pPr>
      <w:r>
        <w:rPr>
          <w:rFonts w:ascii="Times New Roman" w:hAnsi="Times New Roman"/>
          <w:sz w:val="22"/>
        </w:rPr>
        <w:t>3.6 Differences by model and prompting approach</w:t>
      </w:r>
    </w:p>
    <w:p>
      <w:r>
        <w:rPr>
          <w:rFonts w:ascii="Times New Roman" w:hAnsi="Times New Roman"/>
          <w:sz w:val="22"/>
        </w:rPr>
        <w:t>Model-comparison results were task-dependent. W09, W18, W21, W30, W32, and W35 indicated that model version, prompt detail, or language could affect outputs. Differences in scales, number of generations, and evaluators precluded identification of a universally superior model.</w:t>
      </w:r>
    </w:p>
    <w:p>
      <w:r>
        <w:rPr>
          <w:rFonts w:ascii="Times New Roman" w:hAnsi="Times New Roman"/>
          <w:sz w:val="22"/>
        </w:rPr>
        <w:t>More detailed prompts generally improved structural completeness but did not reliably resolve clinical screening, intensity matching, or dynamic adjustment. The included studies consistently retained professional review as a boundary condition.</w:t>
      </w:r>
    </w:p>
    <w:p>
      <w:pPr>
        <w:pStyle w:val="Heading2"/>
      </w:pPr>
      <w:r>
        <w:rPr>
          <w:rFonts w:ascii="Times New Roman" w:hAnsi="Times New Roman"/>
          <w:sz w:val="22"/>
        </w:rPr>
        <w:t>3.7 Stability across repeated generations</w:t>
      </w:r>
    </w:p>
    <w:p>
      <w:r>
        <w:rPr>
          <w:rFonts w:ascii="Times New Roman" w:hAnsi="Times New Roman"/>
          <w:sz w:val="22"/>
        </w:rPr>
        <w:t>W13 provided the most extensive repeated-generation evidence: GPT-4.1, Claude Sonnet 4.6, and Gemini 2.5 Flash each generated 20 outputs for six clinical scenarios, for 360 outputs in total. Mean semantic similarity was 0.955 for GPT-4.1, 0.903 for Claude, and 0.950 for Gemini. All GPT-4.1 outputs were unique, whereas only 27.5% of Gemini outputs were unique. High similarity may reflect stable semantics or text repetition [23].</w:t>
      </w:r>
    </w:p>
    <w:p>
      <w:r>
        <w:rPr>
          <w:rFonts w:ascii="Times New Roman" w:hAnsi="Times New Roman"/>
          <w:sz w:val="22"/>
        </w:rPr>
        <w:t>W18 and W21 further indicated that input granularity, model, and task affected rating variability. The small number of repeated generations in W05 was insufficient to establish equivalence. Stability should be evaluated separately for text, activities, doses, and risk-management decisions.</w:t>
      </w:r>
    </w:p>
    <w:p>
      <w:r>
        <w:rPr>
          <w:rFonts w:ascii="Times New Roman" w:hAnsi="Times New Roman"/>
          <w:sz w:val="22"/>
        </w:rPr>
        <w:t>Safety expressions in W13 were near ceiling, although some resistance-intensity outputs could not be classified. This illustrates that consistent safety wording does not establish prescription completeness.</w:t>
      </w:r>
    </w:p>
    <w:p>
      <w:r>
        <w:rPr>
          <w:rFonts w:ascii="Times New Roman" w:hAnsi="Times New Roman"/>
          <w:sz w:val="22"/>
        </w:rPr>
        <w:t>Similarity, proportion of unique outputs, rating CVs, and expert agreement were not pooled across studies because they measure different constructs.</w:t>
      </w:r>
    </w:p>
    <w:p>
      <w:pPr>
        <w:pStyle w:val="Heading2"/>
      </w:pPr>
      <w:r>
        <w:rPr>
          <w:rFonts w:ascii="Times New Roman" w:hAnsi="Times New Roman"/>
          <w:sz w:val="22"/>
        </w:rPr>
        <w:t>3.8 Human implementation studies</w:t>
      </w:r>
    </w:p>
    <w:p>
      <w:r>
        <w:rPr>
          <w:rFonts w:ascii="Times New Roman" w:hAnsi="Times New Roman"/>
          <w:sz w:val="22"/>
        </w:rPr>
        <w:t>All three Class C studies implemented exercise plans generated with LLM involvement (Table 3). Sample sizes and supervision conditions differed, so outcomes were not pooled.</w:t>
      </w:r>
    </w:p>
    <w:p>
      <w:r>
        <w:rPr>
          <w:rFonts w:ascii="Times New Roman" w:hAnsi="Times New Roman"/>
          <w:sz w:val="22"/>
        </w:rPr>
        <w:t>W17 compared four weeks of physical activity across 26 families of children with autism spectrum disorder (ASD), with 13 families per group [12]. The report identified ChatGPT 4.0. Recommended activities included five minutes of balance walking and ten minutes of catch-and-throw. Parents received three 40-minute training sessions and, with researcher support, implemented the plan three times weekly for 40 minutes per session. Mean LTEQ scores increased from 6.69 to 34 in the intervention group and changed from 7.46 to 7.23 in the control group; the Table 3 interaction was F(1,24)=353.069, P&lt;0.001, ηp²=0.936. Outcomes were parent-reported and occurred alongside training, parent–child participation, and WhatsApp support; the change cannot be attributed to the LLM alone.</w:t>
      </w:r>
    </w:p>
    <w:p>
      <w:r>
        <w:rPr>
          <w:rFonts w:ascii="Times New Roman" w:hAnsi="Times New Roman"/>
          <w:sz w:val="22"/>
        </w:rPr>
        <w:t>W26 provided an eight-week exercise program to nine healthy overweight men aged 19 years (six intervention, three control) [14]. The Methods summarized aerobic, resistance, and flexibility training for 45–60 minutes three times per week, whereas the appendix described 20–30-minute HIIT sessions in weeks 3–4. The prescription examples and summary differed, and session-level completion was not reported. At week 8, median BMI was 22.99 versus 24.46 kg/m² (P=0.020), heart rate after a 3-minute in-place knee-raise test was 128 versus 152 bpm (P=0.019), and 30-second sit-to-stand counts were 37 versus 32 (P=0.019). These were between-group endpoint medians, not means or between-group changes. The control group received no exercise intervention; results do not show that LLM plans outperform professional prescriptions. The very small sample and an injury-related exclusion criterion further limit interpretation.</w:t>
      </w:r>
    </w:p>
    <w:p>
      <w:r>
        <w:rPr>
          <w:rFonts w:ascii="Times New Roman" w:hAnsi="Times New Roman"/>
          <w:sz w:val="22"/>
        </w:rPr>
        <w:t>W27 compared a fixed GPT-4 plan with a personal-trainer plan in two groups of 10 men, training for 12 weeks, three times per week, for 90 minutes per session [15]. In the GPT group, left-arm strength increased from 20.31±3.80 to 22.99±4.05 kg (within-group P&lt;0.001). Several measures changed within the trainer group, whose plan was reassessed and adjusted every four weeks; the GPT group’s baseline maximal-strength prescription was not modified over 12 weeks. Support conditions therefore differed. A significant within-group result in one arm and a nonsignificant result in another do not establish a comparative effect.</w:t>
      </w:r>
    </w:p>
    <w:p>
      <w:r>
        <w:rPr>
          <w:rFonts w:ascii="Times New Roman" w:hAnsi="Times New Roman"/>
          <w:sz w:val="22"/>
        </w:rPr>
        <w:t>None of the three studies reported human adverse-event outcomes; these were coded as NR. Non-reporting does not mean zero events or establish implementation safety. W26 listed injuries during training as an exclusion criterion, but the available report did not establish how many participants were affected; injury or withdrawal counts were not inferred.</w:t>
      </w:r>
    </w:p>
    <w:p>
      <w:pPr>
        <w:pStyle w:val="Heading2"/>
      </w:pPr>
      <w:r>
        <w:rPr>
          <w:rFonts w:ascii="Times New Roman" w:hAnsi="Times New Roman"/>
          <w:sz w:val="22"/>
        </w:rPr>
        <w:t>3.9 Methodological quality and risk of bias</w:t>
      </w:r>
    </w:p>
    <w:p>
      <w:r>
        <w:rPr>
          <w:rFonts w:ascii="Times New Roman" w:hAnsi="Times New Roman"/>
          <w:sz w:val="22"/>
        </w:rPr>
        <w:t>The 32 Class A/B studies were assessed with a review-specific nine-domain framework developed for this review; it is not a validated standardized risk-of-bias tool, and no overall score or cross-study low-risk proportion was calculated. The three Class C studies report randomized allocation and were assessed with RoB 2. The saved appraisal results contain 288 Class A/B and 15 Class C domain judgments, all marked researcher-reviewed-confirmed on 25 October 2026; reviewer identity is NR and no independent second reviewer is claimed. In W13, Claude Sonnet 4.6 generated outputs and assisted with FITT classification and safety-expression identification, creating a potential model self-evaluation/measurement-bias concern.</w:t>
      </w:r>
    </w:p>
    <w:p>
      <w:r>
        <w:rPr>
          <w:rFonts w:ascii="Times New Roman" w:hAnsi="Times New Roman"/>
          <w:sz w:val="22"/>
        </w:rPr>
        <w:t>Across the three Class C studies, the saved researcher-reviewed RoB 2 judgments identify at least one high-risk domain for each target outcome. The principal concerns were parent-reported, unblinded outcomes in W17; possible post-randomization exclusion and selective reporting in W26; and reliance on within-group significance without adequate between-group effects in W27. These judgments address bias in the reported human outcomes; they do not establish whether the LLM itself caused the observed changes.</w:t>
      </w:r>
    </w:p>
    <w:p>
      <w:pPr>
        <w:pStyle w:val="Heading1"/>
      </w:pPr>
      <w:r>
        <w:rPr>
          <w:rFonts w:ascii="Times New Roman" w:hAnsi="Times New Roman"/>
          <w:sz w:val="22"/>
        </w:rPr>
        <w:t>4. Discussion</w:t>
      </w:r>
    </w:p>
    <w:p>
      <w:pPr>
        <w:pStyle w:val="Heading2"/>
      </w:pPr>
      <w:r>
        <w:rPr>
          <w:rFonts w:ascii="Times New Roman" w:hAnsi="Times New Roman"/>
          <w:sz w:val="22"/>
        </w:rPr>
        <w:t>4.1 The capabilities and limits of structured prescription generation</w:t>
      </w:r>
    </w:p>
    <w:p>
      <w:r>
        <w:rPr>
          <w:rFonts w:ascii="Times New Roman" w:hAnsi="Times New Roman"/>
          <w:sz w:val="22"/>
        </w:rPr>
        <w:t>The current author-designated set indicates that LLMs can generate structured plans across exercise and rehabilitation contexts. Their practical value lies primarily in rapidly producing drafts for professionals to review and revise. The number of studies has not eliminated limitations in dose, individual fit, risk management, or dynamic adjustment.</w:t>
      </w:r>
    </w:p>
    <w:p>
      <w:r>
        <w:rPr>
          <w:rFonts w:ascii="Times New Roman" w:hAnsi="Times New Roman"/>
          <w:sz w:val="22"/>
        </w:rPr>
        <w:t>Evidence remained weighted toward output evaluation: 25 Class A studies and 7 Class B studies, compared with only 3 Class C studies involving human implementation. This distribution suggests that the field is better positioned to demonstrate that plans can be generated than to establish long-term effectiveness, safety, or superiority to professional practice.</w:t>
      </w:r>
    </w:p>
    <w:p>
      <w:pPr>
        <w:pStyle w:val="Heading2"/>
      </w:pPr>
      <w:r>
        <w:rPr>
          <w:rFonts w:ascii="Times New Roman" w:hAnsi="Times New Roman"/>
          <w:sz w:val="22"/>
        </w:rPr>
        <w:t>4.2 Dose, individualization, and risk management</w:t>
      </w:r>
    </w:p>
    <w:p>
      <w:r>
        <w:rPr>
          <w:rFonts w:ascii="Times New Roman" w:hAnsi="Times New Roman"/>
          <w:sz w:val="22"/>
        </w:rPr>
        <w:t>A complete FITT-VP structure does not guarantee an appropriate dose. In W06, more detailed plans received higher overall ratings, yet health screening remained only moderate and progression concerns persisted. The MRC 2/5 scenario in W31 suggests that an apparently reasonable activity may overlook bilateral weakness, feasibility of assistance, or disease-specific evidence. Findings should be interpreted in relation to the specific activity and patient context; an overall score cannot replace professional judgment.</w:t>
      </w:r>
    </w:p>
    <w:p>
      <w:r>
        <w:rPr>
          <w:rFonts w:ascii="Times New Roman" w:hAnsi="Times New Roman"/>
          <w:sz w:val="22"/>
        </w:rPr>
        <w:t>Risk-management evaluation also requires an explicit reference standard. Experts may disagree about the same frequency or treatment approach, as illustrated by W31; time constraints in W29 may also make it difficult to satisfy rest-day rules. Future assessments should record the model recommendation, reference decision, rationale, and uncertainty separately. Expert disagreement or one missing safety statement cannot be used to calculate a general hazard rate.</w:t>
      </w:r>
    </w:p>
    <w:p>
      <w:r>
        <w:rPr>
          <w:rFonts w:ascii="Times New Roman" w:hAnsi="Times New Roman"/>
          <w:sz w:val="22"/>
        </w:rPr>
        <w:t>More detailed prompts may help but also increase the user burden. In W06, prompt detail and the number of follow-up queries changed together; W05 also had limitations in rater agreement. These findings do not support advising all users that a “better prompt” alone will produce a reliable prescription. Models may help structure information, but professionals must still determine whether the input is sufficient for prescribing.</w:t>
      </w:r>
    </w:p>
    <w:p>
      <w:pPr>
        <w:pStyle w:val="Heading2"/>
      </w:pPr>
      <w:r>
        <w:rPr>
          <w:rFonts w:ascii="Times New Roman" w:hAnsi="Times New Roman"/>
          <w:sz w:val="22"/>
        </w:rPr>
        <w:t>4.3 Stability is distinct from prescription quality</w:t>
      </w:r>
    </w:p>
    <w:p>
      <w:r>
        <w:rPr>
          <w:rFonts w:ascii="Times New Roman" w:hAnsi="Times New Roman"/>
          <w:sz w:val="22"/>
        </w:rPr>
        <w:t>W21 provides a clear example: the model with lower mean ratings had a smaller generation-level CV. Repeatedly generating similar outputs may indicate stability, but it may also reproduce the same defect. In W05, the absence of statistically significant rating differences was limited by few repetitions and inadequate rater agreement; it should not be interpreted as evidence of equivalence.</w:t>
      </w:r>
    </w:p>
    <w:p>
      <w:r>
        <w:rPr>
          <w:rFonts w:ascii="Times New Roman" w:hAnsi="Times New Roman"/>
          <w:sz w:val="22"/>
        </w:rPr>
        <w:t>Future evaluations should report reproducibility separately for text, activities, doses, and risk-management decisions. Model parameters, conversation history, and version should be documented for identical inputs. Rating stability should be assessed alongside content-level consistency. Better performance in one study does not establish superiority across populations or later model versions, and this review does not support a universal ranking.</w:t>
      </w:r>
    </w:p>
    <w:p>
      <w:pPr>
        <w:pStyle w:val="Heading2"/>
      </w:pPr>
      <w:r>
        <w:rPr>
          <w:rFonts w:ascii="Times New Roman" w:hAnsi="Times New Roman"/>
          <w:sz w:val="22"/>
        </w:rPr>
        <w:t>4.4 The evidence gap between output safety and human safety</w:t>
      </w:r>
    </w:p>
    <w:p>
      <w:r>
        <w:rPr>
          <w:rFonts w:ascii="Times New Roman" w:hAnsi="Times New Roman"/>
          <w:sz w:val="22"/>
        </w:rPr>
        <w:t>Output-safety scores can identify content requiring professional review, but they do not directly predict injury. The 4/12 in W31 represents evaluators, the 4.8/5 in W03 represents a plan rating, and the rest-day rule in W29 concerns plan structure. These measures have different denominators and targets and should not be converted into a common “safety rate.”</w:t>
      </w:r>
    </w:p>
    <w:p>
      <w:r>
        <w:rPr>
          <w:rFonts w:ascii="Times New Roman" w:hAnsi="Times New Roman"/>
          <w:sz w:val="22"/>
        </w:rPr>
        <w:t>None of the three human studies reported adverse events, so it is unclear whether no events occurred or events were not systematically monitored. Human studies should prespecify event type, severity, exposure time, withdrawal reason, and supervision intensity and report all participants. Exclusion after injury warrants particular transparency to avoid underestimating risk through complete-case analysis. The evidence is insufficient to conclude either that LLMs are generally safe or that all output problems translate into actual harm.</w:t>
      </w:r>
    </w:p>
    <w:p>
      <w:pPr>
        <w:pStyle w:val="Heading2"/>
      </w:pPr>
      <w:r>
        <w:rPr>
          <w:rFonts w:ascii="Times New Roman" w:hAnsi="Times New Roman"/>
          <w:sz w:val="22"/>
        </w:rPr>
        <w:t>4.5 Real-world application and professional collaboration</w:t>
      </w:r>
    </w:p>
    <w:p>
      <w:r>
        <w:rPr>
          <w:rFonts w:ascii="Times New Roman" w:hAnsi="Times New Roman"/>
          <w:sz w:val="22"/>
        </w:rPr>
        <w:t>Real data do not automatically establish real-world effectiveness. W03 used real logs, but satisfaction and goal matching included proxy measures; W29 used actual user needs but adjusted plans in simulated follow-up scenarios. These studies inform system development and interaction design but do not replace long-term follow-up.</w:t>
      </w:r>
    </w:p>
    <w:p>
      <w:r>
        <w:rPr>
          <w:rFonts w:ascii="Times New Roman" w:hAnsi="Times New Roman"/>
          <w:sz w:val="22"/>
        </w:rPr>
        <w:t>Class C studies show that LLM-generated plans can be implemented when combined with parent training, researcher support, or coach involvement. In exercise science and rehabilitation, a more plausible role is to organize drafts, support communication, and document revisions—not to treat generated text as an individualized clinical decision. For people with disease, marked muscle weakness, or higher loading risk, professionals should review contraindications, intensity, progression, and stopping criteria and then adjust the plan based on observed responses. The current evidence does not show that this collaborative model is superior to usual professional care.</w:t>
      </w:r>
    </w:p>
    <w:p>
      <w:r>
        <w:rPr>
          <w:rFonts w:ascii="Times New Roman" w:hAnsi="Times New Roman"/>
          <w:sz w:val="22"/>
        </w:rPr>
        <w:t>As background, WMRE2030 proposes a daily-scale closed loop integrating wearable devices, multi-omics, and real-time feedback [22]. This framework highlights the value of placing prescriptions within ongoing observation and adjustment rather than evaluating a single text output. However, it is a framework review, not a clinical trial eligible for this review, and cannot be used to imply that feedback procedures or effects were observed in the included studies. The FITT-VP and swimming studies in the learning materials are already represented as W07 and W21 and were not counted again.</w:t>
      </w:r>
    </w:p>
    <w:p>
      <w:pPr>
        <w:pStyle w:val="Heading2"/>
      </w:pPr>
      <w:r>
        <w:rPr>
          <w:rFonts w:ascii="Times New Roman" w:hAnsi="Times New Roman"/>
          <w:sz w:val="22"/>
        </w:rPr>
        <w:t>4.6 Heterogeneity and limitations of this review</w:t>
      </w:r>
    </w:p>
    <w:p>
      <w:r>
        <w:t>The title/abstract ledger contains a current or recovered decision for all 755 rows: 533 exclusions and 222 requests for full text. A supplementary review of 189 previously unlinked reports reduced the uncharacterized queue to 168 abstract-level exclusion recommendations, 14 completed full-text initial assessments, and 7 unobtained reports. The 14 assessments yielded 8 inclusion recommendations, 4 exclusion recommendations, and 2 undecided reports. However, the record-level evidence files for this update were not available in the current workspace, so these recommendations could not be merged into the formal screening ledger, data extraction, or quality appraisal. W34–W36 also retain an undocumented cross-stage discrepancy. These issues prevent a fully closed PRISMA flow.</w:t>
      </w:r>
    </w:p>
    <w:p>
      <w:r>
        <w:rPr>
          <w:rFonts w:ascii="Times New Roman" w:hAnsi="Times New Roman"/>
          <w:sz w:val="22"/>
        </w:rPr>
        <w:t>Second, complete original exports or execution records remain unavailable for some databases. The 295 records are historical duplicate labels; the net removal of 291 reflects the restoration of four distinct reports. The values 751 and 755 represent different working inventories before and after this correction.</w:t>
      </w:r>
    </w:p>
    <w:p>
      <w:r>
        <w:rPr>
          <w:rFonts w:ascii="Times New Roman" w:hAnsi="Times New Roman"/>
          <w:sz w:val="22"/>
        </w:rPr>
        <w:t>The Class A/B nine-domain framework was developed for this review and has not been externally validated. The saved quality results contain 303 item-level judgments (288 A/B and 15 C) marked researcher-reviewed-confirmed on 25 October 2026. The reviewer is not named in the source, and no independent second reviewer or agreement statistic is recorded. RoB 2 was applied to the three Class C studies, each of which reports randomized allocation. Output-safety assessments remain distinct from human adverse events.</w:t>
      </w:r>
    </w:p>
    <w:p>
      <w:r>
        <w:rPr>
          <w:rFonts w:ascii="Times New Roman" w:hAnsi="Times New Roman"/>
          <w:sz w:val="22"/>
        </w:rPr>
        <w:t>Finally, models, versions, prompts, scenarios, scales, and units of analysis were highly heterogeneous, and reporting of human adverse events was limited. We therefore conducted no meta-analysis and calculated no overall safety rate or model ranking.</w:t>
      </w:r>
    </w:p>
    <w:p>
      <w:pPr>
        <w:pStyle w:val="Heading2"/>
      </w:pPr>
      <w:r>
        <w:rPr>
          <w:rFonts w:ascii="Times New Roman" w:hAnsi="Times New Roman"/>
          <w:sz w:val="22"/>
        </w:rPr>
        <w:t>4.7 Future research</w:t>
      </w:r>
    </w:p>
    <w:p>
      <w:r>
        <w:rPr>
          <w:rFonts w:ascii="Times New Roman" w:hAnsi="Times New Roman"/>
          <w:sz w:val="22"/>
        </w:rPr>
        <w:t>Future output studies should publish original prompts, parameters, all generated outputs, and failed outputs. Standardized cases should cover different training levels, conditions, and actionable constraints, with prespecified reference standards for risk management. Repeated generations should be sufficient to examine dose, activity, and safety decisions separately, rather than reporting only similarity or mean ratings.</w:t>
      </w:r>
    </w:p>
    <w:p>
      <w:r>
        <w:rPr>
          <w:rFonts w:ascii="Times New Roman" w:hAnsi="Times New Roman"/>
          <w:sz w:val="22"/>
        </w:rPr>
        <w:t>Real-world studies should distinguish contributions from the model, knowledge constraints, professional support, and dynamic adjustment and should prespecify primary outcomes and units of analysis. Human studies need comparative designs that assess incremental value and should report adherence, follow-up, adverse events, and resource use. Appraisal tools should match the study design rather than being selected for convenience.</w:t>
      </w:r>
    </w:p>
    <w:p>
      <w:pPr>
        <w:pStyle w:val="Heading1"/>
      </w:pPr>
      <w:r>
        <w:rPr>
          <w:rFonts w:ascii="Times New Roman" w:hAnsi="Times New Roman"/>
          <w:sz w:val="22"/>
        </w:rPr>
        <w:t>5. Conclusion</w:t>
      </w:r>
    </w:p>
    <w:p>
      <w:r>
        <w:t>The completed synthesis of 35 studies indicates that LLMs can generate structured exercise-prescription drafts, but completeness, dose suitability, individualization, safety expression, and reproducibility vary. Class A/B output evaluations and Class C implementation evidence are not interchangeable; ‘adverse events not reported’ does not mean that no events occurred. The evidence supports supervised use as an assistive tool, not independent prescribing. The supplementary review identified eight additional inclusion candidates, but these have not been incorporated because complete extraction and quality appraisal are not available. Two full-text assessments remain undecided, seven reports were not obtained, and W34–W36 require a documented screening-path correction. The manuscript therefore remains an internally consistent author-review draft rather than a submission-ready final review.</w:t>
      </w:r>
    </w:p>
    <w:p>
      <w:pPr>
        <w:pStyle w:val="Heading1"/>
      </w:pPr>
      <w:r>
        <w:rPr>
          <w:rFonts w:ascii="Times New Roman" w:hAnsi="Times New Roman"/>
          <w:sz w:val="22"/>
        </w:rPr>
        <w:t>Supplementary tables</w:t>
      </w:r>
    </w:p>
    <w:p>
      <w:r>
        <w:rPr>
          <w:rFonts w:ascii="Times New Roman" w:hAnsi="Times New Roman"/>
          <w:sz w:val="22"/>
        </w:rPr>
        <w:t>Tables describe the current author-designated 35-study synthesis set (25 Class A, 7 Class B, and 3 Class C). NR = not reported in the source; PENDING = unresolved evidence or researcher confirmation. Class A = standardized/simulated output evaluation; Class B = real-world data output evaluation; Class C = human implementation. PDF locations refer to physical page numbers.</w:t>
      </w:r>
    </w:p>
    <w:p>
      <w:pPr>
        <w:pStyle w:val="Heading2"/>
        <w:keepNext/>
      </w:pPr>
      <w:r>
        <w:rPr>
          <w:rFonts w:ascii="Times New Roman" w:hAnsi="Times New Roman"/>
          <w:sz w:val="22"/>
        </w:rPr>
        <w:t>Table 1. Characteristics of the author-designated study set (Part A).</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val="true"/>
        </w:trPr>
        <w:tc>
          <w:tcPr>
            <w:tcW w:type="dxa" w:w="2493"/>
            <w:vAlign w:val="center"/>
          </w:tcPr>
          <w:p>
            <w:r>
              <w:rPr>
                <w:rFonts w:ascii="Times New Roman" w:hAnsi="Times New Roman"/>
                <w:sz w:val="16"/>
              </w:rPr>
              <w:t>Study ID</w:t>
            </w:r>
          </w:p>
        </w:tc>
        <w:tc>
          <w:tcPr>
            <w:tcW w:type="dxa" w:w="2493"/>
            <w:vAlign w:val="center"/>
          </w:tcPr>
          <w:p>
            <w:r>
              <w:rPr>
                <w:rFonts w:ascii="Times New Roman" w:hAnsi="Times New Roman"/>
                <w:sz w:val="16"/>
              </w:rPr>
              <w:t>Author/year; class</w:t>
            </w:r>
          </w:p>
        </w:tc>
        <w:tc>
          <w:tcPr>
            <w:tcW w:type="dxa" w:w="2493"/>
            <w:vAlign w:val="center"/>
          </w:tcPr>
          <w:p>
            <w:r>
              <w:rPr>
                <w:rFonts w:ascii="Times New Roman" w:hAnsi="Times New Roman"/>
                <w:sz w:val="16"/>
              </w:rPr>
              <w:t>Study design and evaluation</w:t>
            </w:r>
          </w:p>
        </w:tc>
        <w:tc>
          <w:tcPr>
            <w:tcW w:type="dxa" w:w="2493"/>
            <w:vAlign w:val="center"/>
          </w:tcPr>
          <w:p>
            <w:r>
              <w:rPr>
                <w:rFonts w:ascii="Times New Roman" w:hAnsi="Times New Roman"/>
                <w:sz w:val="16"/>
              </w:rPr>
              <w:t>Population/source and LLM</w:t>
            </w:r>
          </w:p>
        </w:tc>
      </w:tr>
      <w:tr>
        <w:trPr>
          <w:cantSplit/>
        </w:trPr>
        <w:tc>
          <w:tcPr>
            <w:tcW w:type="dxa" w:w="2493"/>
            <w:vAlign w:val="center"/>
          </w:tcPr>
          <w:p>
            <w:r>
              <w:rPr>
                <w:rFonts w:ascii="Times New Roman" w:hAnsi="Times New Roman"/>
                <w:sz w:val="16"/>
              </w:rPr>
              <w:t>W01</w:t>
            </w:r>
          </w:p>
        </w:tc>
        <w:tc>
          <w:tcPr>
            <w:tcW w:type="dxa" w:w="2493"/>
            <w:vAlign w:val="center"/>
          </w:tcPr>
          <w:p>
            <w:r>
              <w:rPr>
                <w:rFonts w:ascii="Times New Roman" w:hAnsi="Times New Roman"/>
                <w:sz w:val="16"/>
              </w:rPr>
              <w:t>Dergaa 2024; A</w:t>
            </w:r>
          </w:p>
        </w:tc>
        <w:tc>
          <w:tcPr>
            <w:tcW w:type="dxa" w:w="2493"/>
            <w:vAlign w:val="center"/>
          </w:tcPr>
          <w:p>
            <w:r>
              <w:rPr>
                <w:rFonts w:ascii="Times New Roman" w:hAnsi="Times New Roman"/>
                <w:sz w:val="16"/>
              </w:rPr>
              <w:t>Evaluation of LLM outputs for simulated cases; critical expert appraisal</w:t>
            </w:r>
          </w:p>
        </w:tc>
        <w:tc>
          <w:tcPr>
            <w:tcW w:type="dxa" w:w="2493"/>
            <w:vAlign w:val="center"/>
          </w:tcPr>
          <w:p>
            <w:r>
              <w:rPr>
                <w:rFonts w:ascii="Times New Roman" w:hAnsi="Times New Roman"/>
                <w:sz w:val="16"/>
              </w:rPr>
              <w:t>GPT-4; five synthetic healthy/disease cases</w:t>
            </w:r>
          </w:p>
        </w:tc>
      </w:tr>
      <w:tr>
        <w:trPr>
          <w:cantSplit/>
        </w:trPr>
        <w:tc>
          <w:tcPr>
            <w:tcW w:type="dxa" w:w="2493"/>
            <w:vAlign w:val="center"/>
          </w:tcPr>
          <w:p>
            <w:r>
              <w:rPr>
                <w:rFonts w:ascii="Times New Roman" w:hAnsi="Times New Roman"/>
                <w:sz w:val="16"/>
              </w:rPr>
              <w:t>W02</w:t>
            </w:r>
          </w:p>
        </w:tc>
        <w:tc>
          <w:tcPr>
            <w:tcW w:type="dxa" w:w="2493"/>
            <w:vAlign w:val="center"/>
          </w:tcPr>
          <w:p>
            <w:r>
              <w:rPr>
                <w:rFonts w:ascii="Times New Roman" w:hAnsi="Times New Roman"/>
                <w:sz w:val="16"/>
              </w:rPr>
              <w:t>Havers 2025; A</w:t>
            </w:r>
          </w:p>
        </w:tc>
        <w:tc>
          <w:tcPr>
            <w:tcW w:type="dxa" w:w="2493"/>
            <w:vAlign w:val="center"/>
          </w:tcPr>
          <w:p>
            <w:r>
              <w:rPr>
                <w:rFonts w:ascii="Times New Roman" w:hAnsi="Times New Roman"/>
                <w:sz w:val="16"/>
              </w:rPr>
              <w:t>Multimodel comparison of simulated training plans; expert assessment</w:t>
            </w:r>
          </w:p>
        </w:tc>
        <w:tc>
          <w:tcPr>
            <w:tcW w:type="dxa" w:w="2493"/>
            <w:vAlign w:val="center"/>
          </w:tcPr>
          <w:p>
            <w:r>
              <w:rPr>
                <w:rFonts w:ascii="Times New Roman" w:hAnsi="Times New Roman"/>
                <w:sz w:val="16"/>
              </w:rPr>
              <w:t>GPT-3.5, Copilot, Gemini; fictional advanced strength trainee</w:t>
            </w:r>
          </w:p>
        </w:tc>
      </w:tr>
      <w:tr>
        <w:trPr>
          <w:cantSplit/>
        </w:trPr>
        <w:tc>
          <w:tcPr>
            <w:tcW w:type="dxa" w:w="2493"/>
            <w:vAlign w:val="center"/>
          </w:tcPr>
          <w:p>
            <w:r>
              <w:rPr>
                <w:rFonts w:ascii="Times New Roman" w:hAnsi="Times New Roman"/>
                <w:sz w:val="16"/>
              </w:rPr>
              <w:t>W03</w:t>
            </w:r>
          </w:p>
        </w:tc>
        <w:tc>
          <w:tcPr>
            <w:tcW w:type="dxa" w:w="2493"/>
            <w:vAlign w:val="center"/>
          </w:tcPr>
          <w:p>
            <w:r>
              <w:rPr>
                <w:rFonts w:ascii="Times New Roman" w:hAnsi="Times New Roman"/>
                <w:sz w:val="16"/>
              </w:rPr>
              <w:t>He 2026; B</w:t>
            </w:r>
          </w:p>
        </w:tc>
        <w:tc>
          <w:tcPr>
            <w:tcW w:type="dxa" w:w="2493"/>
            <w:vAlign w:val="center"/>
          </w:tcPr>
          <w:p>
            <w:r>
              <w:rPr>
                <w:rFonts w:ascii="Times New Roman" w:hAnsi="Times New Roman"/>
                <w:sz w:val="16"/>
              </w:rPr>
              <w:t>Model development and performance evaluation using real-world training logs</w:t>
            </w:r>
          </w:p>
        </w:tc>
        <w:tc>
          <w:tcPr>
            <w:tcW w:type="dxa" w:w="2493"/>
            <w:vAlign w:val="center"/>
          </w:tcPr>
          <w:p>
            <w:r>
              <w:rPr>
                <w:rFonts w:ascii="Times New Roman" w:hAnsi="Times New Roman"/>
                <w:sz w:val="16"/>
              </w:rPr>
              <w:t>LLM-SPTRec and general LLaMA-2; SportFit-1M user data</w:t>
            </w:r>
          </w:p>
        </w:tc>
      </w:tr>
      <w:tr>
        <w:trPr>
          <w:cantSplit/>
        </w:trPr>
        <w:tc>
          <w:tcPr>
            <w:tcW w:type="dxa" w:w="2493"/>
            <w:vAlign w:val="center"/>
          </w:tcPr>
          <w:p>
            <w:r>
              <w:rPr>
                <w:rFonts w:ascii="Times New Roman" w:hAnsi="Times New Roman"/>
                <w:sz w:val="16"/>
              </w:rPr>
              <w:t>W04</w:t>
            </w:r>
          </w:p>
        </w:tc>
        <w:tc>
          <w:tcPr>
            <w:tcW w:type="dxa" w:w="2493"/>
            <w:vAlign w:val="center"/>
          </w:tcPr>
          <w:p>
            <w:r>
              <w:rPr>
                <w:rFonts w:ascii="Times New Roman" w:hAnsi="Times New Roman"/>
                <w:sz w:val="16"/>
              </w:rPr>
              <w:t>Washif 2024; A</w:t>
            </w:r>
          </w:p>
        </w:tc>
        <w:tc>
          <w:tcPr>
            <w:tcW w:type="dxa" w:w="2493"/>
            <w:vAlign w:val="center"/>
          </w:tcPr>
          <w:p>
            <w:r>
              <w:rPr>
                <w:rFonts w:ascii="Times New Roman" w:hAnsi="Times New Roman"/>
                <w:sz w:val="16"/>
              </w:rPr>
              <w:t>Comparison of simulated resistance-training prescriptions</w:t>
            </w:r>
          </w:p>
        </w:tc>
        <w:tc>
          <w:tcPr>
            <w:tcW w:type="dxa" w:w="2493"/>
            <w:vAlign w:val="center"/>
          </w:tcPr>
          <w:p>
            <w:r>
              <w:rPr>
                <w:rFonts w:ascii="Times New Roman" w:hAnsi="Times New Roman"/>
                <w:sz w:val="16"/>
              </w:rPr>
              <w:t>GPT-3.5, GPT-4; two fictional healthy individuals</w:t>
            </w:r>
          </w:p>
        </w:tc>
      </w:tr>
      <w:tr>
        <w:trPr>
          <w:cantSplit/>
        </w:trPr>
        <w:tc>
          <w:tcPr>
            <w:tcW w:type="dxa" w:w="2493"/>
            <w:vAlign w:val="center"/>
          </w:tcPr>
          <w:p>
            <w:r>
              <w:rPr>
                <w:rFonts w:ascii="Times New Roman" w:hAnsi="Times New Roman"/>
                <w:sz w:val="16"/>
              </w:rPr>
              <w:t>W05</w:t>
            </w:r>
          </w:p>
        </w:tc>
        <w:tc>
          <w:tcPr>
            <w:tcW w:type="dxa" w:w="2493"/>
            <w:vAlign w:val="center"/>
          </w:tcPr>
          <w:p>
            <w:r>
              <w:rPr>
                <w:rFonts w:ascii="Times New Roman" w:hAnsi="Times New Roman"/>
                <w:sz w:val="16"/>
              </w:rPr>
              <w:t>Havers 2025; A</w:t>
            </w:r>
          </w:p>
        </w:tc>
        <w:tc>
          <w:tcPr>
            <w:tcW w:type="dxa" w:w="2493"/>
            <w:vAlign w:val="center"/>
          </w:tcPr>
          <w:p>
            <w:r>
              <w:rPr>
                <w:rFonts w:ascii="Times New Roman" w:hAnsi="Times New Roman"/>
                <w:sz w:val="16"/>
              </w:rPr>
              <w:t>Repeated generation and expert assessment</w:t>
            </w:r>
          </w:p>
        </w:tc>
        <w:tc>
          <w:tcPr>
            <w:tcW w:type="dxa" w:w="2493"/>
            <w:vAlign w:val="center"/>
          </w:tcPr>
          <w:p>
            <w:r>
              <w:rPr>
                <w:rFonts w:ascii="Times New Roman" w:hAnsi="Times New Roman"/>
                <w:sz w:val="16"/>
              </w:rPr>
              <w:t>GPT-4, Gemini; fictional hypertrophy trainee</w:t>
            </w:r>
          </w:p>
        </w:tc>
      </w:tr>
      <w:tr>
        <w:trPr>
          <w:cantSplit/>
        </w:trPr>
        <w:tc>
          <w:tcPr>
            <w:tcW w:type="dxa" w:w="2493"/>
            <w:vAlign w:val="center"/>
          </w:tcPr>
          <w:p>
            <w:r>
              <w:rPr>
                <w:rFonts w:ascii="Times New Roman" w:hAnsi="Times New Roman"/>
                <w:sz w:val="16"/>
              </w:rPr>
              <w:t>W06</w:t>
            </w:r>
          </w:p>
        </w:tc>
        <w:tc>
          <w:tcPr>
            <w:tcW w:type="dxa" w:w="2493"/>
            <w:vAlign w:val="center"/>
          </w:tcPr>
          <w:p>
            <w:r>
              <w:rPr>
                <w:rFonts w:ascii="Times New Roman" w:hAnsi="Times New Roman"/>
                <w:sz w:val="16"/>
              </w:rPr>
              <w:t>Düking 2024; A</w:t>
            </w:r>
          </w:p>
        </w:tc>
        <w:tc>
          <w:tcPr>
            <w:tcW w:type="dxa" w:w="2493"/>
            <w:vAlign w:val="center"/>
          </w:tcPr>
          <w:p>
            <w:r>
              <w:rPr>
                <w:rFonts w:ascii="Times New Roman" w:hAnsi="Times New Roman"/>
                <w:sz w:val="16"/>
              </w:rPr>
              <w:t>Simulated running plans, prompt-information gradient, and expert assessment</w:t>
            </w:r>
          </w:p>
        </w:tc>
        <w:tc>
          <w:tcPr>
            <w:tcW w:type="dxa" w:w="2493"/>
            <w:vAlign w:val="center"/>
          </w:tcPr>
          <w:p>
            <w:r>
              <w:rPr>
                <w:rFonts w:ascii="Times New Roman" w:hAnsi="Times New Roman"/>
                <w:sz w:val="16"/>
              </w:rPr>
              <w:t>ChatGPT; fictional runner</w:t>
            </w:r>
          </w:p>
        </w:tc>
      </w:tr>
      <w:tr>
        <w:trPr>
          <w:cantSplit/>
        </w:trPr>
        <w:tc>
          <w:tcPr>
            <w:tcW w:type="dxa" w:w="2493"/>
            <w:vAlign w:val="center"/>
          </w:tcPr>
          <w:p>
            <w:r>
              <w:rPr>
                <w:rFonts w:ascii="Times New Roman" w:hAnsi="Times New Roman"/>
                <w:sz w:val="16"/>
              </w:rPr>
              <w:t>W07</w:t>
            </w:r>
          </w:p>
        </w:tc>
        <w:tc>
          <w:tcPr>
            <w:tcW w:type="dxa" w:w="2493"/>
            <w:vAlign w:val="center"/>
          </w:tcPr>
          <w:p>
            <w:r>
              <w:rPr>
                <w:rFonts w:ascii="Times New Roman" w:hAnsi="Times New Roman"/>
                <w:sz w:val="16"/>
              </w:rPr>
              <w:t>Feng 2026; A</w:t>
            </w:r>
          </w:p>
        </w:tc>
        <w:tc>
          <w:tcPr>
            <w:tcW w:type="dxa" w:w="2493"/>
            <w:vAlign w:val="center"/>
          </w:tcPr>
          <w:p>
            <w:r>
              <w:rPr>
                <w:rFonts w:ascii="Times New Roman" w:hAnsi="Times New Roman"/>
                <w:sz w:val="16"/>
              </w:rPr>
              <w:t>Multimodel FITT-VP output evaluation in 30 simulated cases</w:t>
            </w:r>
          </w:p>
        </w:tc>
        <w:tc>
          <w:tcPr>
            <w:tcW w:type="dxa" w:w="2493"/>
            <w:vAlign w:val="center"/>
          </w:tcPr>
          <w:p>
            <w:r>
              <w:rPr>
                <w:rFonts w:ascii="Times New Roman" w:hAnsi="Times New Roman"/>
                <w:sz w:val="16"/>
              </w:rPr>
              <w:t>GPT-4o, Claude 3.7, DeepSeek R1, Grok-3; 30 synthetic cases</w:t>
            </w:r>
          </w:p>
        </w:tc>
      </w:tr>
      <w:tr>
        <w:trPr>
          <w:cantSplit/>
        </w:trPr>
        <w:tc>
          <w:tcPr>
            <w:tcW w:type="dxa" w:w="2493"/>
            <w:vAlign w:val="center"/>
          </w:tcPr>
          <w:p>
            <w:r>
              <w:rPr>
                <w:rFonts w:ascii="Times New Roman" w:hAnsi="Times New Roman"/>
                <w:sz w:val="16"/>
              </w:rPr>
              <w:t>W08</w:t>
            </w:r>
          </w:p>
        </w:tc>
        <w:tc>
          <w:tcPr>
            <w:tcW w:type="dxa" w:w="2493"/>
            <w:vAlign w:val="center"/>
          </w:tcPr>
          <w:p>
            <w:r>
              <w:rPr>
                <w:rFonts w:ascii="Times New Roman" w:hAnsi="Times New Roman"/>
                <w:sz w:val="16"/>
              </w:rPr>
              <w:t>Perrero 2026; A</w:t>
            </w:r>
          </w:p>
        </w:tc>
        <w:tc>
          <w:tcPr>
            <w:tcW w:type="dxa" w:w="2493"/>
            <w:vAlign w:val="center"/>
          </w:tcPr>
          <w:p>
            <w:r>
              <w:rPr>
                <w:rFonts w:ascii="Times New Roman" w:hAnsi="Times New Roman"/>
                <w:sz w:val="16"/>
              </w:rPr>
              <w:t>Output evaluation in five simulated cardiac rehabilitation cases</w:t>
            </w:r>
          </w:p>
        </w:tc>
        <w:tc>
          <w:tcPr>
            <w:tcW w:type="dxa" w:w="2493"/>
            <w:vAlign w:val="center"/>
          </w:tcPr>
          <w:p>
            <w:r>
              <w:rPr>
                <w:rFonts w:ascii="Times New Roman" w:hAnsi="Times New Roman"/>
                <w:sz w:val="16"/>
              </w:rPr>
              <w:t>DeepSeek-V3; five cardiac rehabilitation cases</w:t>
            </w:r>
          </w:p>
        </w:tc>
      </w:tr>
      <w:tr>
        <w:trPr>
          <w:cantSplit/>
        </w:trPr>
        <w:tc>
          <w:tcPr>
            <w:tcW w:type="dxa" w:w="2493"/>
            <w:vAlign w:val="center"/>
          </w:tcPr>
          <w:p>
            <w:r>
              <w:rPr>
                <w:rFonts w:ascii="Times New Roman" w:hAnsi="Times New Roman"/>
                <w:sz w:val="16"/>
              </w:rPr>
              <w:t>W09</w:t>
            </w:r>
          </w:p>
        </w:tc>
        <w:tc>
          <w:tcPr>
            <w:tcW w:type="dxa" w:w="2493"/>
            <w:vAlign w:val="center"/>
          </w:tcPr>
          <w:p>
            <w:r>
              <w:rPr>
                <w:rFonts w:ascii="Times New Roman" w:hAnsi="Times New Roman"/>
                <w:sz w:val="16"/>
              </w:rPr>
              <w:t>Genç 2026; A</w:t>
            </w:r>
          </w:p>
        </w:tc>
        <w:tc>
          <w:tcPr>
            <w:tcW w:type="dxa" w:w="2493"/>
            <w:vAlign w:val="center"/>
          </w:tcPr>
          <w:p>
            <w:r>
              <w:rPr>
                <w:rFonts w:ascii="Times New Roman" w:hAnsi="Times New Roman"/>
                <w:sz w:val="16"/>
              </w:rPr>
              <w:t>Mixed-method expert evaluation of simulated resistance-training plans</w:t>
            </w:r>
          </w:p>
        </w:tc>
        <w:tc>
          <w:tcPr>
            <w:tcW w:type="dxa" w:w="2493"/>
            <w:vAlign w:val="center"/>
          </w:tcPr>
          <w:p>
            <w:r>
              <w:rPr>
                <w:rFonts w:ascii="Times New Roman" w:hAnsi="Times New Roman"/>
                <w:sz w:val="16"/>
              </w:rPr>
              <w:t>ChatGPT-3.5, 4o, 4.1; fictional healthy young men</w:t>
            </w:r>
          </w:p>
        </w:tc>
      </w:tr>
      <w:tr>
        <w:trPr>
          <w:cantSplit/>
        </w:trPr>
        <w:tc>
          <w:tcPr>
            <w:tcW w:type="dxa" w:w="2493"/>
            <w:vAlign w:val="center"/>
          </w:tcPr>
          <w:p>
            <w:r>
              <w:rPr>
                <w:rFonts w:ascii="Times New Roman" w:hAnsi="Times New Roman"/>
                <w:sz w:val="16"/>
              </w:rPr>
              <w:t>W10</w:t>
            </w:r>
          </w:p>
        </w:tc>
        <w:tc>
          <w:tcPr>
            <w:tcW w:type="dxa" w:w="2493"/>
            <w:vAlign w:val="center"/>
          </w:tcPr>
          <w:p>
            <w:r>
              <w:rPr>
                <w:rFonts w:ascii="Times New Roman" w:hAnsi="Times New Roman"/>
                <w:sz w:val="16"/>
              </w:rPr>
              <w:t>Akrimi 2025; A</w:t>
            </w:r>
          </w:p>
        </w:tc>
        <w:tc>
          <w:tcPr>
            <w:tcW w:type="dxa" w:w="2493"/>
            <w:vAlign w:val="center"/>
          </w:tcPr>
          <w:p>
            <w:r>
              <w:rPr>
                <w:rFonts w:ascii="Times New Roman" w:hAnsi="Times New Roman"/>
                <w:sz w:val="16"/>
              </w:rPr>
              <w:t>Expert evaluation of nine plans for three fictional type 2 diabetes cases</w:t>
            </w:r>
          </w:p>
        </w:tc>
        <w:tc>
          <w:tcPr>
            <w:tcW w:type="dxa" w:w="2493"/>
            <w:vAlign w:val="center"/>
          </w:tcPr>
          <w:p>
            <w:r>
              <w:rPr>
                <w:rFonts w:ascii="Times New Roman" w:hAnsi="Times New Roman"/>
                <w:sz w:val="16"/>
              </w:rPr>
              <w:t>ChatGPT-4o; three type 2 diabetes cases</w:t>
            </w:r>
          </w:p>
        </w:tc>
      </w:tr>
      <w:tr>
        <w:trPr>
          <w:cantSplit/>
        </w:trPr>
        <w:tc>
          <w:tcPr>
            <w:tcW w:type="dxa" w:w="2493"/>
            <w:vAlign w:val="center"/>
          </w:tcPr>
          <w:p>
            <w:r>
              <w:rPr>
                <w:rFonts w:ascii="Times New Roman" w:hAnsi="Times New Roman"/>
                <w:sz w:val="16"/>
              </w:rPr>
              <w:t>W11</w:t>
            </w:r>
          </w:p>
        </w:tc>
        <w:tc>
          <w:tcPr>
            <w:tcW w:type="dxa" w:w="2493"/>
            <w:vAlign w:val="center"/>
          </w:tcPr>
          <w:p>
            <w:r>
              <w:rPr>
                <w:rFonts w:ascii="Times New Roman" w:hAnsi="Times New Roman"/>
                <w:sz w:val="16"/>
              </w:rPr>
              <w:t>Xu 2024; B</w:t>
            </w:r>
          </w:p>
        </w:tc>
        <w:tc>
          <w:tcPr>
            <w:tcW w:type="dxa" w:w="2493"/>
            <w:vAlign w:val="center"/>
          </w:tcPr>
          <w:p>
            <w:r>
              <w:rPr>
                <w:rFonts w:ascii="Times New Roman" w:hAnsi="Times New Roman"/>
                <w:sz w:val="16"/>
              </w:rPr>
              <w:t>Comparison of prescriptions from two systems using real patient data</w:t>
            </w:r>
          </w:p>
        </w:tc>
        <w:tc>
          <w:tcPr>
            <w:tcW w:type="dxa" w:w="2493"/>
            <w:vAlign w:val="center"/>
          </w:tcPr>
          <w:p>
            <w:r>
              <w:rPr>
                <w:rFonts w:ascii="Times New Roman" w:hAnsi="Times New Roman"/>
                <w:sz w:val="16"/>
              </w:rPr>
              <w:t>ChatGPT-4.0, IHPS; 10 patients with hypertension and comorbidities</w:t>
            </w:r>
          </w:p>
        </w:tc>
      </w:tr>
      <w:tr>
        <w:trPr>
          <w:cantSplit/>
        </w:trPr>
        <w:tc>
          <w:tcPr>
            <w:tcW w:type="dxa" w:w="2493"/>
            <w:vAlign w:val="center"/>
          </w:tcPr>
          <w:p>
            <w:r>
              <w:rPr>
                <w:rFonts w:ascii="Times New Roman" w:hAnsi="Times New Roman"/>
                <w:sz w:val="16"/>
              </w:rPr>
              <w:t>W12</w:t>
            </w:r>
          </w:p>
        </w:tc>
        <w:tc>
          <w:tcPr>
            <w:tcW w:type="dxa" w:w="2493"/>
            <w:vAlign w:val="center"/>
          </w:tcPr>
          <w:p>
            <w:r>
              <w:rPr>
                <w:rFonts w:ascii="Times New Roman" w:hAnsi="Times New Roman"/>
                <w:sz w:val="16"/>
              </w:rPr>
              <w:t>Wachholz 2025; A</w:t>
            </w:r>
          </w:p>
        </w:tc>
        <w:tc>
          <w:tcPr>
            <w:tcW w:type="dxa" w:w="2493"/>
            <w:vAlign w:val="center"/>
          </w:tcPr>
          <w:p>
            <w:r>
              <w:rPr>
                <w:rFonts w:ascii="Times New Roman" w:hAnsi="Times New Roman"/>
                <w:sz w:val="16"/>
              </w:rPr>
              <w:t>Qualitative expert assessment of one AI running plan and user survey</w:t>
            </w:r>
          </w:p>
        </w:tc>
        <w:tc>
          <w:tcPr>
            <w:tcW w:type="dxa" w:w="2493"/>
            <w:vAlign w:val="center"/>
          </w:tcPr>
          <w:p>
            <w:r>
              <w:rPr>
                <w:rFonts w:ascii="Times New Roman" w:hAnsi="Times New Roman"/>
                <w:sz w:val="16"/>
              </w:rPr>
              <w:t>ChatGPT-3.5; novice half-marathon runner scenario; 119 survey respondents</w:t>
            </w:r>
          </w:p>
        </w:tc>
      </w:tr>
      <w:tr>
        <w:trPr>
          <w:cantSplit/>
        </w:trPr>
        <w:tc>
          <w:tcPr>
            <w:tcW w:type="dxa" w:w="2493"/>
            <w:vAlign w:val="center"/>
          </w:tcPr>
          <w:p>
            <w:r>
              <w:rPr>
                <w:rFonts w:ascii="Times New Roman" w:hAnsi="Times New Roman"/>
                <w:sz w:val="16"/>
              </w:rPr>
              <w:t>W13</w:t>
            </w:r>
          </w:p>
        </w:tc>
        <w:tc>
          <w:tcPr>
            <w:tcW w:type="dxa" w:w="2493"/>
            <w:vAlign w:val="center"/>
          </w:tcPr>
          <w:p>
            <w:r>
              <w:rPr>
                <w:rFonts w:ascii="Times New Roman" w:hAnsi="Times New Roman"/>
                <w:sz w:val="16"/>
              </w:rPr>
              <w:t>Lee 2026; A</w:t>
            </w:r>
          </w:p>
        </w:tc>
        <w:tc>
          <w:tcPr>
            <w:tcW w:type="dxa" w:w="2493"/>
            <w:vAlign w:val="center"/>
          </w:tcPr>
          <w:p>
            <w:r>
              <w:rPr>
                <w:rFonts w:ascii="Times New Roman" w:hAnsi="Times New Roman"/>
                <w:sz w:val="16"/>
              </w:rPr>
              <w:t>Repeated-generation study: 3 LLMs × 6 clinical scenarios × 20 generations per scenario (360 outputs)</w:t>
            </w:r>
          </w:p>
        </w:tc>
        <w:tc>
          <w:tcPr>
            <w:tcW w:type="dxa" w:w="2493"/>
            <w:vAlign w:val="center"/>
          </w:tcPr>
          <w:p>
            <w:r>
              <w:rPr>
                <w:rFonts w:ascii="Times New Roman" w:hAnsi="Times New Roman"/>
                <w:sz w:val="16"/>
              </w:rPr>
              <w:t>GPT-4.1, Claude Sonnet 4.6, Gemini 2.5 Flash; six clinical/health scenarios</w:t>
            </w:r>
          </w:p>
        </w:tc>
      </w:tr>
      <w:tr>
        <w:trPr>
          <w:cantSplit/>
        </w:trPr>
        <w:tc>
          <w:tcPr>
            <w:tcW w:type="dxa" w:w="2493"/>
            <w:vAlign w:val="center"/>
          </w:tcPr>
          <w:p>
            <w:r>
              <w:rPr>
                <w:rFonts w:ascii="Times New Roman" w:hAnsi="Times New Roman"/>
                <w:sz w:val="16"/>
              </w:rPr>
              <w:t>W14</w:t>
            </w:r>
          </w:p>
        </w:tc>
        <w:tc>
          <w:tcPr>
            <w:tcW w:type="dxa" w:w="2493"/>
            <w:vAlign w:val="center"/>
          </w:tcPr>
          <w:p>
            <w:r>
              <w:rPr>
                <w:rFonts w:ascii="Times New Roman" w:hAnsi="Times New Roman"/>
                <w:sz w:val="16"/>
              </w:rPr>
              <w:t>Sortino 2026; B</w:t>
            </w:r>
          </w:p>
        </w:tc>
        <w:tc>
          <w:tcPr>
            <w:tcW w:type="dxa" w:w="2493"/>
            <w:vAlign w:val="center"/>
          </w:tcPr>
          <w:p>
            <w:r>
              <w:rPr>
                <w:rFonts w:ascii="Times New Roman" w:hAnsi="Times New Roman"/>
                <w:sz w:val="16"/>
              </w:rPr>
              <w:t>Cross-sectional blinded expert evaluation based on five real orthopedic prescriptions</w:t>
            </w:r>
          </w:p>
        </w:tc>
        <w:tc>
          <w:tcPr>
            <w:tcW w:type="dxa" w:w="2493"/>
            <w:vAlign w:val="center"/>
          </w:tcPr>
          <w:p>
            <w:r>
              <w:rPr>
                <w:rFonts w:ascii="Times New Roman" w:hAnsi="Times New Roman"/>
                <w:sz w:val="16"/>
              </w:rPr>
              <w:t>AI alone, novice plus AI, experts; five real orthopedic prescriptions</w:t>
            </w:r>
          </w:p>
        </w:tc>
      </w:tr>
      <w:tr>
        <w:trPr>
          <w:cantSplit/>
        </w:trPr>
        <w:tc>
          <w:tcPr>
            <w:tcW w:type="dxa" w:w="2493"/>
            <w:vAlign w:val="center"/>
          </w:tcPr>
          <w:p>
            <w:r>
              <w:rPr>
                <w:rFonts w:ascii="Times New Roman" w:hAnsi="Times New Roman"/>
                <w:sz w:val="16"/>
              </w:rPr>
              <w:t>W15</w:t>
            </w:r>
          </w:p>
        </w:tc>
        <w:tc>
          <w:tcPr>
            <w:tcW w:type="dxa" w:w="2493"/>
            <w:vAlign w:val="center"/>
          </w:tcPr>
          <w:p>
            <w:r>
              <w:rPr>
                <w:rFonts w:ascii="Times New Roman" w:hAnsi="Times New Roman"/>
                <w:sz w:val="16"/>
              </w:rPr>
              <w:t>Choi 2026; A</w:t>
            </w:r>
          </w:p>
        </w:tc>
        <w:tc>
          <w:tcPr>
            <w:tcW w:type="dxa" w:w="2493"/>
            <w:vAlign w:val="center"/>
          </w:tcPr>
          <w:p>
            <w:r>
              <w:rPr>
                <w:rFonts w:ascii="Times New Roman" w:hAnsi="Times New Roman"/>
                <w:sz w:val="16"/>
              </w:rPr>
              <w:t>Structured expert assessment of complex high-risk simulated cases</w:t>
            </w:r>
          </w:p>
        </w:tc>
        <w:tc>
          <w:tcPr>
            <w:tcW w:type="dxa" w:w="2493"/>
            <w:vAlign w:val="center"/>
          </w:tcPr>
          <w:p>
            <w:r>
              <w:rPr>
                <w:rFonts w:ascii="Times New Roman" w:hAnsi="Times New Roman"/>
                <w:sz w:val="16"/>
              </w:rPr>
              <w:t>Gemini 2.5; three high-risk synthetic cases</w:t>
            </w:r>
          </w:p>
        </w:tc>
      </w:tr>
      <w:tr>
        <w:trPr>
          <w:cantSplit/>
        </w:trPr>
        <w:tc>
          <w:tcPr>
            <w:tcW w:type="dxa" w:w="2493"/>
            <w:vAlign w:val="center"/>
          </w:tcPr>
          <w:p>
            <w:r>
              <w:rPr>
                <w:rFonts w:ascii="Times New Roman" w:hAnsi="Times New Roman"/>
                <w:sz w:val="16"/>
              </w:rPr>
              <w:t>W16</w:t>
            </w:r>
          </w:p>
        </w:tc>
        <w:tc>
          <w:tcPr>
            <w:tcW w:type="dxa" w:w="2493"/>
            <w:vAlign w:val="center"/>
          </w:tcPr>
          <w:p>
            <w:r>
              <w:rPr>
                <w:rFonts w:ascii="Times New Roman" w:hAnsi="Times New Roman"/>
                <w:sz w:val="16"/>
              </w:rPr>
              <w:t>Cheng 2026; A</w:t>
            </w:r>
          </w:p>
        </w:tc>
        <w:tc>
          <w:tcPr>
            <w:tcW w:type="dxa" w:w="2493"/>
            <w:vAlign w:val="center"/>
          </w:tcPr>
          <w:p>
            <w:r>
              <w:rPr>
                <w:rFonts w:ascii="Times New Roman" w:hAnsi="Times New Roman"/>
                <w:sz w:val="16"/>
              </w:rPr>
              <w:t>Blinded expert assessment of two models in five virtual axillary web syndrome cases</w:t>
            </w:r>
          </w:p>
        </w:tc>
        <w:tc>
          <w:tcPr>
            <w:tcW w:type="dxa" w:w="2493"/>
            <w:vAlign w:val="center"/>
          </w:tcPr>
          <w:p>
            <w:r>
              <w:rPr>
                <w:rFonts w:ascii="Times New Roman" w:hAnsi="Times New Roman"/>
                <w:sz w:val="16"/>
              </w:rPr>
              <w:t>ChatGPT, DeepSeek; five virtual axillary web syndrome cases</w:t>
            </w:r>
          </w:p>
        </w:tc>
      </w:tr>
      <w:tr>
        <w:trPr>
          <w:cantSplit/>
        </w:trPr>
        <w:tc>
          <w:tcPr>
            <w:tcW w:type="dxa" w:w="2493"/>
            <w:vAlign w:val="center"/>
          </w:tcPr>
          <w:p>
            <w:r>
              <w:rPr>
                <w:rFonts w:ascii="Times New Roman" w:hAnsi="Times New Roman"/>
                <w:sz w:val="16"/>
              </w:rPr>
              <w:t>W17</w:t>
            </w:r>
          </w:p>
        </w:tc>
        <w:tc>
          <w:tcPr>
            <w:tcW w:type="dxa" w:w="2493"/>
            <w:vAlign w:val="center"/>
          </w:tcPr>
          <w:p>
            <w:r>
              <w:rPr>
                <w:rFonts w:ascii="Times New Roman" w:hAnsi="Times New Roman"/>
                <w:sz w:val="16"/>
              </w:rPr>
              <w:t>Aydemir 2025; C</w:t>
            </w:r>
          </w:p>
        </w:tc>
        <w:tc>
          <w:tcPr>
            <w:tcW w:type="dxa" w:w="2493"/>
            <w:vAlign w:val="center"/>
          </w:tcPr>
          <w:p>
            <w:r>
              <w:rPr>
                <w:rFonts w:ascii="Times New Roman" w:hAnsi="Times New Roman"/>
                <w:sz w:val="16"/>
              </w:rPr>
              <w:t>Controlled pre–post feasibility study with human implementation</w:t>
            </w:r>
          </w:p>
        </w:tc>
        <w:tc>
          <w:tcPr>
            <w:tcW w:type="dxa" w:w="2493"/>
            <w:vAlign w:val="center"/>
          </w:tcPr>
          <w:p>
            <w:r>
              <w:rPr>
                <w:rFonts w:ascii="Times New Roman" w:hAnsi="Times New Roman"/>
                <w:sz w:val="16"/>
              </w:rPr>
              <w:t>ChatGPT; 26 families of children with ASD</w:t>
            </w:r>
          </w:p>
        </w:tc>
      </w:tr>
      <w:tr>
        <w:trPr>
          <w:cantSplit/>
        </w:trPr>
        <w:tc>
          <w:tcPr>
            <w:tcW w:type="dxa" w:w="2493"/>
            <w:vAlign w:val="center"/>
          </w:tcPr>
          <w:p>
            <w:r>
              <w:rPr>
                <w:rFonts w:ascii="Times New Roman" w:hAnsi="Times New Roman"/>
                <w:sz w:val="16"/>
              </w:rPr>
              <w:t>W18</w:t>
            </w:r>
          </w:p>
        </w:tc>
        <w:tc>
          <w:tcPr>
            <w:tcW w:type="dxa" w:w="2493"/>
            <w:vAlign w:val="center"/>
          </w:tcPr>
          <w:p>
            <w:r>
              <w:rPr>
                <w:rFonts w:ascii="Times New Roman" w:hAnsi="Times New Roman"/>
                <w:sz w:val="16"/>
              </w:rPr>
              <w:t>Yang 2026; A</w:t>
            </w:r>
          </w:p>
        </w:tc>
        <w:tc>
          <w:tcPr>
            <w:tcW w:type="dxa" w:w="2493"/>
            <w:vAlign w:val="center"/>
          </w:tcPr>
          <w:p>
            <w:r>
              <w:rPr>
                <w:rFonts w:ascii="Times New Roman" w:hAnsi="Times New Roman"/>
                <w:sz w:val="16"/>
              </w:rPr>
              <w:t>Crossover repeated-generation design with blinded expert assessment</w:t>
            </w:r>
          </w:p>
        </w:tc>
        <w:tc>
          <w:tcPr>
            <w:tcW w:type="dxa" w:w="2493"/>
            <w:vAlign w:val="center"/>
          </w:tcPr>
          <w:p>
            <w:r>
              <w:rPr>
                <w:rFonts w:ascii="Times New Roman" w:hAnsi="Times New Roman"/>
                <w:sz w:val="16"/>
              </w:rPr>
              <w:t>GPT-4; healthy training scenario</w:t>
            </w:r>
          </w:p>
        </w:tc>
      </w:tr>
    </w:tbl>
    <w:p>
      <w:pPr>
        <w:pStyle w:val="Heading2"/>
        <w:keepNext/>
      </w:pPr>
      <w:r>
        <w:rPr>
          <w:rFonts w:ascii="Times New Roman" w:hAnsi="Times New Roman"/>
          <w:sz w:val="22"/>
        </w:rPr>
        <w:t>Table 1 (continued). Characteristics of the author-designated study set (Part B).</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val="true"/>
        </w:trPr>
        <w:tc>
          <w:tcPr>
            <w:tcW w:type="dxa" w:w="2493"/>
            <w:vAlign w:val="center"/>
          </w:tcPr>
          <w:p>
            <w:r>
              <w:rPr>
                <w:rFonts w:ascii="Times New Roman" w:hAnsi="Times New Roman"/>
                <w:sz w:val="16"/>
              </w:rPr>
              <w:t>Study ID</w:t>
            </w:r>
          </w:p>
        </w:tc>
        <w:tc>
          <w:tcPr>
            <w:tcW w:type="dxa" w:w="2493"/>
            <w:vAlign w:val="center"/>
          </w:tcPr>
          <w:p>
            <w:r>
              <w:rPr>
                <w:rFonts w:ascii="Times New Roman" w:hAnsi="Times New Roman"/>
                <w:sz w:val="16"/>
              </w:rPr>
              <w:t>Author/year; class</w:t>
            </w:r>
          </w:p>
        </w:tc>
        <w:tc>
          <w:tcPr>
            <w:tcW w:type="dxa" w:w="2493"/>
            <w:vAlign w:val="center"/>
          </w:tcPr>
          <w:p>
            <w:r>
              <w:rPr>
                <w:rFonts w:ascii="Times New Roman" w:hAnsi="Times New Roman"/>
                <w:sz w:val="16"/>
              </w:rPr>
              <w:t>Study design and evaluation</w:t>
            </w:r>
          </w:p>
        </w:tc>
        <w:tc>
          <w:tcPr>
            <w:tcW w:type="dxa" w:w="2493"/>
            <w:vAlign w:val="center"/>
          </w:tcPr>
          <w:p>
            <w:r>
              <w:rPr>
                <w:rFonts w:ascii="Times New Roman" w:hAnsi="Times New Roman"/>
                <w:sz w:val="16"/>
              </w:rPr>
              <w:t>Population/source and LLM</w:t>
            </w:r>
          </w:p>
        </w:tc>
      </w:tr>
      <w:tr>
        <w:trPr>
          <w:cantSplit/>
        </w:trPr>
        <w:tc>
          <w:tcPr>
            <w:tcW w:type="dxa" w:w="2493"/>
            <w:vAlign w:val="center"/>
          </w:tcPr>
          <w:p>
            <w:r>
              <w:rPr>
                <w:rFonts w:ascii="Times New Roman" w:hAnsi="Times New Roman"/>
                <w:sz w:val="16"/>
              </w:rPr>
              <w:t>W20</w:t>
            </w:r>
          </w:p>
        </w:tc>
        <w:tc>
          <w:tcPr>
            <w:tcW w:type="dxa" w:w="2493"/>
            <w:vAlign w:val="center"/>
          </w:tcPr>
          <w:p>
            <w:r>
              <w:rPr>
                <w:rFonts w:ascii="Times New Roman" w:hAnsi="Times New Roman"/>
                <w:sz w:val="16"/>
              </w:rPr>
              <w:t>Cali 2026; A</w:t>
            </w:r>
          </w:p>
        </w:tc>
        <w:tc>
          <w:tcPr>
            <w:tcW w:type="dxa" w:w="2493"/>
            <w:vAlign w:val="center"/>
          </w:tcPr>
          <w:p>
            <w:r>
              <w:rPr>
                <w:rFonts w:ascii="Times New Roman" w:hAnsi="Times New Roman"/>
                <w:sz w:val="16"/>
              </w:rPr>
              <w:t>Mixed-method expert assessment in five simulated sports-injury cases</w:t>
            </w:r>
          </w:p>
        </w:tc>
        <w:tc>
          <w:tcPr>
            <w:tcW w:type="dxa" w:w="2493"/>
            <w:vAlign w:val="center"/>
          </w:tcPr>
          <w:p>
            <w:r>
              <w:rPr>
                <w:rFonts w:ascii="Times New Roman" w:hAnsi="Times New Roman"/>
                <w:sz w:val="16"/>
              </w:rPr>
              <w:t>ChatGPT-4.1; five sports-injury cases</w:t>
            </w:r>
          </w:p>
        </w:tc>
      </w:tr>
      <w:tr>
        <w:trPr>
          <w:cantSplit/>
        </w:trPr>
        <w:tc>
          <w:tcPr>
            <w:tcW w:type="dxa" w:w="2493"/>
            <w:vAlign w:val="center"/>
          </w:tcPr>
          <w:p>
            <w:r>
              <w:rPr>
                <w:rFonts w:ascii="Times New Roman" w:hAnsi="Times New Roman"/>
                <w:sz w:val="16"/>
              </w:rPr>
              <w:t>W21</w:t>
            </w:r>
          </w:p>
        </w:tc>
        <w:tc>
          <w:tcPr>
            <w:tcW w:type="dxa" w:w="2493"/>
            <w:vAlign w:val="center"/>
          </w:tcPr>
          <w:p>
            <w:r>
              <w:rPr>
                <w:rFonts w:ascii="Times New Roman" w:hAnsi="Times New Roman"/>
                <w:sz w:val="16"/>
              </w:rPr>
              <w:t>Zhao 2026; A</w:t>
            </w:r>
          </w:p>
        </w:tc>
        <w:tc>
          <w:tcPr>
            <w:tcW w:type="dxa" w:w="2493"/>
            <w:vAlign w:val="center"/>
          </w:tcPr>
          <w:p>
            <w:r>
              <w:rPr>
                <w:rFonts w:ascii="Times New Roman" w:hAnsi="Times New Roman"/>
                <w:sz w:val="16"/>
              </w:rPr>
              <w:t>Expert evaluation of repeated multimodel generation in a simulated swimming scenario</w:t>
            </w:r>
          </w:p>
        </w:tc>
        <w:tc>
          <w:tcPr>
            <w:tcW w:type="dxa" w:w="2493"/>
            <w:vAlign w:val="center"/>
          </w:tcPr>
          <w:p>
            <w:r>
              <w:rPr>
                <w:rFonts w:ascii="Times New Roman" w:hAnsi="Times New Roman"/>
                <w:sz w:val="16"/>
              </w:rPr>
              <w:t>ChatGPT, Gemini, DeepSeek, Doubao; one simulated 100-m freestyle swimmer</w:t>
            </w:r>
          </w:p>
        </w:tc>
      </w:tr>
      <w:tr>
        <w:trPr>
          <w:cantSplit/>
        </w:trPr>
        <w:tc>
          <w:tcPr>
            <w:tcW w:type="dxa" w:w="2493"/>
            <w:vAlign w:val="center"/>
          </w:tcPr>
          <w:p>
            <w:r>
              <w:rPr>
                <w:rFonts w:ascii="Times New Roman" w:hAnsi="Times New Roman"/>
                <w:sz w:val="16"/>
              </w:rPr>
              <w:t>W22</w:t>
            </w:r>
          </w:p>
        </w:tc>
        <w:tc>
          <w:tcPr>
            <w:tcW w:type="dxa" w:w="2493"/>
            <w:vAlign w:val="center"/>
          </w:tcPr>
          <w:p>
            <w:r>
              <w:rPr>
                <w:rFonts w:ascii="Times New Roman" w:hAnsi="Times New Roman"/>
                <w:sz w:val="16"/>
              </w:rPr>
              <w:t>Zaleski 2024; A</w:t>
            </w:r>
          </w:p>
        </w:tc>
        <w:tc>
          <w:tcPr>
            <w:tcW w:type="dxa" w:w="2493"/>
            <w:vAlign w:val="center"/>
          </w:tcPr>
          <w:p>
            <w:r>
              <w:rPr>
                <w:rFonts w:ascii="Times New Roman" w:hAnsi="Times New Roman"/>
                <w:sz w:val="16"/>
              </w:rPr>
              <w:t>Mixed-method coding of outputs for 26 standardized populations</w:t>
            </w:r>
          </w:p>
        </w:tc>
        <w:tc>
          <w:tcPr>
            <w:tcW w:type="dxa" w:w="2493"/>
            <w:vAlign w:val="center"/>
          </w:tcPr>
          <w:p>
            <w:r>
              <w:rPr>
                <w:rFonts w:ascii="Times New Roman" w:hAnsi="Times New Roman"/>
                <w:sz w:val="16"/>
              </w:rPr>
              <w:t>ChatGPT; 26 clinical populations/scenarios</w:t>
            </w:r>
          </w:p>
        </w:tc>
      </w:tr>
      <w:tr>
        <w:trPr>
          <w:cantSplit/>
        </w:trPr>
        <w:tc>
          <w:tcPr>
            <w:tcW w:type="dxa" w:w="2493"/>
            <w:vAlign w:val="center"/>
          </w:tcPr>
          <w:p>
            <w:r>
              <w:rPr>
                <w:rFonts w:ascii="Times New Roman" w:hAnsi="Times New Roman"/>
                <w:sz w:val="16"/>
              </w:rPr>
              <w:t>W23</w:t>
            </w:r>
          </w:p>
        </w:tc>
        <w:tc>
          <w:tcPr>
            <w:tcW w:type="dxa" w:w="2493"/>
            <w:vAlign w:val="center"/>
          </w:tcPr>
          <w:p>
            <w:r>
              <w:rPr>
                <w:rFonts w:ascii="Times New Roman" w:hAnsi="Times New Roman"/>
                <w:sz w:val="16"/>
              </w:rPr>
              <w:t>Li 2025; B</w:t>
            </w:r>
          </w:p>
        </w:tc>
        <w:tc>
          <w:tcPr>
            <w:tcW w:type="dxa" w:w="2493"/>
            <w:vAlign w:val="center"/>
          </w:tcPr>
          <w:p>
            <w:r>
              <w:rPr>
                <w:rFonts w:ascii="Times New Roman" w:hAnsi="Times New Roman"/>
                <w:sz w:val="16"/>
              </w:rPr>
              <w:t>Comparison of plans generated from one real individual’s data</w:t>
            </w:r>
          </w:p>
        </w:tc>
        <w:tc>
          <w:tcPr>
            <w:tcW w:type="dxa" w:w="2493"/>
            <w:vAlign w:val="center"/>
          </w:tcPr>
          <w:p>
            <w:r>
              <w:rPr>
                <w:rFonts w:ascii="Times New Roman" w:hAnsi="Times New Roman"/>
                <w:sz w:val="16"/>
              </w:rPr>
              <w:t>GPT-4; one real individual</w:t>
            </w:r>
          </w:p>
        </w:tc>
      </w:tr>
      <w:tr>
        <w:trPr>
          <w:cantSplit/>
        </w:trPr>
        <w:tc>
          <w:tcPr>
            <w:tcW w:type="dxa" w:w="2493"/>
            <w:vAlign w:val="center"/>
          </w:tcPr>
          <w:p>
            <w:r>
              <w:rPr>
                <w:rFonts w:ascii="Times New Roman" w:hAnsi="Times New Roman"/>
                <w:sz w:val="16"/>
              </w:rPr>
              <w:t>W24</w:t>
            </w:r>
          </w:p>
        </w:tc>
        <w:tc>
          <w:tcPr>
            <w:tcW w:type="dxa" w:w="2493"/>
            <w:vAlign w:val="center"/>
          </w:tcPr>
          <w:p>
            <w:r>
              <w:rPr>
                <w:rFonts w:ascii="Times New Roman" w:hAnsi="Times New Roman"/>
                <w:sz w:val="16"/>
              </w:rPr>
              <w:t>Gürses 2025; B</w:t>
            </w:r>
          </w:p>
        </w:tc>
        <w:tc>
          <w:tcPr>
            <w:tcW w:type="dxa" w:w="2493"/>
            <w:vAlign w:val="center"/>
          </w:tcPr>
          <w:p>
            <w:r>
              <w:rPr>
                <w:rFonts w:ascii="Times New Roman" w:hAnsi="Times New Roman"/>
                <w:sz w:val="16"/>
              </w:rPr>
              <w:t>Output evaluation using data from 40 real patients with knee osteoarthritis</w:t>
            </w:r>
          </w:p>
        </w:tc>
        <w:tc>
          <w:tcPr>
            <w:tcW w:type="dxa" w:w="2493"/>
            <w:vAlign w:val="center"/>
          </w:tcPr>
          <w:p>
            <w:r>
              <w:rPr>
                <w:rFonts w:ascii="Times New Roman" w:hAnsi="Times New Roman"/>
                <w:sz w:val="16"/>
              </w:rPr>
              <w:t>ChatGPT-4o, Gemini Advanced; 40 patients with knee osteoarthritis</w:t>
            </w:r>
          </w:p>
        </w:tc>
      </w:tr>
      <w:tr>
        <w:trPr>
          <w:cantSplit/>
        </w:trPr>
        <w:tc>
          <w:tcPr>
            <w:tcW w:type="dxa" w:w="2493"/>
            <w:vAlign w:val="center"/>
          </w:tcPr>
          <w:p>
            <w:r>
              <w:rPr>
                <w:rFonts w:ascii="Times New Roman" w:hAnsi="Times New Roman"/>
                <w:sz w:val="16"/>
              </w:rPr>
              <w:t>W25</w:t>
            </w:r>
          </w:p>
        </w:tc>
        <w:tc>
          <w:tcPr>
            <w:tcW w:type="dxa" w:w="2493"/>
            <w:vAlign w:val="center"/>
          </w:tcPr>
          <w:p>
            <w:r>
              <w:rPr>
                <w:rFonts w:ascii="Times New Roman" w:hAnsi="Times New Roman"/>
                <w:sz w:val="16"/>
              </w:rPr>
              <w:t>Onan 2025; A</w:t>
            </w:r>
          </w:p>
        </w:tc>
        <w:tc>
          <w:tcPr>
            <w:tcW w:type="dxa" w:w="2493"/>
            <w:vAlign w:val="center"/>
          </w:tcPr>
          <w:p>
            <w:r>
              <w:rPr>
                <w:rFonts w:ascii="Times New Roman" w:hAnsi="Times New Roman"/>
                <w:sz w:val="16"/>
              </w:rPr>
              <w:t>Program generation and expert evaluation in three clinical case scenarios</w:t>
            </w:r>
          </w:p>
        </w:tc>
        <w:tc>
          <w:tcPr>
            <w:tcW w:type="dxa" w:w="2493"/>
            <w:vAlign w:val="center"/>
          </w:tcPr>
          <w:p>
            <w:r>
              <w:rPr>
                <w:rFonts w:ascii="Times New Roman" w:hAnsi="Times New Roman"/>
                <w:sz w:val="16"/>
              </w:rPr>
              <w:t>ChatGPT-4.0; three clinical cases</w:t>
            </w:r>
          </w:p>
        </w:tc>
      </w:tr>
      <w:tr>
        <w:trPr>
          <w:cantSplit/>
        </w:trPr>
        <w:tc>
          <w:tcPr>
            <w:tcW w:type="dxa" w:w="2493"/>
            <w:vAlign w:val="center"/>
          </w:tcPr>
          <w:p>
            <w:r>
              <w:rPr>
                <w:rFonts w:ascii="Times New Roman" w:hAnsi="Times New Roman"/>
                <w:sz w:val="16"/>
              </w:rPr>
              <w:t>W26</w:t>
            </w:r>
          </w:p>
        </w:tc>
        <w:tc>
          <w:tcPr>
            <w:tcW w:type="dxa" w:w="2493"/>
            <w:vAlign w:val="center"/>
          </w:tcPr>
          <w:p>
            <w:r>
              <w:rPr>
                <w:rFonts w:ascii="Times New Roman" w:hAnsi="Times New Roman"/>
                <w:sz w:val="16"/>
              </w:rPr>
              <w:t>Philuek 2025; C</w:t>
            </w:r>
          </w:p>
        </w:tc>
        <w:tc>
          <w:tcPr>
            <w:tcW w:type="dxa" w:w="2493"/>
            <w:vAlign w:val="center"/>
          </w:tcPr>
          <w:p>
            <w:r>
              <w:rPr>
                <w:rFonts w:ascii="Times New Roman" w:hAnsi="Times New Roman"/>
                <w:sz w:val="16"/>
              </w:rPr>
              <w:t>Pilot controlled study with human implementation</w:t>
            </w:r>
          </w:p>
        </w:tc>
        <w:tc>
          <w:tcPr>
            <w:tcW w:type="dxa" w:w="2493"/>
            <w:vAlign w:val="center"/>
          </w:tcPr>
          <w:p>
            <w:r>
              <w:rPr>
                <w:rFonts w:ascii="Times New Roman" w:hAnsi="Times New Roman"/>
                <w:sz w:val="16"/>
              </w:rPr>
              <w:t>ChatGPT/GPT-4; healthy overweight young adults</w:t>
            </w:r>
          </w:p>
        </w:tc>
      </w:tr>
      <w:tr>
        <w:trPr>
          <w:cantSplit/>
        </w:trPr>
        <w:tc>
          <w:tcPr>
            <w:tcW w:type="dxa" w:w="2493"/>
            <w:vAlign w:val="center"/>
          </w:tcPr>
          <w:p>
            <w:r>
              <w:rPr>
                <w:rFonts w:ascii="Times New Roman" w:hAnsi="Times New Roman"/>
                <w:sz w:val="16"/>
              </w:rPr>
              <w:t>W27</w:t>
            </w:r>
          </w:p>
        </w:tc>
        <w:tc>
          <w:tcPr>
            <w:tcW w:type="dxa" w:w="2493"/>
            <w:vAlign w:val="center"/>
          </w:tcPr>
          <w:p>
            <w:r>
              <w:rPr>
                <w:rFonts w:ascii="Times New Roman" w:hAnsi="Times New Roman"/>
                <w:sz w:val="16"/>
              </w:rPr>
              <w:t>Genç 2025 (Digital coaches); C</w:t>
            </w:r>
          </w:p>
        </w:tc>
        <w:tc>
          <w:tcPr>
            <w:tcW w:type="dxa" w:w="2493"/>
            <w:vAlign w:val="center"/>
          </w:tcPr>
          <w:p>
            <w:r>
              <w:rPr>
                <w:rFonts w:ascii="Times New Roman" w:hAnsi="Times New Roman"/>
                <w:sz w:val="16"/>
              </w:rPr>
              <w:t>Controlled human implementation study</w:t>
            </w:r>
          </w:p>
        </w:tc>
        <w:tc>
          <w:tcPr>
            <w:tcW w:type="dxa" w:w="2493"/>
            <w:vAlign w:val="center"/>
          </w:tcPr>
          <w:p>
            <w:r>
              <w:rPr>
                <w:rFonts w:ascii="Times New Roman" w:hAnsi="Times New Roman"/>
                <w:sz w:val="16"/>
              </w:rPr>
              <w:t>GPT-4 (confirmed in DOI abstract); 20 men</w:t>
            </w:r>
          </w:p>
        </w:tc>
      </w:tr>
      <w:tr>
        <w:trPr>
          <w:cantSplit/>
        </w:trPr>
        <w:tc>
          <w:tcPr>
            <w:tcW w:type="dxa" w:w="2493"/>
            <w:vAlign w:val="center"/>
          </w:tcPr>
          <w:p>
            <w:r>
              <w:rPr>
                <w:rFonts w:ascii="Times New Roman" w:hAnsi="Times New Roman"/>
                <w:sz w:val="16"/>
              </w:rPr>
              <w:t>W28</w:t>
            </w:r>
          </w:p>
        </w:tc>
        <w:tc>
          <w:tcPr>
            <w:tcW w:type="dxa" w:w="2493"/>
            <w:vAlign w:val="center"/>
          </w:tcPr>
          <w:p>
            <w:r>
              <w:rPr>
                <w:rFonts w:ascii="Times New Roman" w:hAnsi="Times New Roman"/>
                <w:sz w:val="16"/>
              </w:rPr>
              <w:t>Enichen 2025; A</w:t>
            </w:r>
          </w:p>
        </w:tc>
        <w:tc>
          <w:tcPr>
            <w:tcW w:type="dxa" w:w="2493"/>
            <w:vAlign w:val="center"/>
          </w:tcPr>
          <w:p>
            <w:r>
              <w:rPr>
                <w:rFonts w:ascii="Times New Roman" w:hAnsi="Times New Roman"/>
                <w:sz w:val="16"/>
              </w:rPr>
              <w:t>Blinded comparison of AI and expert recommendations in 30 fictional cases</w:t>
            </w:r>
          </w:p>
        </w:tc>
        <w:tc>
          <w:tcPr>
            <w:tcW w:type="dxa" w:w="2493"/>
            <w:vAlign w:val="center"/>
          </w:tcPr>
          <w:p>
            <w:r>
              <w:rPr>
                <w:rFonts w:ascii="Times New Roman" w:hAnsi="Times New Roman"/>
                <w:sz w:val="16"/>
              </w:rPr>
              <w:t>GPT-3.5; 30 fictional patient cases</w:t>
            </w:r>
          </w:p>
        </w:tc>
      </w:tr>
      <w:tr>
        <w:trPr>
          <w:cantSplit/>
        </w:trPr>
        <w:tc>
          <w:tcPr>
            <w:tcW w:type="dxa" w:w="2493"/>
            <w:vAlign w:val="center"/>
          </w:tcPr>
          <w:p>
            <w:r>
              <w:rPr>
                <w:rFonts w:ascii="Times New Roman" w:hAnsi="Times New Roman"/>
                <w:sz w:val="16"/>
              </w:rPr>
              <w:t>W29</w:t>
            </w:r>
          </w:p>
        </w:tc>
        <w:tc>
          <w:tcPr>
            <w:tcW w:type="dxa" w:w="2493"/>
            <w:vAlign w:val="center"/>
          </w:tcPr>
          <w:p>
            <w:r>
              <w:rPr>
                <w:rFonts w:ascii="Times New Roman" w:hAnsi="Times New Roman"/>
                <w:sz w:val="16"/>
              </w:rPr>
              <w:t>PlanFitting 2025; B</w:t>
            </w:r>
          </w:p>
        </w:tc>
        <w:tc>
          <w:tcPr>
            <w:tcW w:type="dxa" w:w="2493"/>
            <w:vAlign w:val="center"/>
          </w:tcPr>
          <w:p>
            <w:r>
              <w:rPr>
                <w:rFonts w:ascii="Times New Roman" w:hAnsi="Times New Roman"/>
                <w:sz w:val="16"/>
              </w:rPr>
              <w:t>Evaluation of an interactive exercise-planning system with real-user interaction</w:t>
            </w:r>
          </w:p>
        </w:tc>
        <w:tc>
          <w:tcPr>
            <w:tcW w:type="dxa" w:w="2493"/>
            <w:vAlign w:val="center"/>
          </w:tcPr>
          <w:p>
            <w:r>
              <w:rPr>
                <w:rFonts w:ascii="Times New Roman" w:hAnsi="Times New Roman"/>
                <w:sz w:val="16"/>
              </w:rPr>
              <w:t>LLM conversational agent; user study of personalized exercise planning</w:t>
            </w:r>
          </w:p>
        </w:tc>
      </w:tr>
      <w:tr>
        <w:trPr>
          <w:cantSplit/>
        </w:trPr>
        <w:tc>
          <w:tcPr>
            <w:tcW w:type="dxa" w:w="2493"/>
            <w:vAlign w:val="center"/>
          </w:tcPr>
          <w:p>
            <w:r>
              <w:rPr>
                <w:rFonts w:ascii="Times New Roman" w:hAnsi="Times New Roman"/>
                <w:sz w:val="16"/>
              </w:rPr>
              <w:t>W30</w:t>
            </w:r>
          </w:p>
        </w:tc>
        <w:tc>
          <w:tcPr>
            <w:tcW w:type="dxa" w:w="2493"/>
            <w:vAlign w:val="center"/>
          </w:tcPr>
          <w:p>
            <w:r>
              <w:rPr>
                <w:rFonts w:ascii="Times New Roman" w:hAnsi="Times New Roman"/>
                <w:sz w:val="16"/>
              </w:rPr>
              <w:t>Yang 2026 (soccer); A</w:t>
            </w:r>
          </w:p>
        </w:tc>
        <w:tc>
          <w:tcPr>
            <w:tcW w:type="dxa" w:w="2493"/>
            <w:vAlign w:val="center"/>
          </w:tcPr>
          <w:p>
            <w:r>
              <w:rPr>
                <w:rFonts w:ascii="Times New Roman" w:hAnsi="Times New Roman"/>
                <w:sz w:val="16"/>
              </w:rPr>
              <w:t>Expert comparison of soccer training plans generated by six models</w:t>
            </w:r>
          </w:p>
        </w:tc>
        <w:tc>
          <w:tcPr>
            <w:tcW w:type="dxa" w:w="2493"/>
            <w:vAlign w:val="center"/>
          </w:tcPr>
          <w:p>
            <w:r>
              <w:rPr>
                <w:rFonts w:ascii="Times New Roman" w:hAnsi="Times New Roman"/>
                <w:sz w:val="16"/>
              </w:rPr>
              <w:t>Six generative AI systems; soccer-training scenarios</w:t>
            </w:r>
          </w:p>
        </w:tc>
      </w:tr>
      <w:tr>
        <w:trPr>
          <w:cantSplit/>
        </w:trPr>
        <w:tc>
          <w:tcPr>
            <w:tcW w:type="dxa" w:w="2493"/>
            <w:vAlign w:val="center"/>
          </w:tcPr>
          <w:p>
            <w:r>
              <w:rPr>
                <w:rFonts w:ascii="Times New Roman" w:hAnsi="Times New Roman"/>
                <w:sz w:val="16"/>
              </w:rPr>
              <w:t>W31</w:t>
            </w:r>
          </w:p>
        </w:tc>
        <w:tc>
          <w:tcPr>
            <w:tcW w:type="dxa" w:w="2493"/>
            <w:vAlign w:val="center"/>
          </w:tcPr>
          <w:p>
            <w:r>
              <w:rPr>
                <w:rFonts w:ascii="Times New Roman" w:hAnsi="Times New Roman"/>
                <w:sz w:val="16"/>
              </w:rPr>
              <w:t>Schütze 2026; A</w:t>
            </w:r>
          </w:p>
        </w:tc>
        <w:tc>
          <w:tcPr>
            <w:tcW w:type="dxa" w:w="2493"/>
            <w:vAlign w:val="center"/>
          </w:tcPr>
          <w:p>
            <w:r>
              <w:rPr>
                <w:rFonts w:ascii="Times New Roman" w:hAnsi="Times New Roman"/>
                <w:sz w:val="16"/>
              </w:rPr>
              <w:t>Expert evaluation of six standardized inclusion body myositis questions</w:t>
            </w:r>
          </w:p>
        </w:tc>
        <w:tc>
          <w:tcPr>
            <w:tcW w:type="dxa" w:w="2493"/>
            <w:vAlign w:val="center"/>
          </w:tcPr>
          <w:p>
            <w:r>
              <w:rPr>
                <w:rFonts w:ascii="Times New Roman" w:hAnsi="Times New Roman"/>
                <w:sz w:val="16"/>
              </w:rPr>
              <w:t>ChatGPT; exercise scenarios for people with inclusion body myositis</w:t>
            </w:r>
          </w:p>
        </w:tc>
      </w:tr>
      <w:tr>
        <w:trPr>
          <w:cantSplit/>
        </w:trPr>
        <w:tc>
          <w:tcPr>
            <w:tcW w:type="dxa" w:w="2493"/>
            <w:vAlign w:val="center"/>
          </w:tcPr>
          <w:p>
            <w:r>
              <w:rPr>
                <w:rFonts w:ascii="Times New Roman" w:hAnsi="Times New Roman"/>
                <w:sz w:val="16"/>
              </w:rPr>
              <w:t>W32</w:t>
            </w:r>
          </w:p>
        </w:tc>
        <w:tc>
          <w:tcPr>
            <w:tcW w:type="dxa" w:w="2493"/>
            <w:vAlign w:val="center"/>
          </w:tcPr>
          <w:p>
            <w:r>
              <w:rPr>
                <w:rFonts w:ascii="Times New Roman" w:hAnsi="Times New Roman"/>
                <w:sz w:val="16"/>
              </w:rPr>
              <w:t>Fu 2026; A</w:t>
            </w:r>
          </w:p>
        </w:tc>
        <w:tc>
          <w:tcPr>
            <w:tcW w:type="dxa" w:w="2493"/>
            <w:vAlign w:val="center"/>
          </w:tcPr>
          <w:p>
            <w:r>
              <w:rPr>
                <w:rFonts w:ascii="Times New Roman" w:hAnsi="Times New Roman"/>
                <w:sz w:val="16"/>
              </w:rPr>
              <w:t>Multimodel evaluation of rehabilitation program quality/readability across clinical scenarios</w:t>
            </w:r>
          </w:p>
        </w:tc>
        <w:tc>
          <w:tcPr>
            <w:tcW w:type="dxa" w:w="2493"/>
            <w:vAlign w:val="center"/>
          </w:tcPr>
          <w:p>
            <w:r>
              <w:rPr>
                <w:rFonts w:ascii="Times New Roman" w:hAnsi="Times New Roman"/>
                <w:sz w:val="16"/>
              </w:rPr>
              <w:t>Four LLMs; multiple musculoskeletal scenarios</w:t>
            </w:r>
          </w:p>
        </w:tc>
      </w:tr>
      <w:tr>
        <w:trPr>
          <w:cantSplit/>
        </w:trPr>
        <w:tc>
          <w:tcPr>
            <w:tcW w:type="dxa" w:w="2493"/>
            <w:vAlign w:val="center"/>
          </w:tcPr>
          <w:p>
            <w:r>
              <w:rPr>
                <w:rFonts w:ascii="Times New Roman" w:hAnsi="Times New Roman"/>
                <w:sz w:val="16"/>
              </w:rPr>
              <w:t>W33</w:t>
            </w:r>
          </w:p>
        </w:tc>
        <w:tc>
          <w:tcPr>
            <w:tcW w:type="dxa" w:w="2493"/>
            <w:vAlign w:val="center"/>
          </w:tcPr>
          <w:p>
            <w:r>
              <w:rPr>
                <w:rFonts w:ascii="Times New Roman" w:hAnsi="Times New Roman"/>
                <w:sz w:val="16"/>
              </w:rPr>
              <w:t>Hüzmeli &amp; Akkuş 2026; B</w:t>
            </w:r>
          </w:p>
        </w:tc>
        <w:tc>
          <w:tcPr>
            <w:tcW w:type="dxa" w:w="2493"/>
            <w:vAlign w:val="center"/>
          </w:tcPr>
          <w:p>
            <w:r>
              <w:rPr>
                <w:rFonts w:ascii="Times New Roman" w:hAnsi="Times New Roman"/>
                <w:sz w:val="16"/>
              </w:rPr>
              <w:t>Output comparison using data from 40 real stable-angina cases</w:t>
            </w:r>
          </w:p>
        </w:tc>
        <w:tc>
          <w:tcPr>
            <w:tcW w:type="dxa" w:w="2493"/>
            <w:vAlign w:val="center"/>
          </w:tcPr>
          <w:p>
            <w:r>
              <w:rPr>
                <w:rFonts w:ascii="Times New Roman" w:hAnsi="Times New Roman"/>
                <w:sz w:val="16"/>
              </w:rPr>
              <w:t>ChatGPT-5.2, Gemini Advanced; stable angina/CCS cases</w:t>
            </w:r>
          </w:p>
        </w:tc>
      </w:tr>
      <w:tr>
        <w:trPr>
          <w:cantSplit/>
        </w:trPr>
        <w:tc>
          <w:tcPr>
            <w:tcW w:type="dxa" w:w="2493"/>
            <w:vAlign w:val="center"/>
          </w:tcPr>
          <w:p>
            <w:r>
              <w:rPr>
                <w:rFonts w:ascii="Times New Roman" w:hAnsi="Times New Roman"/>
                <w:sz w:val="16"/>
              </w:rPr>
              <w:t>W34</w:t>
            </w:r>
          </w:p>
        </w:tc>
        <w:tc>
          <w:tcPr>
            <w:tcW w:type="dxa" w:w="2493"/>
            <w:vAlign w:val="center"/>
          </w:tcPr>
          <w:p>
            <w:r>
              <w:rPr>
                <w:rFonts w:ascii="Times New Roman" w:hAnsi="Times New Roman"/>
                <w:sz w:val="16"/>
              </w:rPr>
              <w:t>Montaruli 2026; A</w:t>
            </w:r>
          </w:p>
        </w:tc>
        <w:tc>
          <w:tcPr>
            <w:tcW w:type="dxa" w:w="2493"/>
            <w:vAlign w:val="center"/>
          </w:tcPr>
          <w:p>
            <w:r>
              <w:rPr>
                <w:rFonts w:ascii="Times New Roman" w:hAnsi="Times New Roman"/>
                <w:sz w:val="16"/>
              </w:rPr>
              <w:t>Descriptive comparison of original marathon plans from eight AI engines</w:t>
            </w:r>
          </w:p>
        </w:tc>
        <w:tc>
          <w:tcPr>
            <w:tcW w:type="dxa" w:w="2493"/>
            <w:vAlign w:val="center"/>
          </w:tcPr>
          <w:p>
            <w:r>
              <w:rPr>
                <w:rFonts w:ascii="Times New Roman" w:hAnsi="Times New Roman"/>
                <w:sz w:val="16"/>
              </w:rPr>
              <w:t>Multiple generative AI systems; beginner, intermediate, and advanced runners</w:t>
            </w:r>
          </w:p>
        </w:tc>
      </w:tr>
      <w:tr>
        <w:trPr>
          <w:cantSplit/>
        </w:trPr>
        <w:tc>
          <w:tcPr>
            <w:tcW w:type="dxa" w:w="2493"/>
            <w:vAlign w:val="center"/>
          </w:tcPr>
          <w:p>
            <w:r>
              <w:rPr>
                <w:rFonts w:ascii="Times New Roman" w:hAnsi="Times New Roman"/>
                <w:sz w:val="16"/>
              </w:rPr>
              <w:t>W35</w:t>
            </w:r>
          </w:p>
        </w:tc>
        <w:tc>
          <w:tcPr>
            <w:tcW w:type="dxa" w:w="2493"/>
            <w:vAlign w:val="center"/>
          </w:tcPr>
          <w:p>
            <w:r>
              <w:rPr>
                <w:rFonts w:ascii="Times New Roman" w:hAnsi="Times New Roman"/>
                <w:sz w:val="16"/>
              </w:rPr>
              <w:t>Bezruk 2026; A</w:t>
            </w:r>
          </w:p>
        </w:tc>
        <w:tc>
          <w:tcPr>
            <w:tcW w:type="dxa" w:w="2493"/>
            <w:vAlign w:val="center"/>
          </w:tcPr>
          <w:p>
            <w:r>
              <w:rPr>
                <w:rFonts w:ascii="Times New Roman" w:hAnsi="Times New Roman"/>
                <w:sz w:val="16"/>
              </w:rPr>
              <w:t>Multimodel, multilingual output evaluation in simulated CKD cases</w:t>
            </w:r>
          </w:p>
        </w:tc>
        <w:tc>
          <w:tcPr>
            <w:tcW w:type="dxa" w:w="2493"/>
            <w:vAlign w:val="center"/>
          </w:tcPr>
          <w:p>
            <w:r>
              <w:rPr>
                <w:rFonts w:ascii="Times New Roman" w:hAnsi="Times New Roman"/>
                <w:sz w:val="16"/>
              </w:rPr>
              <w:t>ChatGPT, Gemini, Copilot; CKD/hemodialysis rehabilitation scenarios</w:t>
            </w:r>
          </w:p>
        </w:tc>
      </w:tr>
      <w:tr>
        <w:trPr>
          <w:cantSplit/>
        </w:trPr>
        <w:tc>
          <w:tcPr>
            <w:tcW w:type="dxa" w:w="2493"/>
            <w:vAlign w:val="center"/>
          </w:tcPr>
          <w:p>
            <w:r>
              <w:rPr>
                <w:rFonts w:ascii="Times New Roman" w:hAnsi="Times New Roman"/>
                <w:sz w:val="16"/>
              </w:rPr>
              <w:t>W36</w:t>
            </w:r>
          </w:p>
        </w:tc>
        <w:tc>
          <w:tcPr>
            <w:tcW w:type="dxa" w:w="2493"/>
            <w:vAlign w:val="center"/>
          </w:tcPr>
          <w:p>
            <w:r>
              <w:rPr>
                <w:rFonts w:ascii="Times New Roman" w:hAnsi="Times New Roman"/>
                <w:sz w:val="16"/>
              </w:rPr>
              <w:t>PhysioAgent 2026; A</w:t>
            </w:r>
          </w:p>
        </w:tc>
        <w:tc>
          <w:tcPr>
            <w:tcW w:type="dxa" w:w="2493"/>
            <w:vAlign w:val="center"/>
          </w:tcPr>
          <w:p>
            <w:r>
              <w:rPr>
                <w:rFonts w:ascii="Times New Roman" w:hAnsi="Times New Roman"/>
                <w:sz w:val="16"/>
              </w:rPr>
              <w:t>Multi-agent system evaluation in 50 clinical scenarios and 200 simulated follow-up cycles</w:t>
            </w:r>
          </w:p>
        </w:tc>
        <w:tc>
          <w:tcPr>
            <w:tcW w:type="dxa" w:w="2493"/>
            <w:vAlign w:val="center"/>
          </w:tcPr>
          <w:p>
            <w:r>
              <w:rPr>
                <w:rFonts w:ascii="Times New Roman" w:hAnsi="Times New Roman"/>
                <w:sz w:val="16"/>
              </w:rPr>
              <w:t>Multi-agent LLM; 50 clinical scenarios and 200 simulated events</w:t>
            </w:r>
          </w:p>
        </w:tc>
      </w:tr>
    </w:tbl>
    <w:p>
      <w:pPr>
        <w:pStyle w:val="Heading2"/>
        <w:keepNext/>
      </w:pPr>
      <w:r>
        <w:rPr>
          <w:rFonts w:ascii="Times New Roman" w:hAnsi="Times New Roman"/>
          <w:sz w:val="22"/>
        </w:rPr>
        <w:t>Table 2. Prescription quality, safety-related evidence, and principal findings.</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val="true"/>
        </w:trPr>
        <w:tc>
          <w:tcPr>
            <w:tcW w:type="dxa" w:w="2493"/>
            <w:vAlign w:val="center"/>
          </w:tcPr>
          <w:p>
            <w:r>
              <w:rPr>
                <w:rFonts w:ascii="Times New Roman" w:hAnsi="Times New Roman"/>
                <w:sz w:val="16"/>
              </w:rPr>
              <w:t>Study ID</w:t>
            </w:r>
          </w:p>
        </w:tc>
        <w:tc>
          <w:tcPr>
            <w:tcW w:type="dxa" w:w="2493"/>
            <w:vAlign w:val="center"/>
          </w:tcPr>
          <w:p>
            <w:r>
              <w:rPr>
                <w:rFonts w:ascii="Times New Roman" w:hAnsi="Times New Roman"/>
                <w:sz w:val="16"/>
              </w:rPr>
              <w:t>Principal finding</w:t>
            </w:r>
          </w:p>
        </w:tc>
        <w:tc>
          <w:tcPr>
            <w:tcW w:type="dxa" w:w="2493"/>
            <w:vAlign w:val="center"/>
          </w:tcPr>
          <w:p>
            <w:r>
              <w:rPr>
                <w:rFonts w:ascii="Times New Roman" w:hAnsi="Times New Roman"/>
                <w:sz w:val="16"/>
              </w:rPr>
              <w:t>Safety evidence / denominator</w:t>
            </w:r>
          </w:p>
        </w:tc>
        <w:tc>
          <w:tcPr>
            <w:tcW w:type="dxa" w:w="2493"/>
            <w:vAlign w:val="center"/>
          </w:tcPr>
          <w:p>
            <w:r>
              <w:rPr>
                <w:rFonts w:ascii="Times New Roman" w:hAnsi="Times New Roman"/>
                <w:sz w:val="16"/>
              </w:rPr>
              <w:t>Evidence location</w:t>
            </w:r>
          </w:p>
        </w:tc>
      </w:tr>
      <w:tr>
        <w:trPr>
          <w:cantSplit/>
        </w:trPr>
        <w:tc>
          <w:tcPr>
            <w:tcW w:type="dxa" w:w="2493"/>
            <w:vAlign w:val="center"/>
          </w:tcPr>
          <w:p>
            <w:r>
              <w:rPr>
                <w:rFonts w:ascii="Times New Roman" w:hAnsi="Times New Roman"/>
                <w:sz w:val="16"/>
              </w:rPr>
              <w:t>W01</w:t>
            </w:r>
          </w:p>
        </w:tc>
        <w:tc>
          <w:tcPr>
            <w:tcW w:type="dxa" w:w="2493"/>
            <w:vAlign w:val="center"/>
          </w:tcPr>
          <w:p>
            <w:r>
              <w:rPr>
                <w:rFonts w:ascii="Times New Roman" w:hAnsi="Times New Roman"/>
                <w:sz w:val="16"/>
              </w:rPr>
              <w:t>Generally safe and conservative; disease specificity and goal precision were limited.</w:t>
            </w:r>
          </w:p>
        </w:tc>
        <w:tc>
          <w:tcPr>
            <w:tcW w:type="dxa" w:w="2493"/>
            <w:vAlign w:val="center"/>
          </w:tcPr>
          <w:p>
            <w:r>
              <w:rPr>
                <w:rFonts w:ascii="Times New Roman" w:hAnsi="Times New Roman"/>
                <w:sz w:val="16"/>
              </w:rPr>
              <w:t>Class A/B output-safety evidence only; Class C human adverse events NR.</w:t>
            </w:r>
          </w:p>
        </w:tc>
        <w:tc>
          <w:tcPr>
            <w:tcW w:type="dxa" w:w="2493"/>
            <w:vAlign w:val="center"/>
          </w:tcPr>
          <w:p>
            <w:r>
              <w:rPr>
                <w:rFonts w:ascii="Times New Roman" w:hAnsi="Times New Roman"/>
                <w:sz w:val="16"/>
              </w:rPr>
              <w:t>Methods pp. 2–3; Table 2 p. 5; pp. 8–12</w:t>
            </w:r>
          </w:p>
        </w:tc>
      </w:tr>
      <w:tr>
        <w:trPr>
          <w:cantSplit/>
        </w:trPr>
        <w:tc>
          <w:tcPr>
            <w:tcW w:type="dxa" w:w="2493"/>
            <w:vAlign w:val="center"/>
          </w:tcPr>
          <w:p>
            <w:r>
              <w:rPr>
                <w:rFonts w:ascii="Times New Roman" w:hAnsi="Times New Roman"/>
                <w:sz w:val="16"/>
              </w:rPr>
              <w:t>W02</w:t>
            </w:r>
          </w:p>
        </w:tc>
        <w:tc>
          <w:tcPr>
            <w:tcW w:type="dxa" w:w="2493"/>
            <w:vAlign w:val="center"/>
          </w:tcPr>
          <w:p>
            <w:r>
              <w:rPr>
                <w:rFonts w:ascii="Times New Roman" w:hAnsi="Times New Roman"/>
                <w:sz w:val="16"/>
              </w:rPr>
              <w:t>Overall performance was moderate; model differences were limited, and professional revision remained necessary.</w:t>
            </w:r>
          </w:p>
        </w:tc>
        <w:tc>
          <w:tcPr>
            <w:tcW w:type="dxa" w:w="2493"/>
            <w:vAlign w:val="center"/>
          </w:tcPr>
          <w:p>
            <w:r>
              <w:rPr>
                <w:rFonts w:ascii="Times New Roman" w:hAnsi="Times New Roman"/>
                <w:sz w:val="16"/>
              </w:rPr>
              <w:t>Output-safety evidence only; no human adverse-event inference.</w:t>
            </w:r>
          </w:p>
        </w:tc>
        <w:tc>
          <w:tcPr>
            <w:tcW w:type="dxa" w:w="2493"/>
            <w:vAlign w:val="center"/>
          </w:tcPr>
          <w:p>
            <w:r>
              <w:rPr>
                <w:rFonts w:ascii="Times New Roman" w:hAnsi="Times New Roman"/>
                <w:sz w:val="16"/>
              </w:rPr>
              <w:t>Methods/Tables 4–5, pp. 2–7; outputs, pp. 16–26</w:t>
            </w:r>
          </w:p>
        </w:tc>
      </w:tr>
      <w:tr>
        <w:trPr>
          <w:cantSplit/>
        </w:trPr>
        <w:tc>
          <w:tcPr>
            <w:tcW w:type="dxa" w:w="2493"/>
            <w:vAlign w:val="center"/>
          </w:tcPr>
          <w:p>
            <w:r>
              <w:rPr>
                <w:rFonts w:ascii="Times New Roman" w:hAnsi="Times New Roman"/>
                <w:sz w:val="16"/>
              </w:rPr>
              <w:t>W03</w:t>
            </w:r>
          </w:p>
        </w:tc>
        <w:tc>
          <w:tcPr>
            <w:tcW w:type="dxa" w:w="2493"/>
            <w:vAlign w:val="center"/>
          </w:tcPr>
          <w:p>
            <w:r>
              <w:rPr>
                <w:rFonts w:ascii="Times New Roman" w:hAnsi="Times New Roman"/>
                <w:sz w:val="16"/>
              </w:rPr>
              <w:t>Safety score: 4.8/5 for the knowledge-graph system vs 3.1/5 for the general LLM.</w:t>
            </w:r>
          </w:p>
        </w:tc>
        <w:tc>
          <w:tcPr>
            <w:tcW w:type="dxa" w:w="2493"/>
            <w:vAlign w:val="center"/>
          </w:tcPr>
          <w:p>
            <w:r>
              <w:rPr>
                <w:rFonts w:ascii="Times New Roman" w:hAnsi="Times New Roman"/>
                <w:sz w:val="16"/>
              </w:rPr>
              <w:t>Output-safety rating; not a human safety outcome.</w:t>
            </w:r>
          </w:p>
        </w:tc>
        <w:tc>
          <w:tcPr>
            <w:tcW w:type="dxa" w:w="2493"/>
            <w:vAlign w:val="center"/>
          </w:tcPr>
          <w:p>
            <w:r>
              <w:rPr>
                <w:rFonts w:ascii="Times New Roman" w:hAnsi="Times New Roman"/>
                <w:sz w:val="16"/>
              </w:rPr>
              <w:t>Schema p. 3; Methods/Results pp. 6–11</w:t>
            </w:r>
          </w:p>
        </w:tc>
      </w:tr>
      <w:tr>
        <w:trPr>
          <w:cantSplit/>
        </w:trPr>
        <w:tc>
          <w:tcPr>
            <w:tcW w:type="dxa" w:w="2493"/>
            <w:vAlign w:val="center"/>
          </w:tcPr>
          <w:p>
            <w:r>
              <w:rPr>
                <w:rFonts w:ascii="Times New Roman" w:hAnsi="Times New Roman"/>
                <w:sz w:val="16"/>
              </w:rPr>
              <w:t>W04</w:t>
            </w:r>
          </w:p>
        </w:tc>
        <w:tc>
          <w:tcPr>
            <w:tcW w:type="dxa" w:w="2493"/>
            <w:vAlign w:val="center"/>
          </w:tcPr>
          <w:p>
            <w:r>
              <w:rPr>
                <w:rFonts w:ascii="Times New Roman" w:hAnsi="Times New Roman"/>
                <w:sz w:val="16"/>
              </w:rPr>
              <w:t>Outputs could serve as drafts; sex-specific differences were insufficiently addressed and plans required refinement.</w:t>
            </w:r>
          </w:p>
        </w:tc>
        <w:tc>
          <w:tcPr>
            <w:tcW w:type="dxa" w:w="2493"/>
            <w:vAlign w:val="center"/>
          </w:tcPr>
          <w:p>
            <w:r>
              <w:rPr>
                <w:rFonts w:ascii="Times New Roman" w:hAnsi="Times New Roman"/>
                <w:sz w:val="16"/>
              </w:rPr>
              <w:t>Output-safety evidence only.</w:t>
            </w:r>
          </w:p>
        </w:tc>
        <w:tc>
          <w:tcPr>
            <w:tcW w:type="dxa" w:w="2493"/>
            <w:vAlign w:val="center"/>
          </w:tcPr>
          <w:p>
            <w:r>
              <w:rPr>
                <w:rFonts w:ascii="Times New Roman" w:hAnsi="Times New Roman"/>
                <w:sz w:val="16"/>
              </w:rPr>
              <w:t>Methods/Results pp. 2–5</w:t>
            </w:r>
          </w:p>
        </w:tc>
      </w:tr>
      <w:tr>
        <w:trPr>
          <w:cantSplit/>
        </w:trPr>
        <w:tc>
          <w:tcPr>
            <w:tcW w:type="dxa" w:w="2493"/>
            <w:vAlign w:val="center"/>
          </w:tcPr>
          <w:p>
            <w:r>
              <w:rPr>
                <w:rFonts w:ascii="Times New Roman" w:hAnsi="Times New Roman"/>
                <w:sz w:val="16"/>
              </w:rPr>
              <w:t>W05</w:t>
            </w:r>
          </w:p>
        </w:tc>
        <w:tc>
          <w:tcPr>
            <w:tcW w:type="dxa" w:w="2493"/>
            <w:vAlign w:val="center"/>
          </w:tcPr>
          <w:p>
            <w:r>
              <w:rPr>
                <w:rFonts w:ascii="Times New Roman" w:hAnsi="Times New Roman"/>
                <w:sz w:val="16"/>
              </w:rPr>
              <w:t>Twenty-seven of 28 comparisons were not statistically significant; more detailed prompts produced higher quality.</w:t>
            </w:r>
          </w:p>
        </w:tc>
        <w:tc>
          <w:tcPr>
            <w:tcW w:type="dxa" w:w="2493"/>
            <w:vAlign w:val="center"/>
          </w:tcPr>
          <w:p>
            <w:r>
              <w:rPr>
                <w:rFonts w:ascii="Times New Roman" w:hAnsi="Times New Roman"/>
                <w:sz w:val="16"/>
              </w:rPr>
              <w:t>Output evaluation; not a human adverse-event outcome.</w:t>
            </w:r>
          </w:p>
        </w:tc>
        <w:tc>
          <w:tcPr>
            <w:tcW w:type="dxa" w:w="2493"/>
            <w:vAlign w:val="center"/>
          </w:tcPr>
          <w:p>
            <w:r>
              <w:rPr>
                <w:rFonts w:ascii="Times New Roman" w:hAnsi="Times New Roman"/>
                <w:sz w:val="16"/>
              </w:rPr>
              <w:t>pp. 5–6; appendices pp. 16–33</w:t>
            </w:r>
          </w:p>
        </w:tc>
      </w:tr>
      <w:tr>
        <w:trPr>
          <w:cantSplit/>
        </w:trPr>
        <w:tc>
          <w:tcPr>
            <w:tcW w:type="dxa" w:w="2493"/>
            <w:vAlign w:val="center"/>
          </w:tcPr>
          <w:p>
            <w:r>
              <w:rPr>
                <w:rFonts w:ascii="Times New Roman" w:hAnsi="Times New Roman"/>
                <w:sz w:val="16"/>
              </w:rPr>
              <w:t>W06</w:t>
            </w:r>
          </w:p>
        </w:tc>
        <w:tc>
          <w:tcPr>
            <w:tcW w:type="dxa" w:w="2493"/>
            <w:vAlign w:val="center"/>
          </w:tcPr>
          <w:p>
            <w:r>
              <w:rPr>
                <w:rFonts w:ascii="Times New Roman" w:hAnsi="Times New Roman"/>
                <w:sz w:val="16"/>
              </w:rPr>
              <w:t>Scores below 3 were reported for 19, 11, and 1 indicators, respectively; ratings improved with additional input.</w:t>
            </w:r>
          </w:p>
        </w:tc>
        <w:tc>
          <w:tcPr>
            <w:tcW w:type="dxa" w:w="2493"/>
            <w:vAlign w:val="center"/>
          </w:tcPr>
          <w:p>
            <w:r>
              <w:rPr>
                <w:rFonts w:ascii="Times New Roman" w:hAnsi="Times New Roman"/>
                <w:sz w:val="16"/>
              </w:rPr>
              <w:t>Output-safety evidence only.</w:t>
            </w:r>
          </w:p>
        </w:tc>
        <w:tc>
          <w:tcPr>
            <w:tcW w:type="dxa" w:w="2493"/>
            <w:vAlign w:val="center"/>
          </w:tcPr>
          <w:p>
            <w:r>
              <w:rPr>
                <w:rFonts w:ascii="Times New Roman" w:hAnsi="Times New Roman"/>
                <w:sz w:val="16"/>
              </w:rPr>
              <w:t>Methods pp. 2–5; outputs pp. 9–17</w:t>
            </w:r>
          </w:p>
        </w:tc>
      </w:tr>
      <w:tr>
        <w:trPr>
          <w:cantSplit/>
        </w:trPr>
        <w:tc>
          <w:tcPr>
            <w:tcW w:type="dxa" w:w="2493"/>
            <w:vAlign w:val="center"/>
          </w:tcPr>
          <w:p>
            <w:r>
              <w:rPr>
                <w:rFonts w:ascii="Times New Roman" w:hAnsi="Times New Roman"/>
                <w:sz w:val="16"/>
              </w:rPr>
              <w:t>W07</w:t>
            </w:r>
          </w:p>
        </w:tc>
        <w:tc>
          <w:tcPr>
            <w:tcW w:type="dxa" w:w="2493"/>
            <w:vAlign w:val="center"/>
          </w:tcPr>
          <w:p>
            <w:r>
              <w:rPr>
                <w:rFonts w:ascii="Times New Roman" w:hAnsi="Times New Roman"/>
                <w:sz w:val="16"/>
              </w:rPr>
              <w:t>Total scores were 50.23, 47.42, 44.02, and 40.30/60, respectively.</w:t>
            </w:r>
          </w:p>
        </w:tc>
        <w:tc>
          <w:tcPr>
            <w:tcW w:type="dxa" w:w="2493"/>
            <w:vAlign w:val="center"/>
          </w:tcPr>
          <w:p>
            <w:r>
              <w:rPr>
                <w:rFonts w:ascii="Times New Roman" w:hAnsi="Times New Roman"/>
                <w:sz w:val="16"/>
              </w:rPr>
              <w:t>Output-safety evidence only.</w:t>
            </w:r>
          </w:p>
        </w:tc>
        <w:tc>
          <w:tcPr>
            <w:tcW w:type="dxa" w:w="2493"/>
            <w:vAlign w:val="center"/>
          </w:tcPr>
          <w:p>
            <w:r>
              <w:rPr>
                <w:rFonts w:ascii="Times New Roman" w:hAnsi="Times New Roman"/>
                <w:sz w:val="16"/>
              </w:rPr>
              <w:t>Methods/Tables 2–3, pp. 3–6</w:t>
            </w:r>
          </w:p>
        </w:tc>
      </w:tr>
      <w:tr>
        <w:trPr>
          <w:cantSplit/>
        </w:trPr>
        <w:tc>
          <w:tcPr>
            <w:tcW w:type="dxa" w:w="2493"/>
            <w:vAlign w:val="center"/>
          </w:tcPr>
          <w:p>
            <w:r>
              <w:rPr>
                <w:rFonts w:ascii="Times New Roman" w:hAnsi="Times New Roman"/>
                <w:sz w:val="16"/>
              </w:rPr>
              <w:t>W08</w:t>
            </w:r>
          </w:p>
        </w:tc>
        <w:tc>
          <w:tcPr>
            <w:tcW w:type="dxa" w:w="2493"/>
            <w:vAlign w:val="center"/>
          </w:tcPr>
          <w:p>
            <w:r>
              <w:rPr>
                <w:rFonts w:ascii="Times New Roman" w:hAnsi="Times New Roman"/>
                <w:sz w:val="16"/>
              </w:rPr>
              <w:t>Guideline adherence was 4.5/5 and safety was 5.0/5; no clearly unsafe prescription was identified.</w:t>
            </w:r>
          </w:p>
        </w:tc>
        <w:tc>
          <w:tcPr>
            <w:tcW w:type="dxa" w:w="2493"/>
            <w:vAlign w:val="center"/>
          </w:tcPr>
          <w:p>
            <w:r>
              <w:rPr>
                <w:rFonts w:ascii="Times New Roman" w:hAnsi="Times New Roman"/>
                <w:sz w:val="16"/>
              </w:rPr>
              <w:t>Expert-rated output safety; not human safety.</w:t>
            </w:r>
          </w:p>
        </w:tc>
        <w:tc>
          <w:tcPr>
            <w:tcW w:type="dxa" w:w="2493"/>
            <w:vAlign w:val="center"/>
          </w:tcPr>
          <w:p>
            <w:r>
              <w:rPr>
                <w:rFonts w:ascii="Times New Roman" w:hAnsi="Times New Roman"/>
                <w:sz w:val="16"/>
              </w:rPr>
              <w:t>Abstract p. 1; Methods/Results/Table 2, pp. 2–5</w:t>
            </w:r>
          </w:p>
        </w:tc>
      </w:tr>
      <w:tr>
        <w:trPr>
          <w:cantSplit/>
        </w:trPr>
        <w:tc>
          <w:tcPr>
            <w:tcW w:type="dxa" w:w="2493"/>
            <w:vAlign w:val="center"/>
          </w:tcPr>
          <w:p>
            <w:r>
              <w:rPr>
                <w:rFonts w:ascii="Times New Roman" w:hAnsi="Times New Roman"/>
                <w:sz w:val="16"/>
              </w:rPr>
              <w:t>W09</w:t>
            </w:r>
          </w:p>
        </w:tc>
        <w:tc>
          <w:tcPr>
            <w:tcW w:type="dxa" w:w="2493"/>
            <w:vAlign w:val="center"/>
          </w:tcPr>
          <w:p>
            <w:r>
              <w:rPr>
                <w:rFonts w:ascii="Times New Roman" w:hAnsi="Times New Roman"/>
                <w:sz w:val="16"/>
              </w:rPr>
              <w:t>Version 4.1 received higher ratings; risk recognition and individualization remained limited.</w:t>
            </w:r>
          </w:p>
        </w:tc>
        <w:tc>
          <w:tcPr>
            <w:tcW w:type="dxa" w:w="2493"/>
            <w:vAlign w:val="center"/>
          </w:tcPr>
          <w:p>
            <w:r>
              <w:rPr>
                <w:rFonts w:ascii="Times New Roman" w:hAnsi="Times New Roman"/>
                <w:sz w:val="16"/>
              </w:rPr>
              <w:t>Output-safety evidence only.</w:t>
            </w:r>
          </w:p>
        </w:tc>
        <w:tc>
          <w:tcPr>
            <w:tcW w:type="dxa" w:w="2493"/>
            <w:vAlign w:val="center"/>
          </w:tcPr>
          <w:p>
            <w:r>
              <w:rPr>
                <w:rFonts w:ascii="Times New Roman" w:hAnsi="Times New Roman"/>
                <w:sz w:val="16"/>
              </w:rPr>
              <w:t>Abstract pp. 1, 3–5; Methods/output; Results pp. 6–13</w:t>
            </w:r>
          </w:p>
        </w:tc>
      </w:tr>
      <w:tr>
        <w:trPr>
          <w:cantSplit/>
        </w:trPr>
        <w:tc>
          <w:tcPr>
            <w:tcW w:type="dxa" w:w="2493"/>
            <w:vAlign w:val="center"/>
          </w:tcPr>
          <w:p>
            <w:r>
              <w:rPr>
                <w:rFonts w:ascii="Times New Roman" w:hAnsi="Times New Roman"/>
                <w:sz w:val="16"/>
              </w:rPr>
              <w:t>W10</w:t>
            </w:r>
          </w:p>
        </w:tc>
        <w:tc>
          <w:tcPr>
            <w:tcW w:type="dxa" w:w="2493"/>
            <w:vAlign w:val="center"/>
          </w:tcPr>
          <w:p>
            <w:r>
              <w:rPr>
                <w:rFonts w:ascii="Times New Roman" w:hAnsi="Times New Roman"/>
                <w:sz w:val="16"/>
              </w:rPr>
              <w:t>Most plans had safety gaps, most notably in complex comorbidity scenarios.</w:t>
            </w:r>
          </w:p>
        </w:tc>
        <w:tc>
          <w:tcPr>
            <w:tcW w:type="dxa" w:w="2493"/>
            <w:vAlign w:val="center"/>
          </w:tcPr>
          <w:p>
            <w:r>
              <w:rPr>
                <w:rFonts w:ascii="Times New Roman" w:hAnsi="Times New Roman"/>
                <w:sz w:val="16"/>
              </w:rPr>
              <w:t>Expert assessment of generated plans; not human adverse events.</w:t>
            </w:r>
          </w:p>
        </w:tc>
        <w:tc>
          <w:tcPr>
            <w:tcW w:type="dxa" w:w="2493"/>
            <w:vAlign w:val="center"/>
          </w:tcPr>
          <w:p>
            <w:r>
              <w:rPr>
                <w:rFonts w:ascii="Times New Roman" w:hAnsi="Times New Roman"/>
                <w:sz w:val="16"/>
              </w:rPr>
              <w:t>Abstract and Tables 2–4/Results, pp. 1, 3–8</w:t>
            </w:r>
          </w:p>
        </w:tc>
      </w:tr>
      <w:tr>
        <w:trPr>
          <w:cantSplit/>
        </w:trPr>
        <w:tc>
          <w:tcPr>
            <w:tcW w:type="dxa" w:w="2493"/>
            <w:vAlign w:val="center"/>
          </w:tcPr>
          <w:p>
            <w:r>
              <w:rPr>
                <w:rFonts w:ascii="Times New Roman" w:hAnsi="Times New Roman"/>
                <w:sz w:val="16"/>
              </w:rPr>
              <w:t>W11</w:t>
            </w:r>
          </w:p>
        </w:tc>
        <w:tc>
          <w:tcPr>
            <w:tcW w:type="dxa" w:w="2493"/>
            <w:vAlign w:val="center"/>
          </w:tcPr>
          <w:p>
            <w:r>
              <w:rPr>
                <w:rFonts w:ascii="Times New Roman" w:hAnsi="Times New Roman"/>
                <w:sz w:val="16"/>
              </w:rPr>
              <w:t>For GPT: accuracy 4.64/6, completeness 2.25/3, and applicability 3.05/4.</w:t>
            </w:r>
          </w:p>
        </w:tc>
        <w:tc>
          <w:tcPr>
            <w:tcW w:type="dxa" w:w="2493"/>
            <w:vAlign w:val="center"/>
          </w:tcPr>
          <w:p>
            <w:r>
              <w:rPr>
                <w:rFonts w:ascii="Times New Roman" w:hAnsi="Times New Roman"/>
                <w:sz w:val="16"/>
              </w:rPr>
              <w:t>Output-safety evidence only.</w:t>
            </w:r>
          </w:p>
        </w:tc>
        <w:tc>
          <w:tcPr>
            <w:tcW w:type="dxa" w:w="2493"/>
            <w:vAlign w:val="center"/>
          </w:tcPr>
          <w:p>
            <w:r>
              <w:rPr>
                <w:rFonts w:ascii="Times New Roman" w:hAnsi="Times New Roman"/>
                <w:sz w:val="16"/>
              </w:rPr>
              <w:t>Methods p. 1; prescriptions/results pp. 5–12</w:t>
            </w:r>
          </w:p>
        </w:tc>
      </w:tr>
      <w:tr>
        <w:trPr>
          <w:cantSplit/>
        </w:trPr>
        <w:tc>
          <w:tcPr>
            <w:tcW w:type="dxa" w:w="2493"/>
            <w:vAlign w:val="center"/>
          </w:tcPr>
          <w:p>
            <w:r>
              <w:rPr>
                <w:rFonts w:ascii="Times New Roman" w:hAnsi="Times New Roman"/>
                <w:sz w:val="16"/>
              </w:rPr>
              <w:t>W12</w:t>
            </w:r>
          </w:p>
        </w:tc>
        <w:tc>
          <w:tcPr>
            <w:tcW w:type="dxa" w:w="2493"/>
            <w:vAlign w:val="center"/>
          </w:tcPr>
          <w:p>
            <w:r>
              <w:rPr>
                <w:rFonts w:ascii="Times New Roman" w:hAnsi="Times New Roman"/>
                <w:sz w:val="16"/>
              </w:rPr>
              <w:t>Trust in the AI plan was rated 3.73 vs 3.36; this did not validate safety.</w:t>
            </w:r>
          </w:p>
        </w:tc>
        <w:tc>
          <w:tcPr>
            <w:tcW w:type="dxa" w:w="2493"/>
            <w:vAlign w:val="center"/>
          </w:tcPr>
          <w:p>
            <w:r>
              <w:rPr>
                <w:rFonts w:ascii="Times New Roman" w:hAnsi="Times New Roman"/>
                <w:sz w:val="16"/>
              </w:rPr>
              <w:t>User trust is not a safety outcome.</w:t>
            </w:r>
          </w:p>
        </w:tc>
        <w:tc>
          <w:tcPr>
            <w:tcW w:type="dxa" w:w="2493"/>
            <w:vAlign w:val="center"/>
          </w:tcPr>
          <w:p>
            <w:r>
              <w:rPr>
                <w:rFonts w:ascii="Times New Roman" w:hAnsi="Times New Roman"/>
                <w:sz w:val="16"/>
              </w:rPr>
              <w:t>Methods/Results pp. 1–4</w:t>
            </w:r>
          </w:p>
        </w:tc>
      </w:tr>
      <w:tr>
        <w:trPr>
          <w:cantSplit/>
        </w:trPr>
        <w:tc>
          <w:tcPr>
            <w:tcW w:type="dxa" w:w="2493"/>
            <w:vAlign w:val="center"/>
          </w:tcPr>
          <w:p>
            <w:r>
              <w:rPr>
                <w:rFonts w:ascii="Times New Roman" w:hAnsi="Times New Roman"/>
                <w:sz w:val="16"/>
              </w:rPr>
              <w:t>W13</w:t>
            </w:r>
          </w:p>
        </w:tc>
        <w:tc>
          <w:tcPr>
            <w:tcW w:type="dxa" w:w="2493"/>
            <w:vAlign w:val="center"/>
          </w:tcPr>
          <w:p>
            <w:r>
              <w:rPr>
                <w:rFonts w:ascii="Times New Roman" w:hAnsi="Times New Roman"/>
                <w:sz w:val="16"/>
              </w:rPr>
              <w:t>Semantic similarity ranged from 0.903 to 0.955; unique-output proportions ranged from 27.5% to 100%.</w:t>
            </w:r>
          </w:p>
        </w:tc>
        <w:tc>
          <w:tcPr>
            <w:tcW w:type="dxa" w:w="2493"/>
            <w:vAlign w:val="center"/>
          </w:tcPr>
          <w:p>
            <w:r>
              <w:rPr>
                <w:rFonts w:ascii="Times New Roman" w:hAnsi="Times New Roman"/>
                <w:sz w:val="16"/>
              </w:rPr>
              <w:t>Safety-expression analysis of generated outputs; not human adverse events.</w:t>
            </w:r>
          </w:p>
        </w:tc>
        <w:tc>
          <w:tcPr>
            <w:tcW w:type="dxa" w:w="2493"/>
            <w:vAlign w:val="center"/>
          </w:tcPr>
          <w:p>
            <w:r>
              <w:rPr>
                <w:rFonts w:ascii="Times New Roman" w:hAnsi="Times New Roman"/>
                <w:sz w:val="16"/>
              </w:rPr>
              <w:t>Abstract p. 2; Methods pp. 4–6; Tables 1–6 pp. 7–12; Supplement pp. 19–24</w:t>
            </w:r>
          </w:p>
        </w:tc>
      </w:tr>
      <w:tr>
        <w:trPr>
          <w:cantSplit/>
        </w:trPr>
        <w:tc>
          <w:tcPr>
            <w:tcW w:type="dxa" w:w="2493"/>
            <w:vAlign w:val="center"/>
          </w:tcPr>
          <w:p>
            <w:r>
              <w:rPr>
                <w:rFonts w:ascii="Times New Roman" w:hAnsi="Times New Roman"/>
                <w:sz w:val="16"/>
              </w:rPr>
              <w:t>W14</w:t>
            </w:r>
          </w:p>
        </w:tc>
        <w:tc>
          <w:tcPr>
            <w:tcW w:type="dxa" w:w="2493"/>
            <w:vAlign w:val="center"/>
          </w:tcPr>
          <w:p>
            <w:r>
              <w:rPr>
                <w:rFonts w:ascii="Times New Roman" w:hAnsi="Times New Roman"/>
                <w:sz w:val="16"/>
              </w:rPr>
              <w:t>Expert-generated plans rated highest, novice-plus-AI plans intermediate, and AI-only plans lowest.</w:t>
            </w:r>
          </w:p>
        </w:tc>
        <w:tc>
          <w:tcPr>
            <w:tcW w:type="dxa" w:w="2493"/>
            <w:vAlign w:val="center"/>
          </w:tcPr>
          <w:p>
            <w:r>
              <w:rPr>
                <w:rFonts w:ascii="Times New Roman" w:hAnsi="Times New Roman"/>
                <w:sz w:val="16"/>
              </w:rPr>
              <w:t>Output comparison; no human implementation safety outcome.</w:t>
            </w:r>
          </w:p>
        </w:tc>
        <w:tc>
          <w:tcPr>
            <w:tcW w:type="dxa" w:w="2493"/>
            <w:vAlign w:val="center"/>
          </w:tcPr>
          <w:p>
            <w:r>
              <w:rPr>
                <w:rFonts w:ascii="Times New Roman" w:hAnsi="Times New Roman"/>
                <w:sz w:val="16"/>
              </w:rPr>
              <w:t>Abstract p. 1; Methods/Results pp. 3–10</w:t>
            </w:r>
          </w:p>
        </w:tc>
      </w:tr>
      <w:tr>
        <w:trPr>
          <w:cantSplit/>
        </w:trPr>
        <w:tc>
          <w:tcPr>
            <w:tcW w:type="dxa" w:w="2493"/>
            <w:vAlign w:val="center"/>
          </w:tcPr>
          <w:p>
            <w:r>
              <w:rPr>
                <w:rFonts w:ascii="Times New Roman" w:hAnsi="Times New Roman"/>
                <w:sz w:val="16"/>
              </w:rPr>
              <w:t>W15</w:t>
            </w:r>
          </w:p>
        </w:tc>
        <w:tc>
          <w:tcPr>
            <w:tcW w:type="dxa" w:w="2493"/>
            <w:vAlign w:val="center"/>
          </w:tcPr>
          <w:p>
            <w:r>
              <w:rPr>
                <w:rFonts w:ascii="Times New Roman" w:hAnsi="Times New Roman"/>
                <w:sz w:val="16"/>
              </w:rPr>
              <w:t>Ratings generally improved at Stage 2 but were inconsistent at Stage 3; ICC=0.139.</w:t>
            </w:r>
          </w:p>
        </w:tc>
        <w:tc>
          <w:tcPr>
            <w:tcW w:type="dxa" w:w="2493"/>
            <w:vAlign w:val="center"/>
          </w:tcPr>
          <w:p>
            <w:r>
              <w:rPr>
                <w:rFonts w:ascii="Times New Roman" w:hAnsi="Times New Roman"/>
                <w:sz w:val="16"/>
              </w:rPr>
              <w:t>Expert evaluation of output safety; not patient harm.</w:t>
            </w:r>
          </w:p>
        </w:tc>
        <w:tc>
          <w:tcPr>
            <w:tcW w:type="dxa" w:w="2493"/>
            <w:vAlign w:val="center"/>
          </w:tcPr>
          <w:p>
            <w:r>
              <w:rPr>
                <w:rFonts w:ascii="Times New Roman" w:hAnsi="Times New Roman"/>
                <w:sz w:val="16"/>
              </w:rPr>
              <w:t>Abstract p. 1; Methods/Results and rubric</w:t>
            </w:r>
          </w:p>
        </w:tc>
      </w:tr>
      <w:tr>
        <w:trPr>
          <w:cantSplit/>
        </w:trPr>
        <w:tc>
          <w:tcPr>
            <w:tcW w:type="dxa" w:w="2493"/>
            <w:vAlign w:val="center"/>
          </w:tcPr>
          <w:p>
            <w:r>
              <w:rPr>
                <w:rFonts w:ascii="Times New Roman" w:hAnsi="Times New Roman"/>
                <w:sz w:val="16"/>
              </w:rPr>
              <w:t>W16</w:t>
            </w:r>
          </w:p>
        </w:tc>
        <w:tc>
          <w:tcPr>
            <w:tcW w:type="dxa" w:w="2493"/>
            <w:vAlign w:val="center"/>
          </w:tcPr>
          <w:p>
            <w:r>
              <w:rPr>
                <w:rFonts w:ascii="Times New Roman" w:hAnsi="Times New Roman"/>
                <w:sz w:val="16"/>
              </w:rPr>
              <w:t>DeepSeek was rated higher overall; ChatGPT more often showed generalization and differential-diagnosis omissions.</w:t>
            </w:r>
          </w:p>
        </w:tc>
        <w:tc>
          <w:tcPr>
            <w:tcW w:type="dxa" w:w="2493"/>
            <w:vAlign w:val="center"/>
          </w:tcPr>
          <w:p>
            <w:r>
              <w:rPr>
                <w:rFonts w:ascii="Times New Roman" w:hAnsi="Times New Roman"/>
                <w:sz w:val="16"/>
              </w:rPr>
              <w:t>Output-level risk evaluation only.</w:t>
            </w:r>
          </w:p>
        </w:tc>
        <w:tc>
          <w:tcPr>
            <w:tcW w:type="dxa" w:w="2493"/>
            <w:vAlign w:val="center"/>
          </w:tcPr>
          <w:p>
            <w:r>
              <w:rPr>
                <w:rFonts w:ascii="Times New Roman" w:hAnsi="Times New Roman"/>
                <w:sz w:val="16"/>
              </w:rPr>
              <w:t>Methods/Tables 2–5/Results pp. 4–9</w:t>
            </w:r>
          </w:p>
        </w:tc>
      </w:tr>
      <w:tr>
        <w:trPr>
          <w:cantSplit/>
        </w:trPr>
        <w:tc>
          <w:tcPr>
            <w:tcW w:type="dxa" w:w="2493"/>
            <w:vAlign w:val="center"/>
          </w:tcPr>
          <w:p>
            <w:r>
              <w:rPr>
                <w:rFonts w:ascii="Times New Roman" w:hAnsi="Times New Roman"/>
                <w:sz w:val="16"/>
              </w:rPr>
              <w:t>W17</w:t>
            </w:r>
          </w:p>
        </w:tc>
        <w:tc>
          <w:tcPr>
            <w:tcW w:type="dxa" w:w="2493"/>
            <w:vAlign w:val="center"/>
          </w:tcPr>
          <w:p>
            <w:r>
              <w:rPr>
                <w:rFonts w:ascii="Times New Roman" w:hAnsi="Times New Roman"/>
                <w:sz w:val="16"/>
              </w:rPr>
              <w:t>Intervention-group LTEQ increased from 6.69 to 34; adverse events were not reported.</w:t>
            </w:r>
          </w:p>
        </w:tc>
        <w:tc>
          <w:tcPr>
            <w:tcW w:type="dxa" w:w="2493"/>
            <w:vAlign w:val="center"/>
          </w:tcPr>
          <w:p>
            <w:r>
              <w:rPr>
                <w:rFonts w:ascii="Times New Roman" w:hAnsi="Times New Roman"/>
                <w:sz w:val="16"/>
              </w:rPr>
              <w:t>Human implementation; adverse-event outcome NR.</w:t>
            </w:r>
          </w:p>
        </w:tc>
        <w:tc>
          <w:tcPr>
            <w:tcW w:type="dxa" w:w="2493"/>
            <w:vAlign w:val="center"/>
          </w:tcPr>
          <w:p>
            <w:r>
              <w:rPr>
                <w:rFonts w:ascii="Times New Roman" w:hAnsi="Times New Roman"/>
                <w:sz w:val="16"/>
              </w:rPr>
              <w:t>Methods/Tables 2–3 pp. 3–6</w:t>
            </w:r>
          </w:p>
        </w:tc>
      </w:tr>
      <w:tr>
        <w:trPr>
          <w:cantSplit/>
        </w:trPr>
        <w:tc>
          <w:tcPr>
            <w:tcW w:type="dxa" w:w="2493"/>
            <w:vAlign w:val="center"/>
          </w:tcPr>
          <w:p>
            <w:r>
              <w:rPr>
                <w:rFonts w:ascii="Times New Roman" w:hAnsi="Times New Roman"/>
                <w:sz w:val="16"/>
              </w:rPr>
              <w:t>W18</w:t>
            </w:r>
          </w:p>
        </w:tc>
        <w:tc>
          <w:tcPr>
            <w:tcW w:type="dxa" w:w="2493"/>
            <w:vAlign w:val="center"/>
          </w:tcPr>
          <w:p>
            <w:r>
              <w:rPr>
                <w:rFonts w:ascii="Times New Roman" w:hAnsi="Times New Roman"/>
                <w:sz w:val="16"/>
              </w:rPr>
              <w:t>With detailed prompts, safety ratings were 3.95 vs 3.33/5 and output variability was lower.</w:t>
            </w:r>
          </w:p>
        </w:tc>
        <w:tc>
          <w:tcPr>
            <w:tcW w:type="dxa" w:w="2493"/>
            <w:vAlign w:val="center"/>
          </w:tcPr>
          <w:p>
            <w:r>
              <w:rPr>
                <w:rFonts w:ascii="Times New Roman" w:hAnsi="Times New Roman"/>
                <w:sz w:val="16"/>
              </w:rPr>
              <w:t>Output safety rating; not human safety.</w:t>
            </w:r>
          </w:p>
        </w:tc>
        <w:tc>
          <w:tcPr>
            <w:tcW w:type="dxa" w:w="2493"/>
            <w:vAlign w:val="center"/>
          </w:tcPr>
          <w:p>
            <w:r>
              <w:rPr>
                <w:rFonts w:ascii="Times New Roman" w:hAnsi="Times New Roman"/>
                <w:sz w:val="16"/>
              </w:rPr>
              <w:t>Abstract p. 1; Methods/Results</w:t>
            </w:r>
          </w:p>
        </w:tc>
      </w:tr>
      <w:tr>
        <w:trPr>
          <w:cantSplit/>
        </w:trPr>
        <w:tc>
          <w:tcPr>
            <w:tcW w:type="dxa" w:w="2493"/>
            <w:vAlign w:val="center"/>
          </w:tcPr>
          <w:p>
            <w:r>
              <w:rPr>
                <w:rFonts w:ascii="Times New Roman" w:hAnsi="Times New Roman"/>
                <w:sz w:val="16"/>
              </w:rPr>
              <w:t>W20</w:t>
            </w:r>
          </w:p>
        </w:tc>
        <w:tc>
          <w:tcPr>
            <w:tcW w:type="dxa" w:w="2493"/>
            <w:vAlign w:val="center"/>
          </w:tcPr>
          <w:p>
            <w:r>
              <w:rPr>
                <w:rFonts w:ascii="Times New Roman" w:hAnsi="Times New Roman"/>
                <w:sz w:val="16"/>
              </w:rPr>
              <w:t>Overall rating 3.85/5; ACL 1.88 and clavicle fracture 5.00.</w:t>
            </w:r>
          </w:p>
        </w:tc>
        <w:tc>
          <w:tcPr>
            <w:tcW w:type="dxa" w:w="2493"/>
            <w:vAlign w:val="center"/>
          </w:tcPr>
          <w:p>
            <w:r>
              <w:rPr>
                <w:rFonts w:ascii="Times New Roman" w:hAnsi="Times New Roman"/>
                <w:sz w:val="16"/>
              </w:rPr>
              <w:t>Expert-rated output; not human adverse events.</w:t>
            </w:r>
          </w:p>
        </w:tc>
        <w:tc>
          <w:tcPr>
            <w:tcW w:type="dxa" w:w="2493"/>
            <w:vAlign w:val="center"/>
          </w:tcPr>
          <w:p>
            <w:r>
              <w:rPr>
                <w:rFonts w:ascii="Times New Roman" w:hAnsi="Times New Roman"/>
                <w:sz w:val="16"/>
              </w:rPr>
              <w:t>Abstract p. 1; six-week program and expert assessment</w:t>
            </w:r>
          </w:p>
        </w:tc>
      </w:tr>
      <w:tr>
        <w:trPr>
          <w:cantSplit/>
        </w:trPr>
        <w:tc>
          <w:tcPr>
            <w:tcW w:type="dxa" w:w="2493"/>
            <w:vAlign w:val="center"/>
          </w:tcPr>
          <w:p>
            <w:r>
              <w:rPr>
                <w:rFonts w:ascii="Times New Roman" w:hAnsi="Times New Roman"/>
                <w:sz w:val="16"/>
              </w:rPr>
              <w:t>W21</w:t>
            </w:r>
          </w:p>
        </w:tc>
        <w:tc>
          <w:tcPr>
            <w:tcW w:type="dxa" w:w="2493"/>
            <w:vAlign w:val="center"/>
          </w:tcPr>
          <w:p>
            <w:r>
              <w:rPr>
                <w:rFonts w:ascii="Times New Roman" w:hAnsi="Times New Roman"/>
                <w:sz w:val="16"/>
              </w:rPr>
              <w:t>ChatGPT had the highest quality ratings; Doubao was most stable but had lower quality ratings.</w:t>
            </w:r>
          </w:p>
        </w:tc>
        <w:tc>
          <w:tcPr>
            <w:tcW w:type="dxa" w:w="2493"/>
            <w:vAlign w:val="center"/>
          </w:tcPr>
          <w:p>
            <w:r>
              <w:rPr>
                <w:rFonts w:ascii="Times New Roman" w:hAnsi="Times New Roman"/>
                <w:sz w:val="16"/>
              </w:rPr>
              <w:t>Repeated-generation and expert-rated output evidence.</w:t>
            </w:r>
          </w:p>
        </w:tc>
        <w:tc>
          <w:tcPr>
            <w:tcW w:type="dxa" w:w="2493"/>
            <w:vAlign w:val="center"/>
          </w:tcPr>
          <w:p>
            <w:r>
              <w:rPr>
                <w:rFonts w:ascii="Times New Roman" w:hAnsi="Times New Roman"/>
                <w:sz w:val="16"/>
              </w:rPr>
              <w:t>Methods/Tables 2 and 5, pp. 3–10</w:t>
            </w:r>
          </w:p>
        </w:tc>
      </w:tr>
      <w:tr>
        <w:trPr>
          <w:cantSplit/>
        </w:trPr>
        <w:tc>
          <w:tcPr>
            <w:tcW w:type="dxa" w:w="2493"/>
            <w:vAlign w:val="center"/>
          </w:tcPr>
          <w:p>
            <w:r>
              <w:rPr>
                <w:rFonts w:ascii="Times New Roman" w:hAnsi="Times New Roman"/>
                <w:sz w:val="16"/>
              </w:rPr>
              <w:t>W22</w:t>
            </w:r>
          </w:p>
        </w:tc>
        <w:tc>
          <w:tcPr>
            <w:tcW w:type="dxa" w:w="2493"/>
            <w:vAlign w:val="center"/>
          </w:tcPr>
          <w:p>
            <w:r>
              <w:rPr>
                <w:rFonts w:ascii="Times New Roman" w:hAnsi="Times New Roman"/>
                <w:sz w:val="16"/>
              </w:rPr>
              <w:t>Completeness and accuracy were reported; safety denominators cannot be inferred directly from 26 cases.</w:t>
            </w:r>
          </w:p>
        </w:tc>
        <w:tc>
          <w:tcPr>
            <w:tcW w:type="dxa" w:w="2493"/>
            <w:vAlign w:val="center"/>
          </w:tcPr>
          <w:p>
            <w:r>
              <w:rPr>
                <w:rFonts w:ascii="Times New Roman" w:hAnsi="Times New Roman"/>
                <w:sz w:val="16"/>
              </w:rPr>
              <w:t>Full-text extraction of safety denominators remains incomplete in the source table.</w:t>
            </w:r>
          </w:p>
        </w:tc>
        <w:tc>
          <w:tcPr>
            <w:tcW w:type="dxa" w:w="2493"/>
            <w:vAlign w:val="center"/>
          </w:tcPr>
          <w:p>
            <w:r>
              <w:rPr>
                <w:rFonts w:ascii="Times New Roman" w:hAnsi="Times New Roman"/>
                <w:sz w:val="16"/>
              </w:rPr>
              <w:t>Abstract p. 1; coding/results pp. 3–6</w:t>
            </w:r>
          </w:p>
        </w:tc>
      </w:tr>
      <w:tr>
        <w:trPr>
          <w:cantSplit/>
        </w:trPr>
        <w:tc>
          <w:tcPr>
            <w:tcW w:type="dxa" w:w="2493"/>
            <w:vAlign w:val="center"/>
          </w:tcPr>
          <w:p>
            <w:r>
              <w:rPr>
                <w:rFonts w:ascii="Times New Roman" w:hAnsi="Times New Roman"/>
                <w:sz w:val="16"/>
              </w:rPr>
              <w:t>W23</w:t>
            </w:r>
          </w:p>
        </w:tc>
        <w:tc>
          <w:tcPr>
            <w:tcW w:type="dxa" w:w="2493"/>
            <w:vAlign w:val="center"/>
          </w:tcPr>
          <w:p>
            <w:r>
              <w:rPr>
                <w:rFonts w:ascii="Times New Roman" w:hAnsi="Times New Roman"/>
                <w:sz w:val="16"/>
              </w:rPr>
              <w:t>Compared 16-week GPT-4 and coach plans for the same real individual; activities and doses were specified, but evidence was limited to one case.</w:t>
            </w:r>
          </w:p>
        </w:tc>
        <w:tc>
          <w:tcPr>
            <w:tcW w:type="dxa" w:w="2493"/>
            <w:vAlign w:val="center"/>
          </w:tcPr>
          <w:p>
            <w:r>
              <w:rPr>
                <w:rFonts w:ascii="Times New Roman" w:hAnsi="Times New Roman"/>
                <w:sz w:val="16"/>
              </w:rPr>
              <w:t>Class B output applicability; not human implementation safety.</w:t>
            </w:r>
          </w:p>
        </w:tc>
        <w:tc>
          <w:tcPr>
            <w:tcW w:type="dxa" w:w="2493"/>
            <w:vAlign w:val="center"/>
          </w:tcPr>
          <w:p>
            <w:r>
              <w:rPr>
                <w:rFonts w:ascii="Times New Roman" w:hAnsi="Times New Roman"/>
                <w:sz w:val="16"/>
              </w:rPr>
              <w:t>Abstract p. 1; Methods/prompts/rubric and Results</w:t>
            </w:r>
          </w:p>
        </w:tc>
      </w:tr>
      <w:tr>
        <w:trPr>
          <w:cantSplit/>
        </w:trPr>
        <w:tc>
          <w:tcPr>
            <w:tcW w:type="dxa" w:w="2493"/>
            <w:vAlign w:val="center"/>
          </w:tcPr>
          <w:p>
            <w:r>
              <w:rPr>
                <w:rFonts w:ascii="Times New Roman" w:hAnsi="Times New Roman"/>
                <w:sz w:val="16"/>
              </w:rPr>
              <w:t>W24</w:t>
            </w:r>
          </w:p>
        </w:tc>
        <w:tc>
          <w:tcPr>
            <w:tcW w:type="dxa" w:w="2493"/>
            <w:vAlign w:val="center"/>
          </w:tcPr>
          <w:p>
            <w:r>
              <w:rPr>
                <w:rFonts w:ascii="Times New Roman" w:hAnsi="Times New Roman"/>
                <w:sz w:val="16"/>
              </w:rPr>
              <w:t>Compared ChatGPT-4o and Gemini Advanced outputs with rehabilitation prescriptions using data from 40 patients with knee osteoarthritis.</w:t>
            </w:r>
          </w:p>
        </w:tc>
        <w:tc>
          <w:tcPr>
            <w:tcW w:type="dxa" w:w="2493"/>
            <w:vAlign w:val="center"/>
          </w:tcPr>
          <w:p>
            <w:r>
              <w:rPr>
                <w:rFonts w:ascii="Times New Roman" w:hAnsi="Times New Roman"/>
                <w:sz w:val="16"/>
              </w:rPr>
              <w:t>Class B output safety and prescription differences; not human adverse events.</w:t>
            </w:r>
          </w:p>
        </w:tc>
        <w:tc>
          <w:tcPr>
            <w:tcW w:type="dxa" w:w="2493"/>
            <w:vAlign w:val="center"/>
          </w:tcPr>
          <w:p>
            <w:r>
              <w:rPr>
                <w:rFonts w:ascii="Times New Roman" w:hAnsi="Times New Roman"/>
                <w:sz w:val="16"/>
              </w:rPr>
              <w:t>Abstract p. 1; Methods/Results for 40 cases</w:t>
            </w:r>
          </w:p>
        </w:tc>
      </w:tr>
      <w:tr>
        <w:trPr>
          <w:cantSplit/>
        </w:trPr>
        <w:tc>
          <w:tcPr>
            <w:tcW w:type="dxa" w:w="2493"/>
            <w:vAlign w:val="center"/>
          </w:tcPr>
          <w:p>
            <w:r>
              <w:rPr>
                <w:rFonts w:ascii="Times New Roman" w:hAnsi="Times New Roman"/>
                <w:sz w:val="16"/>
              </w:rPr>
              <w:t>W25</w:t>
            </w:r>
          </w:p>
        </w:tc>
        <w:tc>
          <w:tcPr>
            <w:tcW w:type="dxa" w:w="2493"/>
            <w:vAlign w:val="center"/>
          </w:tcPr>
          <w:p>
            <w:r>
              <w:rPr>
                <w:rFonts w:ascii="Times New Roman" w:hAnsi="Times New Roman"/>
                <w:sz w:val="16"/>
              </w:rPr>
              <w:t>Eight-week scenario plans included activities and doses; experts noted overly rapid early loading and progression.</w:t>
            </w:r>
          </w:p>
        </w:tc>
        <w:tc>
          <w:tcPr>
            <w:tcW w:type="dxa" w:w="2493"/>
            <w:vAlign w:val="center"/>
          </w:tcPr>
          <w:p>
            <w:r>
              <w:rPr>
                <w:rFonts w:ascii="Times New Roman" w:hAnsi="Times New Roman"/>
                <w:sz w:val="16"/>
              </w:rPr>
              <w:t>Output dose/progression risk; not human adverse events.</w:t>
            </w:r>
          </w:p>
        </w:tc>
        <w:tc>
          <w:tcPr>
            <w:tcW w:type="dxa" w:w="2493"/>
            <w:vAlign w:val="center"/>
          </w:tcPr>
          <w:p>
            <w:r>
              <w:rPr>
                <w:rFonts w:ascii="Times New Roman" w:hAnsi="Times New Roman"/>
                <w:sz w:val="16"/>
              </w:rPr>
              <w:t>Abstract p. 1; Appendix/Table 2 and eight-week plans</w:t>
            </w:r>
          </w:p>
        </w:tc>
      </w:tr>
      <w:tr>
        <w:trPr>
          <w:cantSplit/>
        </w:trPr>
        <w:tc>
          <w:tcPr>
            <w:tcW w:type="dxa" w:w="2493"/>
            <w:vAlign w:val="center"/>
          </w:tcPr>
          <w:p>
            <w:r>
              <w:rPr>
                <w:rFonts w:ascii="Times New Roman" w:hAnsi="Times New Roman"/>
                <w:sz w:val="16"/>
              </w:rPr>
              <w:t>W26</w:t>
            </w:r>
          </w:p>
        </w:tc>
        <w:tc>
          <w:tcPr>
            <w:tcW w:type="dxa" w:w="2493"/>
            <w:vAlign w:val="center"/>
          </w:tcPr>
          <w:p>
            <w:r>
              <w:rPr>
                <w:rFonts w:ascii="Times New Roman" w:hAnsi="Times New Roman"/>
                <w:sz w:val="16"/>
              </w:rPr>
              <w:t>Endpoint BMI: 22.99 vs 24.46 kg/m² (P=0.020); post-knee-raise heart rate: 128 vs 152 bpm (P=0.019); sit-to-stand: 37 vs 32 repetitions (P=0.019).</w:t>
            </w:r>
          </w:p>
        </w:tc>
        <w:tc>
          <w:tcPr>
            <w:tcW w:type="dxa" w:w="2493"/>
            <w:vAlign w:val="center"/>
          </w:tcPr>
          <w:p>
            <w:r>
              <w:rPr>
                <w:rFonts w:ascii="Times New Roman" w:hAnsi="Times New Roman"/>
                <w:sz w:val="16"/>
              </w:rPr>
              <w:t>Human adverse events NR; injury was an exclusion criterion, but event counts were not reported.</w:t>
            </w:r>
          </w:p>
        </w:tc>
        <w:tc>
          <w:tcPr>
            <w:tcW w:type="dxa" w:w="2493"/>
            <w:vAlign w:val="center"/>
          </w:tcPr>
          <w:p>
            <w:r>
              <w:rPr>
                <w:rFonts w:ascii="Times New Roman" w:hAnsi="Times New Roman"/>
                <w:sz w:val="16"/>
              </w:rPr>
              <w:t>Methods p. 2; Table 2 p. 4; Appendix pp. 9–11</w:t>
            </w:r>
          </w:p>
        </w:tc>
      </w:tr>
      <w:tr>
        <w:trPr>
          <w:cantSplit/>
        </w:trPr>
        <w:tc>
          <w:tcPr>
            <w:tcW w:type="dxa" w:w="2493"/>
            <w:vAlign w:val="center"/>
          </w:tcPr>
          <w:p>
            <w:r>
              <w:rPr>
                <w:rFonts w:ascii="Times New Roman" w:hAnsi="Times New Roman"/>
                <w:sz w:val="16"/>
              </w:rPr>
              <w:t>W27</w:t>
            </w:r>
          </w:p>
        </w:tc>
        <w:tc>
          <w:tcPr>
            <w:tcW w:type="dxa" w:w="2493"/>
            <w:vAlign w:val="center"/>
          </w:tcPr>
          <w:p>
            <w:r>
              <w:rPr>
                <w:rFonts w:ascii="Times New Roman" w:hAnsi="Times New Roman"/>
                <w:sz w:val="16"/>
              </w:rPr>
              <w:t>GPT-group left-arm strength increased from 20.31±3.80 to 22.99±4.05 kg (within-group P&lt;0.001); within-group significance does not replace a between-group effect.</w:t>
            </w:r>
          </w:p>
        </w:tc>
        <w:tc>
          <w:tcPr>
            <w:tcW w:type="dxa" w:w="2493"/>
            <w:vAlign w:val="center"/>
          </w:tcPr>
          <w:p>
            <w:r>
              <w:rPr>
                <w:rFonts w:ascii="Times New Roman" w:hAnsi="Times New Roman"/>
                <w:sz w:val="16"/>
              </w:rPr>
              <w:t>Human adverse events NR.</w:t>
            </w:r>
          </w:p>
        </w:tc>
        <w:tc>
          <w:tcPr>
            <w:tcW w:type="dxa" w:w="2493"/>
            <w:vAlign w:val="center"/>
          </w:tcPr>
          <w:p>
            <w:r>
              <w:rPr>
                <w:rFonts w:ascii="Times New Roman" w:hAnsi="Times New Roman"/>
                <w:sz w:val="16"/>
              </w:rPr>
              <w:t>Methods/Tables 1, 3–4, pp. 3–6</w:t>
            </w:r>
          </w:p>
        </w:tc>
      </w:tr>
      <w:tr>
        <w:trPr>
          <w:cantSplit/>
        </w:trPr>
        <w:tc>
          <w:tcPr>
            <w:tcW w:type="dxa" w:w="2493"/>
            <w:vAlign w:val="center"/>
          </w:tcPr>
          <w:p>
            <w:r>
              <w:rPr>
                <w:rFonts w:ascii="Times New Roman" w:hAnsi="Times New Roman"/>
                <w:sz w:val="16"/>
              </w:rPr>
              <w:t>W28</w:t>
            </w:r>
          </w:p>
        </w:tc>
        <w:tc>
          <w:tcPr>
            <w:tcW w:type="dxa" w:w="2493"/>
            <w:vAlign w:val="center"/>
          </w:tcPr>
          <w:p>
            <w:r>
              <w:rPr>
                <w:rFonts w:ascii="Times New Roman" w:hAnsi="Times New Roman"/>
                <w:sz w:val="16"/>
              </w:rPr>
              <w:t>Generated individualized plans from personal data and had professionals evaluate them; this supports output generation, not human implementation effects.</w:t>
            </w:r>
          </w:p>
        </w:tc>
        <w:tc>
          <w:tcPr>
            <w:tcW w:type="dxa" w:w="2493"/>
            <w:vAlign w:val="center"/>
          </w:tcPr>
          <w:p>
            <w:r>
              <w:rPr>
                <w:rFonts w:ascii="Times New Roman" w:hAnsi="Times New Roman"/>
                <w:sz w:val="16"/>
              </w:rPr>
              <w:t>Output quality and potential risk; not human adverse events.</w:t>
            </w:r>
          </w:p>
        </w:tc>
        <w:tc>
          <w:tcPr>
            <w:tcW w:type="dxa" w:w="2493"/>
            <w:vAlign w:val="center"/>
          </w:tcPr>
          <w:p>
            <w:r>
              <w:rPr>
                <w:rFonts w:ascii="Times New Roman" w:hAnsi="Times New Roman"/>
                <w:sz w:val="16"/>
              </w:rPr>
              <w:t>Methods/Table 1/Results pp. 1–3</w:t>
            </w:r>
          </w:p>
        </w:tc>
      </w:tr>
      <w:tr>
        <w:trPr>
          <w:cantSplit/>
        </w:trPr>
        <w:tc>
          <w:tcPr>
            <w:tcW w:type="dxa" w:w="2493"/>
            <w:vAlign w:val="center"/>
          </w:tcPr>
          <w:p>
            <w:r>
              <w:rPr>
                <w:rFonts w:ascii="Times New Roman" w:hAnsi="Times New Roman"/>
                <w:sz w:val="16"/>
              </w:rPr>
              <w:t>W29</w:t>
            </w:r>
          </w:p>
        </w:tc>
        <w:tc>
          <w:tcPr>
            <w:tcW w:type="dxa" w:w="2493"/>
            <w:vAlign w:val="center"/>
          </w:tcPr>
          <w:p>
            <w:r>
              <w:rPr>
                <w:rFonts w:ascii="Times New Roman" w:hAnsi="Times New Roman"/>
                <w:sz w:val="16"/>
              </w:rPr>
              <w:t>Fifteen of 18 initial plans met the study’s weekly-volume requirement; 14/18 included rest days. Mean FITT ratings were 5.67/4.28/5.06/3.89.</w:t>
            </w:r>
          </w:p>
        </w:tc>
        <w:tc>
          <w:tcPr>
            <w:tcW w:type="dxa" w:w="2493"/>
            <w:vAlign w:val="center"/>
          </w:tcPr>
          <w:p>
            <w:r>
              <w:rPr>
                <w:rFonts w:ascii="Times New Roman" w:hAnsi="Times New Roman"/>
                <w:sz w:val="16"/>
              </w:rPr>
              <w:t>Experts noted fatigue/injury concerns with consecutive training; no human implementation events were assessed.</w:t>
            </w:r>
          </w:p>
        </w:tc>
        <w:tc>
          <w:tcPr>
            <w:tcW w:type="dxa" w:w="2493"/>
            <w:vAlign w:val="center"/>
          </w:tcPr>
          <w:p>
            <w:r>
              <w:rPr>
                <w:rFonts w:ascii="Times New Roman" w:hAnsi="Times New Roman"/>
                <w:sz w:val="16"/>
              </w:rPr>
              <w:t>pp. 6, 8–9; Figure 1 p. 13; Tables 2–3</w:t>
            </w:r>
          </w:p>
        </w:tc>
      </w:tr>
      <w:tr>
        <w:trPr>
          <w:cantSplit/>
        </w:trPr>
        <w:tc>
          <w:tcPr>
            <w:tcW w:type="dxa" w:w="2493"/>
            <w:vAlign w:val="center"/>
          </w:tcPr>
          <w:p>
            <w:r>
              <w:rPr>
                <w:rFonts w:ascii="Times New Roman" w:hAnsi="Times New Roman"/>
                <w:sz w:val="16"/>
              </w:rPr>
              <w:t>W30</w:t>
            </w:r>
          </w:p>
        </w:tc>
        <w:tc>
          <w:tcPr>
            <w:tcW w:type="dxa" w:w="2493"/>
            <w:vAlign w:val="center"/>
          </w:tcPr>
          <w:p>
            <w:r>
              <w:rPr>
                <w:rFonts w:ascii="Times New Roman" w:hAnsi="Times New Roman"/>
                <w:sz w:val="16"/>
              </w:rPr>
              <w:t>Ratings and readability were reported; individualized health screening was limited.</w:t>
            </w:r>
          </w:p>
        </w:tc>
        <w:tc>
          <w:tcPr>
            <w:tcW w:type="dxa" w:w="2493"/>
            <w:vAlign w:val="center"/>
          </w:tcPr>
          <w:p>
            <w:r>
              <w:rPr>
                <w:rFonts w:ascii="Times New Roman" w:hAnsi="Times New Roman"/>
                <w:sz w:val="16"/>
              </w:rPr>
              <w:t>Full-text safety details require extraction from the cited source; no human safety inference.</w:t>
            </w:r>
          </w:p>
        </w:tc>
        <w:tc>
          <w:tcPr>
            <w:tcW w:type="dxa" w:w="2493"/>
            <w:vAlign w:val="center"/>
          </w:tcPr>
          <w:p>
            <w:r>
              <w:rPr>
                <w:rFonts w:ascii="Times New Roman" w:hAnsi="Times New Roman"/>
                <w:sz w:val="16"/>
              </w:rPr>
              <w:t>Methods/Results pp. 1–5</w:t>
            </w:r>
          </w:p>
        </w:tc>
      </w:tr>
      <w:tr>
        <w:trPr>
          <w:cantSplit/>
        </w:trPr>
        <w:tc>
          <w:tcPr>
            <w:tcW w:type="dxa" w:w="2493"/>
            <w:vAlign w:val="center"/>
          </w:tcPr>
          <w:p>
            <w:r>
              <w:rPr>
                <w:rFonts w:ascii="Times New Roman" w:hAnsi="Times New Roman"/>
                <w:sz w:val="16"/>
              </w:rPr>
              <w:t>W31</w:t>
            </w:r>
          </w:p>
        </w:tc>
        <w:tc>
          <w:tcPr>
            <w:tcW w:type="dxa" w:w="2493"/>
            <w:vAlign w:val="center"/>
          </w:tcPr>
          <w:p>
            <w:r>
              <w:rPr>
                <w:rFonts w:ascii="Times New Roman" w:hAnsi="Times New Roman"/>
                <w:sz w:val="16"/>
              </w:rPr>
              <w:t>For Q4, 4/12 evaluators rated the response incorrect and unsafe. For Q3, 3/12 rated it complete/accurate, 6/12 safe but incomplete, and 3/12 safe but basic.</w:t>
            </w:r>
          </w:p>
        </w:tc>
        <w:tc>
          <w:tcPr>
            <w:tcW w:type="dxa" w:w="2493"/>
            <w:vAlign w:val="center"/>
          </w:tcPr>
          <w:p>
            <w:r>
              <w:rPr>
                <w:rFonts w:ascii="Times New Roman" w:hAnsi="Times New Roman"/>
                <w:sz w:val="16"/>
              </w:rPr>
              <w:t>Expert output-safety judgments; not four patients or four prescriptions with injury.</w:t>
            </w:r>
          </w:p>
        </w:tc>
        <w:tc>
          <w:tcPr>
            <w:tcW w:type="dxa" w:w="2493"/>
            <w:vAlign w:val="center"/>
          </w:tcPr>
          <w:p>
            <w:r>
              <w:rPr>
                <w:rFonts w:ascii="Times New Roman" w:hAnsi="Times New Roman"/>
                <w:sz w:val="16"/>
              </w:rPr>
              <w:t>Methods/Table 1/Results pp. 2–6</w:t>
            </w:r>
          </w:p>
        </w:tc>
      </w:tr>
      <w:tr>
        <w:trPr>
          <w:cantSplit/>
        </w:trPr>
        <w:tc>
          <w:tcPr>
            <w:tcW w:type="dxa" w:w="2493"/>
            <w:vAlign w:val="center"/>
          </w:tcPr>
          <w:p>
            <w:r>
              <w:rPr>
                <w:rFonts w:ascii="Times New Roman" w:hAnsi="Times New Roman"/>
                <w:sz w:val="16"/>
              </w:rPr>
              <w:t>W32</w:t>
            </w:r>
          </w:p>
        </w:tc>
        <w:tc>
          <w:tcPr>
            <w:tcW w:type="dxa" w:w="2493"/>
            <w:vAlign w:val="center"/>
          </w:tcPr>
          <w:p>
            <w:r>
              <w:rPr>
                <w:rFonts w:ascii="Times New Roman" w:hAnsi="Times New Roman"/>
                <w:sz w:val="16"/>
              </w:rPr>
              <w:t>Mixed consultation tasks; only the actionable rehabilitation subset was extracted. The total of 1,476 responses is not a prescription denominator.</w:t>
            </w:r>
          </w:p>
        </w:tc>
        <w:tc>
          <w:tcPr>
            <w:tcW w:type="dxa" w:w="2493"/>
            <w:vAlign w:val="center"/>
          </w:tcPr>
          <w:p>
            <w:r>
              <w:rPr>
                <w:rFonts w:ascii="Times New Roman" w:hAnsi="Times New Roman"/>
                <w:sz w:val="16"/>
              </w:rPr>
              <w:t>Output-safety evidence only; no human adverse-event inference.</w:t>
            </w:r>
          </w:p>
        </w:tc>
        <w:tc>
          <w:tcPr>
            <w:tcW w:type="dxa" w:w="2493"/>
            <w:vAlign w:val="center"/>
          </w:tcPr>
          <w:p>
            <w:r>
              <w:rPr>
                <w:rFonts w:ascii="Times New Roman" w:hAnsi="Times New Roman"/>
                <w:sz w:val="16"/>
              </w:rPr>
              <w:t>Methods/quality/readability/results pp. 3–18</w:t>
            </w:r>
          </w:p>
        </w:tc>
      </w:tr>
      <w:tr>
        <w:trPr>
          <w:cantSplit/>
        </w:trPr>
        <w:tc>
          <w:tcPr>
            <w:tcW w:type="dxa" w:w="2493"/>
            <w:vAlign w:val="center"/>
          </w:tcPr>
          <w:p>
            <w:r>
              <w:rPr>
                <w:rFonts w:ascii="Times New Roman" w:hAnsi="Times New Roman"/>
                <w:sz w:val="16"/>
              </w:rPr>
              <w:t>W33</w:t>
            </w:r>
          </w:p>
        </w:tc>
        <w:tc>
          <w:tcPr>
            <w:tcW w:type="dxa" w:w="2493"/>
            <w:vAlign w:val="center"/>
          </w:tcPr>
          <w:p>
            <w:r>
              <w:rPr>
                <w:rFonts w:ascii="Times New Roman" w:hAnsi="Times New Roman"/>
                <w:sz w:val="16"/>
              </w:rPr>
              <w:t>Compared LLM-generated exercise rehabilitation plans using data from people with stable angina; this is real-data output evaluation.</w:t>
            </w:r>
          </w:p>
        </w:tc>
        <w:tc>
          <w:tcPr>
            <w:tcW w:type="dxa" w:w="2493"/>
            <w:vAlign w:val="center"/>
          </w:tcPr>
          <w:p>
            <w:r>
              <w:rPr>
                <w:rFonts w:ascii="Times New Roman" w:hAnsi="Times New Roman"/>
                <w:sz w:val="16"/>
              </w:rPr>
              <w:t>Output quality and risk management; not human adverse events.</w:t>
            </w:r>
          </w:p>
        </w:tc>
        <w:tc>
          <w:tcPr>
            <w:tcW w:type="dxa" w:w="2493"/>
            <w:vAlign w:val="center"/>
          </w:tcPr>
          <w:p>
            <w:r>
              <w:rPr>
                <w:rFonts w:ascii="Times New Roman" w:hAnsi="Times New Roman"/>
                <w:sz w:val="16"/>
              </w:rPr>
              <w:t>Methods/Tables/Results pp. 1–9</w:t>
            </w:r>
          </w:p>
        </w:tc>
      </w:tr>
      <w:tr>
        <w:trPr>
          <w:cantSplit/>
        </w:trPr>
        <w:tc>
          <w:tcPr>
            <w:tcW w:type="dxa" w:w="2493"/>
            <w:vAlign w:val="center"/>
          </w:tcPr>
          <w:p>
            <w:r>
              <w:rPr>
                <w:rFonts w:ascii="Times New Roman" w:hAnsi="Times New Roman"/>
                <w:sz w:val="16"/>
              </w:rPr>
              <w:t>W34</w:t>
            </w:r>
          </w:p>
        </w:tc>
        <w:tc>
          <w:tcPr>
            <w:tcW w:type="dxa" w:w="2493"/>
            <w:vAlign w:val="center"/>
          </w:tcPr>
          <w:p>
            <w:r>
              <w:rPr>
                <w:rFonts w:ascii="Times New Roman" w:hAnsi="Times New Roman"/>
                <w:sz w:val="16"/>
              </w:rPr>
              <w:t>Multiple models generated structured marathon periodization plans, but health screening, individualization, and dynamic adjustment were limited.</w:t>
            </w:r>
          </w:p>
        </w:tc>
        <w:tc>
          <w:tcPr>
            <w:tcW w:type="dxa" w:w="2493"/>
            <w:vAlign w:val="center"/>
          </w:tcPr>
          <w:p>
            <w:r>
              <w:rPr>
                <w:rFonts w:ascii="Times New Roman" w:hAnsi="Times New Roman"/>
                <w:sz w:val="16"/>
              </w:rPr>
              <w:t>Output quality and potential loading risk; not human adverse events.</w:t>
            </w:r>
          </w:p>
        </w:tc>
        <w:tc>
          <w:tcPr>
            <w:tcW w:type="dxa" w:w="2493"/>
            <w:vAlign w:val="center"/>
          </w:tcPr>
          <w:p>
            <w:r>
              <w:rPr>
                <w:rFonts w:ascii="Times New Roman" w:hAnsi="Times New Roman"/>
                <w:sz w:val="16"/>
              </w:rPr>
              <w:t>Prompts/Tables 1–3/comparison pp. 3–13</w:t>
            </w:r>
          </w:p>
        </w:tc>
      </w:tr>
      <w:tr>
        <w:trPr>
          <w:cantSplit/>
        </w:trPr>
        <w:tc>
          <w:tcPr>
            <w:tcW w:type="dxa" w:w="2493"/>
            <w:vAlign w:val="center"/>
          </w:tcPr>
          <w:p>
            <w:r>
              <w:rPr>
                <w:rFonts w:ascii="Times New Roman" w:hAnsi="Times New Roman"/>
                <w:sz w:val="16"/>
              </w:rPr>
              <w:t>W35</w:t>
            </w:r>
          </w:p>
        </w:tc>
        <w:tc>
          <w:tcPr>
            <w:tcW w:type="dxa" w:w="2493"/>
            <w:vAlign w:val="center"/>
          </w:tcPr>
          <w:p>
            <w:r>
              <w:rPr>
                <w:rFonts w:ascii="Times New Roman" w:hAnsi="Times New Roman"/>
                <w:sz w:val="16"/>
              </w:rPr>
              <w:t>English outputs generally described progression, monitoring, and intradialytic exercise in greater detail; no comparable human-effect estimate was provided.</w:t>
            </w:r>
          </w:p>
        </w:tc>
        <w:tc>
          <w:tcPr>
            <w:tcW w:type="dxa" w:w="2493"/>
            <w:vAlign w:val="center"/>
          </w:tcPr>
          <w:p>
            <w:r>
              <w:rPr>
                <w:rFonts w:ascii="Times New Roman" w:hAnsi="Times New Roman"/>
                <w:sz w:val="16"/>
              </w:rPr>
              <w:t>Vascular access, contraindications, and symptom monitoring were evaluated as output-safety content.</w:t>
            </w:r>
          </w:p>
        </w:tc>
        <w:tc>
          <w:tcPr>
            <w:tcW w:type="dxa" w:w="2493"/>
            <w:vAlign w:val="center"/>
          </w:tcPr>
          <w:p>
            <w:r>
              <w:rPr>
                <w:rFonts w:ascii="Times New Roman" w:hAnsi="Times New Roman"/>
                <w:sz w:val="16"/>
              </w:rPr>
              <w:t>Methods/Results/Figures pp. 3–12</w:t>
            </w:r>
          </w:p>
        </w:tc>
      </w:tr>
      <w:tr>
        <w:trPr>
          <w:cantSplit/>
        </w:trPr>
        <w:tc>
          <w:tcPr>
            <w:tcW w:type="dxa" w:w="2493"/>
            <w:vAlign w:val="center"/>
          </w:tcPr>
          <w:p>
            <w:r>
              <w:rPr>
                <w:rFonts w:ascii="Times New Roman" w:hAnsi="Times New Roman"/>
                <w:sz w:val="16"/>
              </w:rPr>
              <w:t>W36</w:t>
            </w:r>
          </w:p>
        </w:tc>
        <w:tc>
          <w:tcPr>
            <w:tcW w:type="dxa" w:w="2493"/>
            <w:vAlign w:val="center"/>
          </w:tcPr>
          <w:p>
            <w:r>
              <w:rPr>
                <w:rFonts w:ascii="Times New Roman" w:hAnsi="Times New Roman"/>
                <w:sz w:val="16"/>
              </w:rPr>
              <w:t>PhysioAgent was evaluated for prescription generation and monitoring across 50 clinical scenarios and 200 simulated 30-day cycles; transfer of real logs did not establish human re-prescribing.</w:t>
            </w:r>
          </w:p>
        </w:tc>
        <w:tc>
          <w:tcPr>
            <w:tcW w:type="dxa" w:w="2493"/>
            <w:vAlign w:val="center"/>
          </w:tcPr>
          <w:p>
            <w:r>
              <w:rPr>
                <w:rFonts w:ascii="Times New Roman" w:hAnsi="Times New Roman"/>
                <w:sz w:val="16"/>
              </w:rPr>
              <w:t>Rule-based safety escalation and simulated monitoring; not human adverse events.</w:t>
            </w:r>
          </w:p>
        </w:tc>
        <w:tc>
          <w:tcPr>
            <w:tcW w:type="dxa" w:w="2493"/>
            <w:vAlign w:val="center"/>
          </w:tcPr>
          <w:p>
            <w:r>
              <w:rPr>
                <w:rFonts w:ascii="Times New Roman" w:hAnsi="Times New Roman"/>
                <w:sz w:val="16"/>
              </w:rPr>
              <w:t>Architecture/Datasets/Results/Ablation pp. 4–10</w:t>
            </w:r>
          </w:p>
        </w:tc>
      </w:tr>
    </w:tbl>
    <w:p>
      <w:pPr>
        <w:pStyle w:val="Heading2"/>
        <w:keepNext/>
      </w:pPr>
      <w:r>
        <w:rPr>
          <w:rFonts w:ascii="Times New Roman" w:hAnsi="Times New Roman"/>
          <w:sz w:val="22"/>
        </w:rPr>
        <w:t>Table 3. Human implementation evidence.</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val="true"/>
        </w:trPr>
        <w:tc>
          <w:tcPr>
            <w:tcW w:type="dxa" w:w="2493"/>
            <w:vAlign w:val="center"/>
          </w:tcPr>
          <w:p>
            <w:r>
              <w:rPr>
                <w:rFonts w:ascii="Times New Roman" w:hAnsi="Times New Roman"/>
                <w:sz w:val="16"/>
              </w:rPr>
              <w:t>Study ID</w:t>
            </w:r>
          </w:p>
        </w:tc>
        <w:tc>
          <w:tcPr>
            <w:tcW w:type="dxa" w:w="2493"/>
            <w:vAlign w:val="center"/>
          </w:tcPr>
          <w:p>
            <w:r>
              <w:rPr>
                <w:rFonts w:ascii="Times New Roman" w:hAnsi="Times New Roman"/>
                <w:sz w:val="16"/>
              </w:rPr>
              <w:t>Design</w:t>
            </w:r>
          </w:p>
        </w:tc>
        <w:tc>
          <w:tcPr>
            <w:tcW w:type="dxa" w:w="2493"/>
            <w:vAlign w:val="center"/>
          </w:tcPr>
          <w:p>
            <w:r>
              <w:rPr>
                <w:rFonts w:ascii="Times New Roman" w:hAnsi="Times New Roman"/>
                <w:sz w:val="16"/>
              </w:rPr>
              <w:t>Intervention and dose</w:t>
            </w:r>
          </w:p>
        </w:tc>
        <w:tc>
          <w:tcPr>
            <w:tcW w:type="dxa" w:w="2493"/>
            <w:vAlign w:val="center"/>
          </w:tcPr>
          <w:p>
            <w:r>
              <w:rPr>
                <w:rFonts w:ascii="Times New Roman" w:hAnsi="Times New Roman"/>
                <w:sz w:val="16"/>
              </w:rPr>
              <w:t>Outcome and original analysis / safety and limitations</w:t>
            </w:r>
          </w:p>
        </w:tc>
      </w:tr>
      <w:tr>
        <w:trPr>
          <w:cantSplit/>
        </w:trPr>
        <w:tc>
          <w:tcPr>
            <w:tcW w:type="dxa" w:w="2493"/>
            <w:vAlign w:val="center"/>
          </w:tcPr>
          <w:p>
            <w:r>
              <w:rPr>
                <w:rFonts w:ascii="Times New Roman" w:hAnsi="Times New Roman"/>
                <w:sz w:val="16"/>
              </w:rPr>
              <w:t>W17</w:t>
            </w:r>
          </w:p>
        </w:tc>
        <w:tc>
          <w:tcPr>
            <w:tcW w:type="dxa" w:w="2493"/>
            <w:vAlign w:val="center"/>
          </w:tcPr>
          <w:p>
            <w:r>
              <w:rPr>
                <w:rFonts w:ascii="Times New Roman" w:hAnsi="Times New Roman"/>
                <w:sz w:val="16"/>
              </w:rPr>
              <w:t>Controlled pre–post feasibility study with human implementation</w:t>
            </w:r>
          </w:p>
        </w:tc>
        <w:tc>
          <w:tcPr>
            <w:tcW w:type="dxa" w:w="2493"/>
            <w:vAlign w:val="center"/>
          </w:tcPr>
          <w:p>
            <w:r>
              <w:rPr>
                <w:rFonts w:ascii="Times New Roman" w:hAnsi="Times New Roman"/>
                <w:sz w:val="16"/>
              </w:rPr>
              <w:t>Four weeks; three sessions per week; 40 min per session.</w:t>
            </w:r>
          </w:p>
        </w:tc>
        <w:tc>
          <w:tcPr>
            <w:tcW w:type="dxa" w:w="2493"/>
            <w:vAlign w:val="center"/>
          </w:tcPr>
          <w:p>
            <w:r>
              <w:rPr>
                <w:rFonts w:ascii="Times New Roman" w:hAnsi="Times New Roman"/>
                <w:sz w:val="16"/>
              </w:rPr>
              <w:t>Intervention-group LTEQ increased from 6.69 to 34; adverse-event outcome not reported (NR).</w:t>
            </w:r>
          </w:p>
        </w:tc>
      </w:tr>
      <w:tr>
        <w:trPr>
          <w:cantSplit/>
        </w:trPr>
        <w:tc>
          <w:tcPr>
            <w:tcW w:type="dxa" w:w="2493"/>
            <w:vAlign w:val="center"/>
          </w:tcPr>
          <w:p>
            <w:r>
              <w:rPr>
                <w:rFonts w:ascii="Times New Roman" w:hAnsi="Times New Roman"/>
                <w:sz w:val="16"/>
              </w:rPr>
              <w:t>W26</w:t>
            </w:r>
          </w:p>
        </w:tc>
        <w:tc>
          <w:tcPr>
            <w:tcW w:type="dxa" w:w="2493"/>
            <w:vAlign w:val="center"/>
          </w:tcPr>
          <w:p>
            <w:r>
              <w:rPr>
                <w:rFonts w:ascii="Times New Roman" w:hAnsi="Times New Roman"/>
                <w:sz w:val="16"/>
              </w:rPr>
              <w:t>Pilot controlled human implementation study</w:t>
            </w:r>
          </w:p>
        </w:tc>
        <w:tc>
          <w:tcPr>
            <w:tcW w:type="dxa" w:w="2493"/>
            <w:vAlign w:val="center"/>
          </w:tcPr>
          <w:p>
            <w:r>
              <w:rPr>
                <w:rFonts w:ascii="Times New Roman" w:hAnsi="Times New Roman"/>
                <w:sz w:val="16"/>
              </w:rPr>
              <w:t>Eight weeks; six intervention and three control participants.</w:t>
            </w:r>
          </w:p>
        </w:tc>
        <w:tc>
          <w:tcPr>
            <w:tcW w:type="dxa" w:w="2493"/>
            <w:vAlign w:val="center"/>
          </w:tcPr>
          <w:p>
            <w:r>
              <w:rPr>
                <w:rFonts w:ascii="Times New Roman" w:hAnsi="Times New Roman"/>
                <w:sz w:val="16"/>
              </w:rPr>
              <w:t>Endpoint BMI 22.99 vs 24.46 kg/m² (P=0.020); post-knee-raise heart rate 128 vs 152 bpm (P=0.019); sit-to-stand 37 vs 32 repetitions (P=0.019). Very small sample; timing and impact of injury-related exclusion unclear; adverse events NR.</w:t>
            </w:r>
          </w:p>
        </w:tc>
      </w:tr>
      <w:tr>
        <w:trPr>
          <w:cantSplit/>
        </w:trPr>
        <w:tc>
          <w:tcPr>
            <w:tcW w:type="dxa" w:w="2493"/>
            <w:vAlign w:val="center"/>
          </w:tcPr>
          <w:p>
            <w:r>
              <w:rPr>
                <w:rFonts w:ascii="Times New Roman" w:hAnsi="Times New Roman"/>
                <w:sz w:val="16"/>
              </w:rPr>
              <w:t>W27</w:t>
            </w:r>
          </w:p>
        </w:tc>
        <w:tc>
          <w:tcPr>
            <w:tcW w:type="dxa" w:w="2493"/>
            <w:vAlign w:val="center"/>
          </w:tcPr>
          <w:p>
            <w:r>
              <w:rPr>
                <w:rFonts w:ascii="Times New Roman" w:hAnsi="Times New Roman"/>
                <w:sz w:val="16"/>
              </w:rPr>
              <w:t>Controlled human implementation study</w:t>
            </w:r>
          </w:p>
        </w:tc>
        <w:tc>
          <w:tcPr>
            <w:tcW w:type="dxa" w:w="2493"/>
            <w:vAlign w:val="center"/>
          </w:tcPr>
          <w:p>
            <w:r>
              <w:rPr>
                <w:rFonts w:ascii="Times New Roman" w:hAnsi="Times New Roman"/>
                <w:sz w:val="16"/>
              </w:rPr>
              <w:t>Twelve weeks; two groups of 10 men; three sessions per week; 90 min per session.</w:t>
            </w:r>
          </w:p>
        </w:tc>
        <w:tc>
          <w:tcPr>
            <w:tcW w:type="dxa" w:w="2493"/>
            <w:vAlign w:val="center"/>
          </w:tcPr>
          <w:p>
            <w:r>
              <w:rPr>
                <w:rFonts w:ascii="Times New Roman" w:hAnsi="Times New Roman"/>
                <w:sz w:val="16"/>
              </w:rPr>
              <w:t>GPT-group left-arm strength 20.31±3.80 to 22.99±4.05 kg (within-group P&lt;0.001). Outcomes were primarily within-group; support conditions differed; adverse events NR.</w:t>
            </w:r>
          </w:p>
        </w:tc>
      </w:tr>
    </w:tbl>
    <w:p>
      <w:pPr>
        <w:pStyle w:val="Heading2"/>
        <w:keepNext/>
      </w:pPr>
      <w:r>
        <w:rPr>
          <w:rFonts w:ascii="Times New Roman" w:hAnsi="Times New Roman"/>
          <w:sz w:val="22"/>
        </w:rPr>
        <w:t>Table 4. Structured appraisal evidence and confirmation status.</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val="true"/>
        </w:trPr>
        <w:tc>
          <w:tcPr>
            <w:tcW w:type="dxa" w:w="2493"/>
            <w:vAlign w:val="center"/>
          </w:tcPr>
          <w:p>
            <w:r>
              <w:rPr>
                <w:rFonts w:ascii="Times New Roman" w:hAnsi="Times New Roman"/>
                <w:sz w:val="16"/>
              </w:rPr>
              <w:t>Study ID / class</w:t>
            </w:r>
          </w:p>
        </w:tc>
        <w:tc>
          <w:tcPr>
            <w:tcW w:type="dxa" w:w="2493"/>
            <w:vAlign w:val="center"/>
          </w:tcPr>
          <w:p>
            <w:r>
              <w:rPr>
                <w:rFonts w:ascii="Times New Roman" w:hAnsi="Times New Roman"/>
                <w:sz w:val="16"/>
              </w:rPr>
              <w:t>Framework and target</w:t>
            </w:r>
          </w:p>
        </w:tc>
        <w:tc>
          <w:tcPr>
            <w:tcW w:type="dxa" w:w="2493"/>
            <w:vAlign w:val="center"/>
          </w:tcPr>
          <w:p>
            <w:r>
              <w:rPr>
                <w:rFonts w:ascii="Times New Roman" w:hAnsi="Times New Roman"/>
                <w:sz w:val="16"/>
              </w:rPr>
              <w:t>Evidence / AI-assisted appraisal</w:t>
            </w:r>
          </w:p>
        </w:tc>
        <w:tc>
          <w:tcPr>
            <w:tcW w:type="dxa" w:w="2493"/>
            <w:vAlign w:val="center"/>
          </w:tcPr>
          <w:p>
            <w:r>
              <w:rPr>
                <w:rFonts w:ascii="Times New Roman" w:hAnsi="Times New Roman"/>
                <w:sz w:val="16"/>
              </w:rPr>
              <w:t>Researcher confirmation status</w:t>
            </w:r>
          </w:p>
        </w:tc>
      </w:tr>
      <w:tr>
        <w:trPr>
          <w:cantSplit/>
        </w:trPr>
        <w:tc>
          <w:tcPr>
            <w:tcW w:type="dxa" w:w="2493"/>
            <w:vAlign w:val="center"/>
          </w:tcPr>
          <w:p>
            <w:r>
              <w:rPr>
                <w:rFonts w:ascii="Times New Roman" w:hAnsi="Times New Roman"/>
                <w:sz w:val="16"/>
              </w:rPr>
              <w:t>W01</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W02</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W03</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W04</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W05</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W06</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W07</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W08</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W09</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W10</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W11</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W12</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W13</w:t>
            </w:r>
          </w:p>
        </w:tc>
        <w:tc>
          <w:tcPr>
            <w:tcW w:type="dxa" w:w="2493"/>
            <w:vAlign w:val="center"/>
          </w:tcPr>
          <w:p>
            <w:r>
              <w:t>A/B / review-specific nine-domain output appraisal (not externally validated)</w:t>
            </w:r>
          </w:p>
        </w:tc>
        <w:tc>
          <w:tcPr>
            <w:tcW w:type="dxa" w:w="2493"/>
            <w:vAlign w:val="center"/>
          </w:tcPr>
          <w:p>
            <w:r>
              <w:t>Claude Sonnet 4.6 generated outputs and assisted classification; potential self-evaluation concern. Output safety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W14</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W15</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W16</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W17</w:t>
            </w:r>
          </w:p>
        </w:tc>
        <w:tc>
          <w:tcPr>
            <w:tcW w:type="dxa" w:w="2493"/>
            <w:vAlign w:val="center"/>
          </w:tcPr>
          <w:p>
            <w:r>
              <w:t>C / RoB 2; randomized allocation reported in the source study</w:t>
            </w:r>
          </w:p>
        </w:tc>
        <w:tc>
          <w:tcPr>
            <w:tcW w:type="dxa" w:w="2493"/>
            <w:vAlign w:val="center"/>
          </w:tcPr>
          <w:p>
            <w:r>
              <w:t>Five domain-level judgments with cited evidence; evaluates human implementation outcomes, not output safety.</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W18</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W20</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W21</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W22</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W23</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W24</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W25</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W26</w:t>
            </w:r>
          </w:p>
        </w:tc>
        <w:tc>
          <w:tcPr>
            <w:tcW w:type="dxa" w:w="2493"/>
            <w:vAlign w:val="center"/>
          </w:tcPr>
          <w:p>
            <w:r>
              <w:t>C / RoB 2; randomized allocation reported in the source study</w:t>
            </w:r>
          </w:p>
        </w:tc>
        <w:tc>
          <w:tcPr>
            <w:tcW w:type="dxa" w:w="2493"/>
            <w:vAlign w:val="center"/>
          </w:tcPr>
          <w:p>
            <w:r>
              <w:t>Five domain-level judgments with cited evidence; evaluates human implementation outcomes, not output safety.</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W27</w:t>
            </w:r>
          </w:p>
        </w:tc>
        <w:tc>
          <w:tcPr>
            <w:tcW w:type="dxa" w:w="2493"/>
            <w:vAlign w:val="center"/>
          </w:tcPr>
          <w:p>
            <w:r>
              <w:t>C / RoB 2; randomized allocation reported in the source study</w:t>
            </w:r>
          </w:p>
        </w:tc>
        <w:tc>
          <w:tcPr>
            <w:tcW w:type="dxa" w:w="2493"/>
            <w:vAlign w:val="center"/>
          </w:tcPr>
          <w:p>
            <w:r>
              <w:t>Five domain-level judgments with cited evidence; evaluates human implementation outcomes, not output safety.</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W28</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W29</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W30</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W31</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W32</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W33</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W34</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W35</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W36</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bl>
    <w:p>
      <w:pPr>
        <w:keepNext/>
      </w:pPr>
      <w:r>
        <w:rPr>
          <w:rFonts w:ascii="Times New Roman" w:hAnsi="Times New Roman"/>
          <w:sz w:val="22"/>
        </w:rPr>
        <w:t>Figure 3. Evidence classes and boundaries of inference.</w:t>
      </w:r>
      <w:r>
        <w:rPr>
          <w:rFonts w:ascii="Times New Roman" w:hAnsi="Times New Roman"/>
          <w:sz w:val="22"/>
        </w:rPr>
        <w:br/>
      </w:r>
    </w:p>
    <w:p>
      <w:pPr>
        <w:jc w:val="center"/>
      </w:pPr>
      <w:r>
        <w:drawing>
          <wp:inline xmlns:a="http://schemas.openxmlformats.org/drawingml/2006/main" xmlns:pic="http://schemas.openxmlformats.org/drawingml/2006/picture">
            <wp:extent cx="5806440" cy="3322418"/>
            <wp:docPr id="4" name="Picture 4"/>
            <wp:cNvGraphicFramePr>
              <a:graphicFrameLocks noChangeAspect="1"/>
            </wp:cNvGraphicFramePr>
            <a:graphic>
              <a:graphicData uri="http://schemas.openxmlformats.org/drawingml/2006/picture">
                <pic:pic>
                  <pic:nvPicPr>
                    <pic:cNvPr id="0" name="Figure_3_Evidence_Classes_and_Inference_Boundaries.png"/>
                    <pic:cNvPicPr/>
                  </pic:nvPicPr>
                  <pic:blipFill>
                    <a:blip r:embed="rId17"/>
                    <a:stretch>
                      <a:fillRect/>
                    </a:stretch>
                  </pic:blipFill>
                  <pic:spPr>
                    <a:xfrm>
                      <a:off x="0" y="0"/>
                      <a:ext cx="5806440" cy="3322418"/>
                    </a:xfrm>
                    <a:prstGeom prst="rect"/>
                  </pic:spPr>
                </pic:pic>
              </a:graphicData>
            </a:graphic>
          </wp:inline>
        </w:drawing>
      </w:r>
    </w:p>
    <w:p>
      <w:r>
        <w:rPr>
          <w:rFonts w:ascii="Times New Roman" w:hAnsi="Times New Roman"/>
          <w:sz w:val="22"/>
        </w:rPr>
      </w:r>
    </w:p>
    <w:p>
      <w:r>
        <w:rPr>
          <w:rFonts w:ascii="Times New Roman" w:hAnsi="Times New Roman"/>
          <w:sz w:val="22"/>
        </w:rPr>
        <w:t>Conceptual evidence map; it does not represent an effect size, risk-of-bias rating, or adverse-event incidence.</w:t>
      </w:r>
    </w:p>
    <w:p>
      <w:pPr>
        <w:pStyle w:val="Heading1"/>
      </w:pPr>
      <w:r>
        <w:rPr>
          <w:rFonts w:ascii="Times New Roman" w:hAnsi="Times New Roman"/>
          <w:sz w:val="22"/>
        </w:rPr>
        <w:t>Declarations—author confirmation required</w:t>
      </w:r>
    </w:p>
    <w:p>
      <w:pPr/>
      <w:r>
        <w:rPr>
          <w:rFonts w:ascii="Times New Roman" w:hAnsi="Times New Roman"/>
          <w:b/>
          <w:sz w:val="22"/>
        </w:rPr>
        <w:t xml:space="preserve">Data availability: </w:t>
      </w:r>
      <w:r>
        <w:rPr>
          <w:rFonts w:ascii="Times New Roman" w:hAnsi="Times New Roman"/>
          <w:sz w:val="22"/>
        </w:rPr>
        <w:t>PENDING: confirm whether the extracted study-level dataset, screening records, and appraisal workbook will be made publicly available and provide a repository link if applicable.</w:t>
      </w:r>
    </w:p>
    <w:p>
      <w:pPr/>
      <w:r>
        <w:rPr>
          <w:rFonts w:ascii="Times New Roman" w:hAnsi="Times New Roman"/>
          <w:b/>
          <w:sz w:val="22"/>
        </w:rPr>
        <w:t xml:space="preserve">Author contributions: </w:t>
      </w:r>
      <w:r>
        <w:rPr>
          <w:rFonts w:ascii="Times New Roman" w:hAnsi="Times New Roman"/>
          <w:sz w:val="22"/>
        </w:rPr>
        <w:t>PENDING: authors must confirm roles using the journal’s required taxonomy. No contribution statement is inferred from the supervisor field.</w:t>
      </w:r>
    </w:p>
    <w:p>
      <w:pPr/>
      <w:r>
        <w:rPr>
          <w:rFonts w:ascii="Times New Roman" w:hAnsi="Times New Roman"/>
          <w:b/>
          <w:sz w:val="22"/>
        </w:rPr>
        <w:t xml:space="preserve">Funding: </w:t>
      </w:r>
      <w:r>
        <w:rPr>
          <w:rFonts w:ascii="Times New Roman" w:hAnsi="Times New Roman"/>
          <w:sz w:val="22"/>
        </w:rPr>
        <w:t>PENDING: author confirmation required; no funding source was supplied in the audited project materials.</w:t>
      </w:r>
    </w:p>
    <w:p>
      <w:pPr/>
      <w:r>
        <w:rPr>
          <w:rFonts w:ascii="Times New Roman" w:hAnsi="Times New Roman"/>
          <w:b/>
          <w:sz w:val="22"/>
        </w:rPr>
        <w:t xml:space="preserve">Conflict of interest: </w:t>
      </w:r>
      <w:r>
        <w:rPr>
          <w:rFonts w:ascii="Times New Roman" w:hAnsi="Times New Roman"/>
          <w:sz w:val="22"/>
        </w:rPr>
        <w:t>PENDING: author confirmation required.</w:t>
      </w:r>
    </w:p>
    <w:p>
      <w:pPr/>
      <w:r>
        <w:rPr>
          <w:rFonts w:ascii="Times New Roman" w:hAnsi="Times New Roman"/>
          <w:b/>
          <w:sz w:val="22"/>
        </w:rPr>
        <w:t xml:space="preserve">Ethics statement: </w:t>
      </w:r>
      <w:r>
        <w:rPr>
          <w:rFonts w:ascii="Times New Roman" w:hAnsi="Times New Roman"/>
          <w:sz w:val="22"/>
        </w:rPr>
        <w:t>Not applicable to this review of published reports, subject to author and journal confirmation.</w:t>
      </w:r>
    </w:p>
    <w:p>
      <w:pPr/>
      <w:r>
        <w:rPr>
          <w:rFonts w:ascii="Times New Roman" w:hAnsi="Times New Roman"/>
          <w:b/>
          <w:sz w:val="22"/>
        </w:rPr>
        <w:t xml:space="preserve">Generative AI statement: </w:t>
      </w:r>
      <w:r>
        <w:rPr>
          <w:rFonts w:ascii="Times New Roman" w:hAnsi="Times New Roman"/>
          <w:sz w:val="22"/>
        </w:rPr>
        <w:t>AI tools assisted with record organization, evidence extraction, and language editing. The authors must confirm the exact tools, scope, and responsibility statement before submission.</w:t>
      </w:r>
    </w:p>
    <w:p>
      <w:pPr/>
      <w:r>
        <w:rPr>
          <w:rFonts w:ascii="Times New Roman" w:hAnsi="Times New Roman"/>
          <w:b/>
          <w:sz w:val="22"/>
        </w:rPr>
        <w:t xml:space="preserve">Supplementary material: </w:t>
      </w:r>
      <w:r>
        <w:rPr>
          <w:rFonts w:ascii="Times New Roman" w:hAnsi="Times New Roman"/>
          <w:sz w:val="22"/>
        </w:rPr>
        <w:t>Supplementary extraction and evidence files are prepared in the accompanying workbook; final journal file naming and upload requirements remain to be checked against current author instructions.</w:t>
      </w:r>
    </w:p>
    <w:p>
      <w:pPr>
        <w:pStyle w:val="Heading1"/>
      </w:pPr>
      <w:r>
        <w:t>References</w:t>
      </w:r>
    </w:p>
    <w:p>
      <w:r>
        <w:rPr>
          <w:rFonts w:ascii="Times New Roman" w:hAnsi="Times New Roman"/>
          <w:sz w:val="22"/>
        </w:rPr>
        <w:t>1. Page MJ, McKenzie JE, Bossuyt PM, Boutron I, Hoffmann TC, Mulrow CD, et al. The PRISMA 2020 statement: an updated guideline for reporting systematic reviews. BMJ. 2021;372:n71. doi:10.1136/bmj.n71.</w:t>
      </w:r>
    </w:p>
    <w:p>
      <w:r>
        <w:rPr>
          <w:rFonts w:ascii="Times New Roman" w:hAnsi="Times New Roman"/>
          <w:sz w:val="22"/>
        </w:rPr>
        <w:t>2. Rethlefsen ML, Kirtley S, Waffenschmidt S, Ayala AP, Moher D, Page MJ, et al. PRISMA-S: an extension to the PRISMA Statement for Reporting Literature Searches in Systematic Reviews. Syst Rev. 2021;10(1):39. doi:10.1186/s13643-020-01542-z.</w:t>
      </w:r>
    </w:p>
    <w:p>
      <w:r>
        <w:rPr>
          <w:rFonts w:ascii="Times New Roman" w:hAnsi="Times New Roman"/>
          <w:sz w:val="22"/>
        </w:rPr>
        <w:t>3. Campbell M, McKenzie JE, Sowden A, Katikireddi SV, Brennan SE, Ellis S, et al. Synthesis without meta-analysis (SWiM) in systematic reviews: reporting guideline. BMJ. 2020;368:l6890. doi:10.1136/bmj.l6890.</w:t>
      </w:r>
    </w:p>
    <w:p>
      <w:r>
        <w:rPr>
          <w:rFonts w:ascii="Times New Roman" w:hAnsi="Times New Roman"/>
          <w:sz w:val="22"/>
        </w:rPr>
        <w:t>4. Garber CE, Blissmer B, Deschenes MR, Franklin BA, Lamonte MJ, Lee IM, et al. Quantity and Quality of Exercise for Developing and Maintaining Cardiorespiratory, Musculoskeletal, and Neuromotor Fitness in Apparently Healthy Adults. Med Sci Sports Exerc. 2011;43(7):1334-1359. doi:10.1249/MSS.0b013e318213fefb.</w:t>
      </w:r>
    </w:p>
    <w:p>
      <w:r>
        <w:rPr>
          <w:rFonts w:ascii="Times New Roman" w:hAnsi="Times New Roman"/>
          <w:sz w:val="22"/>
        </w:rPr>
        <w:t>5. Dergaa I, Ben Saad H, El Omri A, Glenn J, Clark C, Washif J, et al. Using artificial intelligence for exercise prescription in personalised health promotion: A critical evaluation of OpenAI’s GPT-4 model. Biol Sport. 2024;41(2):221-241. doi:10.5114/biolsport.2024.133661.</w:t>
      </w:r>
    </w:p>
    <w:p>
      <w:r>
        <w:rPr>
          <w:rFonts w:ascii="Times New Roman" w:hAnsi="Times New Roman"/>
          <w:sz w:val="22"/>
        </w:rPr>
        <w:t>6. Havers T, Jelonnek C, Masur L, Isenmann E, Sperlich B, Geisler S, et al. A professional assessment of training plans for muscle hypertrophy and maximal strength developed by generative artificial intelligence. Biol Sport. 2025;42(4):353-380. doi:10.5114/biolsport.2026.152350.</w:t>
      </w:r>
    </w:p>
    <w:p>
      <w:r>
        <w:rPr>
          <w:rFonts w:ascii="Times New Roman" w:hAnsi="Times New Roman"/>
          <w:sz w:val="22"/>
        </w:rPr>
        <w:t>7. He Z, Wang J, Zhang B, Li Y. Knowledge-grounded large language model for personalized sports training plan generation. Sci Rep. 2026;16(1):6793. doi:10.1038/s41598-026-37075-z.</w:t>
      </w:r>
    </w:p>
    <w:p>
      <w:r>
        <w:rPr>
          <w:rFonts w:ascii="Times New Roman" w:hAnsi="Times New Roman"/>
          <w:sz w:val="22"/>
        </w:rPr>
        <w:t>8. Washif J, Pagaduan J, James C, Dergaa I, Beaven C. Artificial intelligence in sport: Exploring the potential of using ChatGPT in resistance training prescription. Biol Sport. 2024;41(2):209-220. doi:10.5114/biolsport.2024.132987.</w:t>
      </w:r>
    </w:p>
    <w:p>
      <w:r>
        <w:rPr>
          <w:rFonts w:ascii="Times New Roman" w:hAnsi="Times New Roman"/>
          <w:sz w:val="22"/>
        </w:rPr>
        <w:t>9. Havers T, Masur L, Isenmann E, Geisler S, Zinner C, Sperlich B, et al. Reproducibility and quality of hypertrophy-related training plans generated by GPT-4 and Google Gemini as evaluated by coaching experts. Biol Sport. 2025;42(2):289-329. doi:10.5114/biolsport.2025.145911.</w:t>
      </w:r>
    </w:p>
    <w:p>
      <w:r>
        <w:rPr>
          <w:rFonts w:ascii="Times New Roman" w:hAnsi="Times New Roman"/>
          <w:sz w:val="22"/>
        </w:rPr>
        <w:t>10. Düking P, Sperlich B, Voigt L, van Hooren B, Zanini M, Zinner C. ChatGPT Generated Training Plans for Runners are not Rated Optimal by Coaching Experts, but Increase in Quality with Additional Input Information. J Sports Sci Med. 2024;23:56-72. doi:10.52082/jssm.2024.56.</w:t>
      </w:r>
    </w:p>
    <w:p>
      <w:r>
        <w:rPr>
          <w:rFonts w:ascii="Times New Roman" w:hAnsi="Times New Roman"/>
          <w:sz w:val="22"/>
        </w:rPr>
        <w:t>11. Feng H, Wang X. Comparative performance of four large language models in generating evidence-based exercise prescriptions using FITT-VP framework. Front. Physiol. 2026;17:1846567. doi:10.3389/fphys.2026.1846567.</w:t>
      </w:r>
    </w:p>
    <w:p>
      <w:r>
        <w:rPr>
          <w:rFonts w:ascii="Times New Roman" w:hAnsi="Times New Roman"/>
          <w:sz w:val="22"/>
        </w:rPr>
        <w:t>12. Aydemir U. ChatGPT-Delivered Physical Activity Intervention for Children With Autism Spectrum Disorder: Pre-Post Feasibility Study. JMIR Hum Factors. 2025;12:e71119. doi:10.2196/71119.</w:t>
      </w:r>
    </w:p>
    <w:p>
      <w:r>
        <w:rPr>
          <w:rFonts w:ascii="Times New Roman" w:hAnsi="Times New Roman"/>
          <w:sz w:val="22"/>
        </w:rPr>
        <w:t>13. Zhao T, Peng Y, Chen Z, Wang X. Physiological relevance and generation-level stability of artificial intelligence-generated race-day warm-up and cool-down plans for sprint swimming: an expert-rated comparison of four large language models. Front. Physiol. 2026;17:1923231. doi:10.3389/fphys.2026.1923231.</w:t>
      </w:r>
    </w:p>
    <w:p>
      <w:r>
        <w:rPr>
          <w:rFonts w:ascii="Times New Roman" w:hAnsi="Times New Roman"/>
          <w:sz w:val="22"/>
        </w:rPr>
        <w:t>14. Philuek P, Kusump S, Sathianpoonsook T, Jansupom C, Sawanyawisuth P, Sawanyawisuth K, et al. The effects of chat GPT generated exercise program in healthy overweight young adults: A pilot study. J Hum Sport Exerc. 2025;20:169-179. doi:10.55860/1epqgp77.</w:t>
      </w:r>
    </w:p>
    <w:p>
      <w:r>
        <w:rPr>
          <w:rFonts w:ascii="Times New Roman" w:hAnsi="Times New Roman"/>
          <w:sz w:val="22"/>
        </w:rPr>
        <w:t>15. Genç A, Aydin R, Canuzakov K, Abdurrahmanova D, Gürcan HH, Dere G, et al. Digital coaches: an alternative to expert coaches for men's fitness goals. Phys Act Rev. 2025;13(2):35-44. doi:10.16926/par.2025.13.18.</w:t>
      </w:r>
    </w:p>
    <w:p>
      <w:r>
        <w:rPr>
          <w:rFonts w:ascii="Times New Roman" w:hAnsi="Times New Roman"/>
          <w:sz w:val="22"/>
        </w:rPr>
        <w:t>16. Shin D, Hsieh G, Kim YH. PlanFitting: Personalized Exercise Planning with Large Language Model-driven Conversational Agent. In: Proceedings of the 7th ACM Conference on Conversational User Interfaces (CUI 2025). 2025:1-19. doi:10.1145/3719160.3736607.</w:t>
      </w:r>
    </w:p>
    <w:p>
      <w:r>
        <w:rPr>
          <w:rFonts w:ascii="Times New Roman" w:hAnsi="Times New Roman"/>
          <w:sz w:val="22"/>
        </w:rPr>
        <w:t>17. Schütze K, Shehatha R, Beer K, Needham M, Smith T, Bagg M, et al. Evaluating ChatGPT’s advice and recommendations regarding exercise for people with inclusion body myositis. Neuromuscular Disorders. 2026;62:106418. doi:10.1016/j.nmd.2026.106418.</w:t>
      </w:r>
    </w:p>
    <w:p>
      <w:r>
        <w:rPr>
          <w:rFonts w:ascii="Times New Roman" w:hAnsi="Times New Roman"/>
          <w:sz w:val="22"/>
        </w:rPr>
        <w:t>18. Bezruk V, Ivanov D, Ivanchuk M, Shkrobanets I, Makarova O, Rynzhuk L, et al. Impact of Query Language on the Structure and Guideline Alignment of AI-Generated Rehabilitation Programs in Chronic Kidney Disease. J Clin Med. 2026;15(11):4218. doi:10.3390/jcm15114218.</w:t>
      </w:r>
    </w:p>
    <w:p>
      <w:r>
        <w:rPr>
          <w:rFonts w:ascii="Times New Roman" w:hAnsi="Times New Roman"/>
          <w:sz w:val="22"/>
        </w:rPr>
        <w:t>19. Sterne JAC, Savović J, Page MJ, et al. RoB 2: a revised tool for assessing risk of bias in randomised trials. BMJ. 2019;366:l4898. doi:10.1136/bmj.l4898.</w:t>
      </w:r>
    </w:p>
    <w:p>
      <w:r>
        <w:rPr>
          <w:rFonts w:ascii="Times New Roman" w:hAnsi="Times New Roman"/>
          <w:sz w:val="22"/>
        </w:rPr>
        <w:t>20. Risk of Bias Tools. ROBINS-I Version 2. Updated November 20, 2025. https://www.riskofbias.info/welcome/robins-i-v2.</w:t>
      </w:r>
    </w:p>
    <w:p>
      <w:r>
        <w:rPr>
          <w:rFonts w:ascii="Times New Roman" w:hAnsi="Times New Roman"/>
          <w:sz w:val="22"/>
        </w:rPr>
        <w:t>21. JBI. Critical appraisal tools. https://jbi.global/critical-appraisal-tools.</w:t>
      </w:r>
    </w:p>
    <w:p>
      <w:r>
        <w:rPr>
          <w:rFonts w:ascii="Times New Roman" w:hAnsi="Times New Roman"/>
          <w:sz w:val="22"/>
        </w:rPr>
        <w:t>22. Wang M, Chen L, Yin M, Zhang B, et al. WMRE2030: integrating wearable devices, multi-omics, and artificial intelligence–driven real-time feedback into a daily-scale closed-loop framework for a new era of precision exercise. Front Physiol. 2026;17:1883295. doi:10.3389/fphys.2026.1883295.</w:t>
      </w:r>
    </w:p>
    <w:p>
      <w:r>
        <w:rPr>
          <w:rFonts w:ascii="Times New Roman" w:hAnsi="Times New Roman"/>
          <w:sz w:val="22"/>
        </w:rPr>
        <w:t>23. Lee K. Cross-model consistency of AI-generated exercise prescriptions: A repeated generation study across three large language models. International Journal of Medical Informatics. 2026; article 106594. doi:10.1016/j.ijmedinf.2026.106594.</w:t>
      </w:r>
    </w:p>
    <w:p>
      <w:pPr>
        <w:pStyle w:val="Heading1"/>
      </w:pPr>
      <w:r>
        <w:t>Appendix: Reports for the 35-study author-designated set (journal formatting to be confirmed)</w:t>
      </w:r>
    </w:p>
    <w:p>
      <w:r>
        <w:rPr>
          <w:rFonts w:ascii="Times New Roman" w:hAnsi="Times New Roman"/>
          <w:sz w:val="22"/>
        </w:rPr>
        <w:t>W01. Dergaa I; Ben Saad H; El Omri A; Glenn J; Clark C; Washif J; et al. (2024). Using artificial intelligence for exercise prescription in personalised health promotion: A critical evaluation of OpenAI’s GPT-4 model. DOI: 10.5114/biolsport.2024.133661.</w:t>
      </w:r>
    </w:p>
    <w:p>
      <w:r>
        <w:rPr>
          <w:rFonts w:ascii="Times New Roman" w:hAnsi="Times New Roman"/>
          <w:sz w:val="22"/>
        </w:rPr>
        <w:t>W02. Havers T; Jelonnek C; Masur L; Isenmann E; Sperlich B; Geisler S; et al. (2025). A professional assessment of training plans for muscle hypertrophy and maximal strength developed by generative artificial intelligence. DOI: 10.5114/biolsport.2026.152350.</w:t>
      </w:r>
    </w:p>
    <w:p>
      <w:r>
        <w:rPr>
          <w:rFonts w:ascii="Times New Roman" w:hAnsi="Times New Roman"/>
          <w:sz w:val="22"/>
        </w:rPr>
        <w:t>W03. He Z; Wang J; Zhang B; Li Y. (2026). Knowledge-grounded large language model for personalized sports training plan generation. DOI: 10.1038/s41598-026-37075-z.</w:t>
      </w:r>
    </w:p>
    <w:p>
      <w:r>
        <w:rPr>
          <w:rFonts w:ascii="Times New Roman" w:hAnsi="Times New Roman"/>
          <w:sz w:val="22"/>
        </w:rPr>
        <w:t>W04. Washif J; Pagaduan J; James C; Dergaa I; Beaven C. (2024). Artificial intelligence in sport: Exploring the potential of using ChatGPT in resistance training prescription. DOI: 10.5114/biolsport.2024.132987.</w:t>
      </w:r>
    </w:p>
    <w:p>
      <w:r>
        <w:rPr>
          <w:rFonts w:ascii="Times New Roman" w:hAnsi="Times New Roman"/>
          <w:sz w:val="22"/>
        </w:rPr>
        <w:t>W05. Havers T; Masur L; Isenmann E; Geisler S; Zinner C; Sperlich B; et al. (2025). Reproducibility and quality of hypertrophy-related training plans generated by GPT-4 and Google Gemini as evaluated by coaching experts. DOI: 10.5114/biolsport.2025.145911.</w:t>
      </w:r>
    </w:p>
    <w:p>
      <w:r>
        <w:rPr>
          <w:rFonts w:ascii="Times New Roman" w:hAnsi="Times New Roman"/>
          <w:sz w:val="22"/>
        </w:rPr>
        <w:t>W06. Düking P; Sperlich B; Voigt L; Hooren BV; Zanini M; Zinner C. (2024). ChatGPT Generated Training Plans for Runners are not Rated Optimal by Coaching Experts, but Increase in Quality with Additional Input Information. DOI: 10.52082/jssm.2024.56.</w:t>
      </w:r>
    </w:p>
    <w:p>
      <w:r>
        <w:rPr>
          <w:rFonts w:ascii="Times New Roman" w:hAnsi="Times New Roman"/>
          <w:sz w:val="22"/>
        </w:rPr>
        <w:t>W07. Feng H; Wang X. (2026). Comparative performance of four large language models in generating evidence-based exercise prescriptions using FITT-VP framework. DOI: 10.3389/fphys.2026.1846567.</w:t>
      </w:r>
    </w:p>
    <w:p>
      <w:r>
        <w:rPr>
          <w:rFonts w:ascii="Times New Roman" w:hAnsi="Times New Roman"/>
          <w:sz w:val="22"/>
        </w:rPr>
        <w:t>W08. Perrero L; Gardalini M; Bolgeo T; Valorio P; Malfitano C; De Michelis V. (2026). Evaluation of AI-generated exercise prescriptions for diverse cardiac conditions in rehabilitation: a simulation study using the DeepSeek model. DOI: 10.3389/fresc.2026.1844420.</w:t>
      </w:r>
    </w:p>
    <w:p>
      <w:r>
        <w:rPr>
          <w:rFonts w:ascii="Times New Roman" w:hAnsi="Times New Roman"/>
          <w:sz w:val="22"/>
        </w:rPr>
        <w:t>W09. Genç A; Aydın GR; Kasap M; Özkan A; Rakhymzhanov A; Gürcan HH; et al. (2026). Comparative evaluation of ChatGPT versions in training program design: scientific approach, accuracy, and practical applicability. DOI: 10.1186/s13102-025-01409-7.</w:t>
      </w:r>
    </w:p>
    <w:p>
      <w:r>
        <w:rPr>
          <w:rFonts w:ascii="Times New Roman" w:hAnsi="Times New Roman"/>
          <w:sz w:val="22"/>
        </w:rPr>
        <w:t>W10. Akrimi S; Schwensfeier L; Düking P; Kreutz T; Brinkmann C. (2025). ChatGPT-4o-Generated Exercise Plans for Patients with Type 2 Diabetes Mellitus—Assessment of Their Safety and Other Quality Criteria by Coaching Experts. DOI: 10.3390/sports13040092.</w:t>
      </w:r>
    </w:p>
    <w:p>
      <w:r>
        <w:rPr>
          <w:rFonts w:ascii="Times New Roman" w:hAnsi="Times New Roman"/>
          <w:sz w:val="22"/>
        </w:rPr>
        <w:t>W11. Xu Y; Liu Q; Pang J; Zeng C; Ma X; Li P; et al. (2024). Assessment of Personalized Exercise Prescriptions Issued by ChatGPT 4.0 and Intelligent Health Promotion Systems for Patients with Hypertension Comorbidities Based on the Transtheoretical Model: A Comparative Analysis. DOI: 10.2147/JMDH.S477452.</w:t>
      </w:r>
    </w:p>
    <w:p>
      <w:r>
        <w:rPr>
          <w:rFonts w:ascii="Times New Roman" w:hAnsi="Times New Roman"/>
          <w:sz w:val="22"/>
        </w:rPr>
        <w:t>W12. Wachholz F; Manno S; Schlachter D; Gamper N; Schnitzer M. (2025). Acceptance and trust in AI-generated exercise plans among recreational athletes and quality evaluation by experienced coaches: a pilot study. DOI: 10.1186/s13104-025-07172-9.</w:t>
      </w:r>
    </w:p>
    <w:p>
      <w:r>
        <w:rPr>
          <w:rFonts w:ascii="Times New Roman" w:hAnsi="Times New Roman"/>
          <w:sz w:val="22"/>
        </w:rPr>
        <w:t>W13. Lee K. (2026). Cross-model consistency of AI-generated exercise prescriptions: A repeated generation study across three large language models. DOI: 10.1016/j.ijmedinf.2026.106594.</w:t>
      </w:r>
    </w:p>
    <w:p>
      <w:r>
        <w:rPr>
          <w:rFonts w:ascii="Times New Roman" w:hAnsi="Times New Roman"/>
          <w:sz w:val="22"/>
        </w:rPr>
        <w:t>W14. Sortino M; Trovato B; Chiaramonte R; Carrera A; Sapienza M; Roggio F; et al. (2026). The Role of Artificial Intelligence and Professional Expertise in Adapted Physical Activity Prescription for Orthopedic Rehabilitation. DOI: 10.3390/jfmk11010113.</w:t>
      </w:r>
    </w:p>
    <w:p>
      <w:r>
        <w:rPr>
          <w:rFonts w:ascii="Times New Roman" w:hAnsi="Times New Roman"/>
          <w:sz w:val="22"/>
        </w:rPr>
        <w:t>W15. Choi M; Park J; Lee M; Beom J; Jung SY; Lee K. (2026). AI-Generated Exercise Prescriptions for At-Risk Populations: Safety and Feasibility of a Large Language Model Assessed by Expert Evaluation. DOI: 10.3390/jcm15062457.</w:t>
      </w:r>
    </w:p>
    <w:p>
      <w:r>
        <w:rPr>
          <w:rFonts w:ascii="Times New Roman" w:hAnsi="Times New Roman"/>
          <w:sz w:val="22"/>
        </w:rPr>
        <w:t>W16. Cheng Q; Lou W; Mou G; Liu Y. (2026). Evaluating AI in postoperative rehabilitation of axillary web syndrome after breast cancer surgery: ChatGPT vs DeepSeek. DOI: 10.1080/01443615.2026.2695784.</w:t>
      </w:r>
    </w:p>
    <w:p>
      <w:r>
        <w:rPr>
          <w:rFonts w:ascii="Times New Roman" w:hAnsi="Times New Roman"/>
          <w:sz w:val="22"/>
        </w:rPr>
        <w:t>W17. Aydemir U. (2025). ChatGPT-Delivered Physical Activity Intervention for Children With Autism Spectrum Disorder: Pre-Post Feasibility Study. DOI: 10.2196/71119.</w:t>
      </w:r>
    </w:p>
    <w:p>
      <w:r>
        <w:rPr>
          <w:rFonts w:ascii="Times New Roman" w:hAnsi="Times New Roman"/>
          <w:sz w:val="22"/>
        </w:rPr>
        <w:t>W18. Yang Z; Zhang X; Li H; Ye J. (2026). More details, less variability? A crossover design study on the impact of information granularity on ChatGPT’s training program stability. DOI: 10.5114/biolsport.2026.154148.</w:t>
      </w:r>
    </w:p>
    <w:p>
      <w:r>
        <w:rPr>
          <w:rFonts w:ascii="Times New Roman" w:hAnsi="Times New Roman"/>
          <w:sz w:val="22"/>
        </w:rPr>
        <w:t>W20. Cali A; Yorukoglu ME; Acar G; Safran E. (2026). ChatGPT-generated rehabilitation programs in sports physiotherapy: an expert evaluation and a mixed-methods study of clinical applicability. DOI: 10.3389/fmed.2026.1935702.</w:t>
      </w:r>
    </w:p>
    <w:p>
      <w:r>
        <w:rPr>
          <w:rFonts w:ascii="Times New Roman" w:hAnsi="Times New Roman"/>
          <w:sz w:val="22"/>
        </w:rPr>
        <w:t>W21. Zhao T; Peng Y; Chen Z; Wang X. (2026). Physiological relevance and generation-level stability of artificial intelligence-generated race-day warm-up and cool-down plans for sprint swimming: an expert-rated comparison of four large language models. DOI: 10.3389/fphys.2026.1923231.</w:t>
      </w:r>
    </w:p>
    <w:p>
      <w:r>
        <w:rPr>
          <w:rFonts w:ascii="Times New Roman" w:hAnsi="Times New Roman"/>
          <w:sz w:val="22"/>
        </w:rPr>
        <w:t>W22. Zaleski AL; Berkowsky R; Craig KJT; Pescatello LS. (2024). Comprehensiveness, Accuracy, and Readability of Exercise Recommendations Provided by an AI-Based Chatbot: Mixed Methods Study. DOI: 10.2196/51308.</w:t>
      </w:r>
    </w:p>
    <w:p>
      <w:r>
        <w:rPr>
          <w:rFonts w:ascii="Times New Roman" w:hAnsi="Times New Roman"/>
          <w:sz w:val="22"/>
        </w:rPr>
        <w:t>W23. Li G; Li H; Su Y; Li Y; Jiang S; Zhang G. (2025). GPT-4 as a virtual fitness coach: a case study assessing its effectiveness in providing weight loss and fitness guidance. DOI: 10.1186/s12889-025-22739-8.</w:t>
      </w:r>
    </w:p>
    <w:p>
      <w:r>
        <w:rPr>
          <w:rFonts w:ascii="Times New Roman" w:hAnsi="Times New Roman"/>
          <w:sz w:val="22"/>
        </w:rPr>
        <w:t>W24. Gürses ÖA; Özüdoğru A; Tuncay F; Karartı C. (2025). Artificial intelligence exercise recommendations in knee osteoarthritis rehabilitation: ChatGPT-4o and Gemini Advanced example. DOI: 10.54005/geneltip.1634118.</w:t>
      </w:r>
    </w:p>
    <w:p>
      <w:r>
        <w:rPr>
          <w:rFonts w:ascii="Times New Roman" w:hAnsi="Times New Roman"/>
          <w:sz w:val="22"/>
        </w:rPr>
        <w:t>W25. Onan D; Arıkan H; Can İ; Güven Ş; Işıkay L; Ozge A. (2025). Examining the ability of artificial intelligence with ChatGPT-4.0 to create an exercise program: Case scenario examples “lumbar disc herniation, chronic migraine, and urge urinary incontinence”. DOI: 10.31459/turkjkin.1617953.</w:t>
      </w:r>
    </w:p>
    <w:p>
      <w:r>
        <w:rPr>
          <w:rFonts w:ascii="Times New Roman" w:hAnsi="Times New Roman"/>
          <w:sz w:val="22"/>
        </w:rPr>
        <w:t>W26. Philuek P; Kusump S; Sathianpoonsook T; Jansupom C; Sawanyawisuth P; Sawanyawisuth K; et al. (2025). The effects of chat GPT generated exercise program in healthy overweight young adults: A pilot study. DOI: 10.55860/1epqgp77.</w:t>
      </w:r>
    </w:p>
    <w:p>
      <w:r>
        <w:rPr>
          <w:rFonts w:ascii="Times New Roman" w:hAnsi="Times New Roman"/>
          <w:sz w:val="22"/>
        </w:rPr>
        <w:t>W27. Genç A; Aydin R; Canuzakov K; Abdurrahmanova D; Gürcan HH; Dere G; et al. (2025). Digital coaches: an alternative to expert coaches for men’s fitness goals. DOI: 10.16926/par.2025.13.18.</w:t>
      </w:r>
    </w:p>
    <w:p>
      <w:r>
        <w:rPr>
          <w:rFonts w:ascii="Times New Roman" w:hAnsi="Times New Roman"/>
          <w:sz w:val="22"/>
        </w:rPr>
        <w:t>W28. Enichen EJ; Young CC; Frates EP. (2025). The Potential of AI to Create Personalized Exercise Plans. DOI: 10.1177/15248399251394695.</w:t>
      </w:r>
    </w:p>
    <w:p>
      <w:r>
        <w:rPr>
          <w:rFonts w:ascii="Times New Roman" w:hAnsi="Times New Roman"/>
          <w:sz w:val="22"/>
        </w:rPr>
        <w:t>W29. Shin D; Hsieh G; Kim YH. (2025). PlanFitting: Personalized Exercise Planning with Large Language Model-driven Conversational Agent. DOI: 10.1145/3719160.3736607.</w:t>
      </w:r>
    </w:p>
    <w:p>
      <w:r>
        <w:rPr>
          <w:rFonts w:ascii="Times New Roman" w:hAnsi="Times New Roman"/>
          <w:sz w:val="22"/>
        </w:rPr>
        <w:t>W30. Yang J; Qin S; Ren D. (2026). Artificial intelligence coaches on the sidelines: Evaluating readability and quality of soccer training plans from six generative models. DOI: 10.1177/17479541251369593.</w:t>
      </w:r>
    </w:p>
    <w:p>
      <w:r>
        <w:rPr>
          <w:rFonts w:ascii="Times New Roman" w:hAnsi="Times New Roman"/>
          <w:sz w:val="22"/>
        </w:rPr>
        <w:t>W31. Schütze K; Shehatha R; Beer K; Needham M; Smith T; Bagg M; et al. (2026). Evaluating ChatGPT’s advice and recommendations regarding exercise for people with inclusion body myositis. DOI: 10.1016/j.nmd.2026.106418.</w:t>
      </w:r>
    </w:p>
    <w:p>
      <w:r>
        <w:rPr>
          <w:rFonts w:ascii="Times New Roman" w:hAnsi="Times New Roman"/>
          <w:sz w:val="22"/>
        </w:rPr>
        <w:t>W32. Fu Y; Li H; You M; Wang L; Liu W; Zhou K; et al. (2026). Evaluation of Large Language Models in Generating Physical Exercise Rehabilitation Programs for Musculoskeletal Disorders Across Multiple Clinical Scenarios. DOI: 10.3390/healthcare14152389.</w:t>
      </w:r>
    </w:p>
    <w:p>
      <w:r>
        <w:rPr>
          <w:rFonts w:ascii="Times New Roman" w:hAnsi="Times New Roman"/>
          <w:sz w:val="22"/>
        </w:rPr>
        <w:t>W33. Hüzmeli İ; Akkuş O. (2026). Usability of Large Language Models for Developing Exercise-Based Rehabilitation Programs in Patients With Stable Angina. DOI: 10.1155/ijcp/1434301.</w:t>
      </w:r>
    </w:p>
    <w:p>
      <w:r>
        <w:rPr>
          <w:rFonts w:ascii="Times New Roman" w:hAnsi="Times New Roman"/>
          <w:sz w:val="22"/>
        </w:rPr>
        <w:t>W34. Montaruli G; Nikolaidis PT; Racil G; Maffulli N; Migliaccio GM; Padulo J. (2026). Artificial intelligence–generated marathon training programs: reliable tools in exercise prescription for athletic performance?. DOI: 10.1093/bmb/ldag010.</w:t>
      </w:r>
    </w:p>
    <w:p>
      <w:r>
        <w:rPr>
          <w:rFonts w:ascii="Times New Roman" w:hAnsi="Times New Roman"/>
          <w:sz w:val="22"/>
        </w:rPr>
        <w:t>W35. Bezruk V; Ivanov D; Ivanchuk M; Shkrobanets I; Makarova O; Rynzhuk L; et al. (2026). Impact of Query Language on the Structure and Guideline Alignment of AI-Generated Rehabilitation Programs in Chronic Kidney Disease. DOI: 10.3390/jcm15114218.</w:t>
      </w:r>
    </w:p>
    <w:p>
      <w:r>
        <w:rPr>
          <w:rFonts w:ascii="Times New Roman" w:hAnsi="Times New Roman"/>
          <w:sz w:val="22"/>
        </w:rPr>
        <w:t>W36. Rezaei H; Rabhi F; Beheshti A; Behnia A. (2026). PhysioAgent: A Multi-Agent AI Framework for Personalised Exercise Prescription and Longitudinal Adherence Monitoring in Physiotherapy. DOI: 10.1109/ICDH72779.2026.00045.</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Quality, and Applicability of Large Language Model–Generated Exercise Prescriptions: A Systematic Review</dc:title>
  <dc:subject>English author-review manuscript</dc:subject>
  <dc:creator>Xinyun Lü</dc:creator>
  <cp:keywords>large language models; exercise prescription; systematic review; safety; output quality; reproducibility</cp:keywords>
  <dc:description>2026-10-25：同步35项最终纳入、303条研究者审核质量评价及PRISMA审计状态。</dc:description>
  <cp:lastModifiedBy/>
  <cp:revision>1</cp:revision>
  <dcterms:created xsi:type="dcterms:W3CDTF">2013-12-23T23:15:00Z</dcterms:created>
  <dcterms:modified xsi:type="dcterms:W3CDTF">2013-12-23T23:15:00Z</dcterms:modified>
  <cp:category/>
</cp:coreProperties>
</file>