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Submission requirements and only remaining items</w:t>
      </w:r>
    </w:p>
    <w:p>
      <w:r>
        <w:t>Project: Systematic review of large language model–generated exercise prescriptions | Status checked 27 October 2026</w:t>
      </w:r>
    </w:p>
    <w:p>
      <w:pPr>
        <w:pStyle w:val="Heading1"/>
      </w:pPr>
      <w:r>
        <w:t>Evidence states now recorded</w:t>
      </w:r>
    </w:p>
    <w:p>
      <w:pPr>
        <w:pStyle w:val="ListBullet"/>
      </w:pPr>
      <w:r>
        <w:t>Screening: all 755 rows now have a current or recovered decision: 533 exclusions and 222 reports sought for full text. MAIN-0271, MAIN-0282, and MAIN-0290 were excluded by explicit author confirmation on 27 October 2026; these are current-turn decisions, not backdated historical decisions.</w:t>
      </w:r>
    </w:p>
    <w:p>
      <w:pPr>
        <w:pStyle w:val="ListBullet"/>
      </w:pPr>
      <w:r>
        <w:t>The 303 quality-appraisal judgments (288 Class A/B; 15 Class C) are synchronized from a source marked researcher-reviewed-confirmed on 25 October 2026. Reviewer identity is NR. The three Class C reports describe random allocation, supporting use of RoB 2. No independent second reviewer is claimed.</w:t>
      </w:r>
    </w:p>
    <w:p>
      <w:pPr>
        <w:pStyle w:val="ListBullet"/>
      </w:pPr>
      <w:r>
        <w:t>PRISMA: not closed. Of 222 reports sought, 33 have exact DOI linkage to the current 38-report candidate inventory; 189 have no recovered retrieval/eligibility outcome mapping. W34–W36 are full-text candidates despite saved title/abstract exclusion labels. The 35-study/37-report synthesis set remains the current author-designated set, not a fully traceable screening flow.</w:t>
      </w:r>
    </w:p>
    <w:p>
      <w:pPr>
        <w:pStyle w:val="Heading1"/>
      </w:pPr>
      <w:r>
        <w:t>Only actions requiring the author or project records</w:t>
      </w:r>
    </w:p>
    <w:p>
      <w:pPr>
        <w:pStyle w:val="Heading2"/>
      </w:pPr>
      <w:r>
        <w:t>1. Confirm the three current-turn exclusions were entered correctly. The records are MAIN-0271, MAIN-0282, and MAIN-0290; the workbook records the real confirmation date 2026-10-27 and keeps the historical status separate.</w:t>
      </w:r>
    </w:p>
    <w:p>
      <w:r>
        <w:t>In Screening_Final_Confirmation.xlsx → “Researcher confirmation queue”, filter Record_ID MAIN-0271, MAIN-0282, MAIN-0290. Read AI_updated_recommendation, AI_updated_reason_code and AI_recommendation_basis_quote; enter only the actual decision in Researcher_final_decision, with reason/evidence, reviewer and real date. Do not accept the recommendation automatically.</w:t>
      </w:r>
    </w:p>
    <w:p>
      <w:pPr>
        <w:pStyle w:val="Heading2"/>
      </w:pPr>
      <w:r>
        <w:t>2. Resolve report outcomes for 189 requested reports. Provide or identify the existing full-text retrieval/eligibility log for rows marked PENDING_OUTCOME_LINKAGE in PRISMA_2020_Final.xlsx → “222 full-text request mapping”. The minimum evidence is retrieval status, report identity if obtained, eligibility outcome, and exclusion reason if excluded.</w:t>
      </w:r>
    </w:p>
    <w:p>
      <w:r>
        <w:t>Provide or identify the existing full-text retrieval/eligibility log for the 189 rows marked PENDING_OUTCOME_LINKAGE in PRISMA_2020_Final.xlsx → “222 full-text request mapping”. For each, the minimum needed is retrieved/not retrieved, report identity if obtained, and eligibility outcome/reason if assessed. The current files do not establish these statuses.</w:t>
      </w:r>
    </w:p>
    <w:p>
      <w:pPr>
        <w:pStyle w:val="Heading2"/>
      </w:pPr>
      <w:r>
        <w:t>3. Explain the W34–W36 cross-stage path</w:t>
      </w:r>
    </w:p>
    <w:p>
      <w:r>
        <w:t>Confirm whether the saved title/abstract “exclude” decisions were superseded by a documented later identification/re-screening step, or whether the full-text candidate labels are in error. Preserve the original labels and enter the true source and date of any correction; do not backdate.</w:t>
      </w:r>
    </w:p>
    <w:p>
      <w:pPr>
        <w:pStyle w:val="Heading2"/>
      </w:pPr>
      <w:r>
        <w:t>4. Decide whether the 84 conflict explanations can remain unavailable</w:t>
      </w:r>
    </w:p>
    <w:p>
      <w:r>
        <w:t>The saved log records these as seek-full-text outcomes; the earlier label “include” and AI exclusion advice are both retained. Row-specific reconciliation reasons are absent. If no contemporaneous reasons exist, state this transparently as a record limitation rather than creating reasons.</w:t>
      </w:r>
    </w:p>
    <w:p>
      <w:pPr>
        <w:pStyle w:val="Heading2"/>
      </w:pPr>
      <w:r>
        <w:t>5. Complete author declarations</w:t>
      </w:r>
    </w:p>
    <w:p>
      <w:r>
        <w:t>Fill the manuscript’s pending author-specific declarations: author contributions and approval, funding, competing interests, data availability/repository, ethics applicability, and generative-AI disclosure. These cannot be inferred from project files.</w:t>
      </w:r>
    </w:p>
    <w:p>
      <w:pPr>
        <w:pStyle w:val="Heading2"/>
      </w:pPr>
      <w:r>
        <w:t>6. Check current Frontiers instructions at submission</w:t>
      </w:r>
    </w:p>
    <w:p>
      <w:r>
        <w:t>The official Frontiers in Physiology author-guidelines URL could not be accessed in this environment (proxy returned HTTP 403 CONNECT tunnel failure on 27 October 2026). Article-type-specific limits and current file/format requirements therefore remain unverified; compare the final files with the live official page before submission.</w:t>
      </w:r>
    </w:p>
    <w:p>
      <w:pPr>
        <w:pStyle w:val="Heading1"/>
      </w:pPr>
      <w:r>
        <w:t>Submission status</w:t>
      </w:r>
    </w:p>
    <w:p>
      <w:r>
        <w:t>Not yet ready for a fully auditable PRISMA submission: 189 report outcomes remain unlinked, three title/abstract decisions are open, and W34–W36 have an undocumented cross-stage discrepancy. The saved appraisal judgments are present and their reviewer identity is explicitly recorded as unavailable. Official current journal formatting requirements and author declarations also remain to be completed.</w:t>
      </w:r>
    </w:p>
    <w:p>
      <w:pPr>
        <w:pStyle w:val="Heading1"/>
      </w:pPr>
      <w:r>
        <w:t>Evidence synchronization update — 28 October 2026</w:t>
      </w:r>
    </w:p>
    <w:p>
      <w:pPr>
        <w:pStyle w:val="ListBullet"/>
      </w:pPr>
      <w:r>
        <w:t>The completed synthesis remains 35 studies in 37 reports (Class A=25, B=7, C=3).</w:t>
      </w:r>
    </w:p>
    <w:p>
      <w:pPr>
        <w:pStyle w:val="ListBullet"/>
      </w:pPr>
      <w:r>
        <w:t>Provide the record-level workbook identifying the 168 abstract-level recommendations, 14 completed full-text initial assessments, and 7 unobtained reports.</w:t>
      </w:r>
    </w:p>
    <w:p>
      <w:pPr>
        <w:pStyle w:val="ListBullet"/>
      </w:pPr>
      <w:r>
        <w:t>For the eight inclusion candidates, complete Study_ID/Report_ID linkage, data extraction, design classification, and design-appropriate quality appraisal before adding them to the synthesis.</w:t>
      </w:r>
    </w:p>
    <w:p>
      <w:pPr>
        <w:pStyle w:val="ListBullet"/>
      </w:pPr>
      <w:r>
        <w:t>Resolve the two undecided full-text assessments. MAIN-0076 currently has only a provisional author preference toward exclusion.</w:t>
      </w:r>
    </w:p>
    <w:p>
      <w:pPr>
        <w:pStyle w:val="ListBullet"/>
      </w:pPr>
      <w:r>
        <w:t>Document the correction or reinstatement pathway for W34–W36.</w:t>
      </w:r>
    </w:p>
    <w:p>
      <w:pPr>
        <w:pStyle w:val="ListBullet"/>
      </w:pPr>
      <w:r>
        <w:t>Until these steps are completed, retain the PRISMA figure as a working, not closed, pathway.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