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当前系统评价研究方案（待作者确认）</w:t>
      </w:r>
    </w:p>
    <w:p>
      <w:r>
        <w:t>文档性质：待作者/导师确认的工作文件。本文件不修改论文正文、PROSPERO或原始S4，也不把本轮拟修订规则追溯为既往预先确定。</w:t>
      </w:r>
    </w:p>
    <w:p>
      <w:pPr>
        <w:pStyle w:val="Heading1"/>
      </w:pPr>
      <w:r>
        <w:t>一、研究问题（拟修订规则｜形成时间：2026-10-11）</w:t>
      </w:r>
    </w:p>
    <w:p>
      <w:r>
        <w:t>在不同个体/病例和运动或康复场景中，公开可获得或可核实的LLM生成的可执行运动处方，其质量、准确性、完整性、安全性和适用性如何？哪些模型、提示、知识约束或人工监督条件与更好的处方表现相关？现有研究能否支持真实实施或临床效果结论？</w:t>
      </w:r>
    </w:p>
    <w:p>
      <w:pPr>
        <w:pStyle w:val="Heading1"/>
      </w:pPr>
      <w:r>
        <w:t>二、研究目标（拟修订规则｜2026-10-11）</w:t>
      </w:r>
    </w:p>
    <w:p>
      <w:r>
        <w:t>主要目标：评价LLM生成运动处方的处方结构与剂量完整性、目标/病例匹配、参考指南或专家标准的一致性，以及处方层安全性。次要目标：评价生成稳定性、专家/用户评价、可解释性、适用场景和人工监督条件；描述人体实施研究的结局，但不将复合干预效果自动归因于LLM。</w:t>
      </w:r>
    </w:p>
    <w:p>
      <w:pPr>
        <w:pStyle w:val="Heading1"/>
      </w:pPr>
      <w:r>
        <w:t>三、运动处方操作性定义（拟修订规则｜2026-10-11）</w:t>
      </w:r>
    </w:p>
    <w:p>
      <w:r>
        <w:t>处方必须至少包含具体运动类型或动作，以及频率、强度、时间、总量、进阶中的至少一个剂量维度；或者针对明确风险/症状给出可执行的继续、调整、停止或转诊决定。只有一般健康知识、泛化建议或“请咨询医生”免责声明，不单独构成运动处方。</w:t>
      </w:r>
    </w:p>
    <w:p>
      <w:pPr>
        <w:pStyle w:val="Heading1"/>
      </w:pPr>
      <w:r>
        <w:t>四、LLM参与方式和模型类型（拟修订规则｜2026-10-11）</w:t>
      </w:r>
    </w:p>
    <w:p>
      <w:r>
        <w:t>LLM必须实际生成或实质性修改处方内容，可使用提示工程、检索增强生成、知识图谱或安全规则约束。需记录模型名称、版本/快照、访问方式、日期和提示条件。是否限定“公开可用模型”必须由作者确认；若放宽至专用/内部模型，应作为方案变更披露。</w:t>
      </w:r>
    </w:p>
    <w:p>
      <w:pPr>
        <w:pStyle w:val="Heading1"/>
      </w:pPr>
      <w:r>
        <w:t>五、研究对象和应用场景边界（拟修订规则｜2026-10-11）</w:t>
      </w:r>
    </w:p>
    <w:p>
      <w:r>
        <w:t>建议分层而非混为一类：A类为标准化/合成病例；B类为真实世界用户或患者资料但仅评价模型输出；C类为人体实施研究。A类是原PROSPERO明确覆盖的核心范围；B类是否纳入需确认；C类只有在LLM贡献可区分且能提取原始结果时进入单独实施证据层，不与模拟输出直接合并。</w:t>
      </w:r>
    </w:p>
    <w:p>
      <w:pPr>
        <w:pStyle w:val="Heading1"/>
      </w:pPr>
      <w:r>
        <w:t>六、研究设计（拟修订规则｜2026-10-11）</w:t>
      </w:r>
    </w:p>
    <w:p>
      <w:r>
        <w:t>允许原始模型输出比较、提示模拟、专家评价、重复生成、混合方法及模型性能评价。人体随机或非随机实施研究需单独分层，并先确认分配、监督和复合干预；若无法隔离LLM作用，仅作为背景或排除，不能用于证明LLM效果。</w:t>
      </w:r>
    </w:p>
    <w:p>
      <w:pPr>
        <w:pStyle w:val="Heading1"/>
      </w:pPr>
      <w:r>
        <w:t>七、纳入标准（拟修订规则｜2026-10-11）</w:t>
      </w:r>
    </w:p>
    <w:p>
      <w:r>
        <w:t>原始研究；LLM实际生成/修改可执行运动处方；报告可提取的质量、准确性、完整性、安全性、适用性、重复性或人体结局；全文可获得。语言范围、公开模型限制、真实世界资料和会议全文是否纳入，均待作者/导师确认。</w:t>
      </w:r>
    </w:p>
    <w:p>
      <w:pPr>
        <w:pStyle w:val="Heading1"/>
      </w:pPr>
      <w:r>
        <w:t>八、排除标准（拟修订规则｜2026-10-11）</w:t>
      </w:r>
    </w:p>
    <w:p>
      <w:r>
        <w:t>综述、述评、社论、方案、无原始结果的报告、仅界面/接受度而无处方输出的研究、仅一般健康问答、无法确认LLM参与的研究、无法取得全文的报告。人体实施研究若无法区分LLM贡献或没有可提取结果，单列为不满足证据要求。</w:t>
      </w:r>
    </w:p>
    <w:p>
      <w:pPr>
        <w:pStyle w:val="Heading1"/>
      </w:pPr>
      <w:r>
        <w:t>九、结局和安全性维度（拟修订规则｜2026-10-11）</w:t>
      </w:r>
    </w:p>
    <w:p>
      <w:r>
        <w:t>主要结局拟包括：处方完整性/剂量维度、指南或专家标准一致性、病例/目标匹配、明确安全失效。安全性至少记录医学清除、禁忌证、危险剂量、错误进阶、监测、停止/转诊、风险警告和缺失信息。次要结局包括生成稳定性、专家/用户信任、可读性、可及性、依从性和人体功能/症状结果。</w:t>
      </w:r>
    </w:p>
    <w:p>
      <w:pPr>
        <w:pStyle w:val="Heading1"/>
      </w:pPr>
      <w:r>
        <w:t>十、筛选与提取（拟修订规则｜2026-10-11）</w:t>
      </w:r>
    </w:p>
    <w:p>
      <w:r>
        <w:t>正式执行前由至少两名评价者独立筛选标题摘要和全文，记录分歧及共识；一人提取、一人核查，保留报告、研究、病例、处方层级和页码/表格/补充材料定位。AI只用于整理和一致性检查，不作为独立评价者。</w:t>
      </w:r>
    </w:p>
    <w:p>
      <w:pPr>
        <w:pStyle w:val="Heading1"/>
      </w:pPr>
      <w:r>
        <w:t>十一、质量评价（拟修订规则｜2026-10-11）</w:t>
      </w:r>
    </w:p>
    <w:p>
      <w:r>
        <w:t>工具按真实设计和估计目标选择：MMAT用于相应定量/混合方法输出评价；RoB 2用于随机人体研究；ROBINS-I用于非随机干预；其他工具只有在设计确认后启用。工具路由不等于条目级完成，不能在正式评价前报告质量等级。</w:t>
      </w:r>
    </w:p>
    <w:p>
      <w:pPr>
        <w:pStyle w:val="Heading1"/>
      </w:pPr>
      <w:r>
        <w:t>十二、证据综合和Meta分析规则（拟修订规则｜2026-10-11）</w:t>
      </w:r>
    </w:p>
    <w:p>
      <w:r>
        <w:t>先按模拟输出、真实世界输出评价和人体实施分层；仅当研究对象、处方定义、评价量表、分母和模型条件足够同质时考虑Meta分析。否则采用透明叙述综合，保留原始分母、NR和不确定性；不把病例、重复输出、评价者评分当作独立样本。</w:t>
      </w:r>
    </w:p>
    <w:p>
      <w:pPr>
        <w:pStyle w:val="Heading1"/>
      </w:pPr>
      <w:r>
        <w:t>十三、与原PROSPERO的关系</w:t>
      </w:r>
    </w:p>
    <w:p>
      <w:r>
        <w:t>以上内容是当前任务形成的拟修订方案，不是PROSPERO Version 1.0的既有内容。作者确认前不得据此裁决W01-W36，也不得写入论文为“预先注册”。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