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PROSPERO注册处理路径专业建议</w:t>
      </w:r>
    </w:p>
    <w:p>
      <w:r>
        <w:t>文档性质：待作者/导师确认的工作文件。本文件不修改论文正文、PROSPERO或原始S4，也不把本轮拟修订规则追溯为既往预先确定。</w:t>
      </w:r>
    </w:p>
    <w:p>
      <w:pPr>
        <w:pStyle w:val="Heading1"/>
      </w:pPr>
      <w:r>
        <w:t>一、路径A：沿用原记录并透明报告重大修订</w:t>
      </w:r>
    </w:p>
    <w:p>
      <w:r>
        <w:t>适用条件：研究问题仍被认为是同一总体问题，且作者能够逐项说明人口、设计、结局、检索、筛选和质量评价的偏离；需保留原Version 1.0、提供变更表、说明变更发生阶段，并在论文方法、摘要、局限性和注册信息中披露。风险：当前人口/设计/主要结局变化较大，若仍以原注册支持36项，可能被认为是事后扩展或选择性纳入。</w:t>
      </w:r>
    </w:p>
    <w:p>
      <w:pPr>
        <w:pStyle w:val="Heading1"/>
      </w:pPr>
      <w:r>
        <w:t>二、路径B：将当前研究作为新的系统评价</w:t>
      </w:r>
    </w:p>
    <w:p>
      <w:r>
        <w:t>适用条件：作者确认当前问题已经从模拟场景和干预后结局转向LLM处方质量/安全/重复性，且原注册范围无法合理覆盖真实世界/人体研究和新的主要结局；需制定独立方案、重新确认检索和筛选、按机构/期刊要求核实是否符合前瞻性注册条件。风险：不能把已有36项直接搬入新研究；必须按新标准重新筛选、记录时间和处理既有证据。</w:t>
      </w:r>
    </w:p>
    <w:p>
      <w:pPr>
        <w:pStyle w:val="Heading1"/>
      </w:pPr>
      <w:r>
        <w:t>三、专业判断</w:t>
      </w:r>
    </w:p>
    <w:p>
      <w:r>
        <w:t>基于当前材料，当前论文与PROSPERO在主要结局、研究场景、设计范围和综合方法上均存在实质差异，路径B应被认真考虑；但本文件不替导师或作者决定是否新注册。若选择路径A，至少需要暂停最终纳排，完成差异审查、全文复核、重新筛选和方案偏离披露。</w:t>
      </w:r>
    </w:p>
    <w:p>
      <w:pPr>
        <w:pStyle w:val="Heading1"/>
      </w:pPr>
      <w:r>
        <w:t>四、实际执行建议</w:t>
      </w:r>
    </w:p>
    <w:p>
      <w:r>
        <w:t>第一步：作者/导师确认本文件中的拟修订规则。第二步：锁定是否保留B/C类研究、是否坚持公开模型、语言范围和研究设计范围。第三步：若规则改变研究选择，重新筛选全部记录并恢复全文排除理由。第四步：按确认路径决定是否更新原注册或建立新方案。第五步：完成正式质量评价后再修改论文结论。</w:t>
      </w:r>
    </w:p>
    <w:p>
      <w:pPr>
        <w:pStyle w:val="Heading1"/>
      </w:pPr>
      <w:r>
        <w:t>五、规范依据的使用边界</w:t>
      </w:r>
    </w:p>
    <w:p>
      <w:r>
        <w:t>PRISMA 2020要求报告方案、注册、方案偏离及筛选/纳入过程；PROSPERO记录的更新、重大修订或新注册处理应依据其当前官方页面、期刊政策和机构要求核实。本文件没有登录、修改或提交PROSPERO，也没有把一般规范建议写成官方个案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