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46452" w:rsidRPr="004F221E" w:rsidRDefault="00746452">
      <w:pPr>
        <w:spacing w:after="1040"/>
        <w:rPr>
          <w:rFonts w:ascii="Times New Roman" w:eastAsia="宋体" w:hAnsi="Times New Roman" w:cs="Times New Roman"/>
        </w:rPr>
      </w:pPr>
    </w:p>
    <w:p w:rsidR="00746452" w:rsidRPr="004F221E" w:rsidRDefault="00000000">
      <w:pPr>
        <w:pStyle w:val="aa"/>
        <w:spacing w:after="360"/>
        <w:jc w:val="center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课题五智能服务平台后续开发与结题实施规划</w:t>
      </w:r>
    </w:p>
    <w:p w:rsidR="00746452" w:rsidRPr="004F221E" w:rsidRDefault="00000000">
      <w:pPr>
        <w:spacing w:after="1100"/>
        <w:jc w:val="center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sz w:val="28"/>
          <w:lang w:eastAsia="zh-CN"/>
        </w:rPr>
        <w:t>基于当前开发进展及任务书要求</w:t>
      </w:r>
    </w:p>
    <w:p w:rsidR="00746452" w:rsidRPr="004F221E" w:rsidRDefault="00000000">
      <w:pPr>
        <w:pStyle w:val="DocumentMeta"/>
        <w:spacing w:after="180"/>
        <w:jc w:val="center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规划周期</w:t>
      </w:r>
      <w:r w:rsidRPr="004F221E">
        <w:rPr>
          <w:rFonts w:ascii="Times New Roman" w:eastAsia="宋体" w:hAnsi="Times New Roman" w:cs="Times New Roman"/>
          <w:lang w:eastAsia="zh-CN"/>
        </w:rPr>
        <w:t xml:space="preserve">  2026</w:t>
      </w:r>
      <w:r w:rsidRPr="004F221E">
        <w:rPr>
          <w:rFonts w:ascii="Times New Roman" w:eastAsia="宋体" w:hAnsi="Times New Roman" w:cs="Times New Roman"/>
          <w:lang w:eastAsia="zh-CN"/>
        </w:rPr>
        <w:t>年</w:t>
      </w:r>
      <w:r w:rsidRPr="004F221E">
        <w:rPr>
          <w:rFonts w:ascii="Times New Roman" w:eastAsia="宋体" w:hAnsi="Times New Roman" w:cs="Times New Roman"/>
          <w:lang w:eastAsia="zh-CN"/>
        </w:rPr>
        <w:t>9</w:t>
      </w:r>
      <w:r w:rsidRPr="004F221E">
        <w:rPr>
          <w:rFonts w:ascii="Times New Roman" w:eastAsia="宋体" w:hAnsi="Times New Roman" w:cs="Times New Roman"/>
          <w:lang w:eastAsia="zh-CN"/>
        </w:rPr>
        <w:t>月至</w:t>
      </w:r>
      <w:r w:rsidRPr="004F221E">
        <w:rPr>
          <w:rFonts w:ascii="Times New Roman" w:eastAsia="宋体" w:hAnsi="Times New Roman" w:cs="Times New Roman"/>
          <w:lang w:eastAsia="zh-CN"/>
        </w:rPr>
        <w:t>2026</w:t>
      </w:r>
      <w:r w:rsidRPr="004F221E">
        <w:rPr>
          <w:rFonts w:ascii="Times New Roman" w:eastAsia="宋体" w:hAnsi="Times New Roman" w:cs="Times New Roman"/>
          <w:lang w:eastAsia="zh-CN"/>
        </w:rPr>
        <w:t>年</w:t>
      </w:r>
      <w:r w:rsidRPr="004F221E">
        <w:rPr>
          <w:rFonts w:ascii="Times New Roman" w:eastAsia="宋体" w:hAnsi="Times New Roman" w:cs="Times New Roman"/>
          <w:lang w:eastAsia="zh-CN"/>
        </w:rPr>
        <w:t>12</w:t>
      </w:r>
      <w:r w:rsidRPr="004F221E">
        <w:rPr>
          <w:rFonts w:ascii="Times New Roman" w:eastAsia="宋体" w:hAnsi="Times New Roman" w:cs="Times New Roman"/>
          <w:lang w:eastAsia="zh-CN"/>
        </w:rPr>
        <w:t>月</w:t>
      </w:r>
    </w:p>
    <w:p w:rsidR="00746452" w:rsidRPr="004F221E" w:rsidRDefault="00000000">
      <w:pPr>
        <w:pStyle w:val="DocumentMeta"/>
        <w:spacing w:after="180"/>
        <w:jc w:val="center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内部完成目标</w:t>
      </w:r>
      <w:r w:rsidRPr="004F221E">
        <w:rPr>
          <w:rFonts w:ascii="Times New Roman" w:eastAsia="宋体" w:hAnsi="Times New Roman" w:cs="Times New Roman"/>
          <w:lang w:eastAsia="zh-CN"/>
        </w:rPr>
        <w:t xml:space="preserve">  2026</w:t>
      </w:r>
      <w:r w:rsidRPr="004F221E">
        <w:rPr>
          <w:rFonts w:ascii="Times New Roman" w:eastAsia="宋体" w:hAnsi="Times New Roman" w:cs="Times New Roman"/>
          <w:lang w:eastAsia="zh-CN"/>
        </w:rPr>
        <w:t>年</w:t>
      </w:r>
      <w:r w:rsidRPr="004F221E">
        <w:rPr>
          <w:rFonts w:ascii="Times New Roman" w:eastAsia="宋体" w:hAnsi="Times New Roman" w:cs="Times New Roman"/>
          <w:lang w:eastAsia="zh-CN"/>
        </w:rPr>
        <w:t>11</w:t>
      </w:r>
      <w:r w:rsidRPr="004F221E">
        <w:rPr>
          <w:rFonts w:ascii="Times New Roman" w:eastAsia="宋体" w:hAnsi="Times New Roman" w:cs="Times New Roman"/>
          <w:lang w:eastAsia="zh-CN"/>
        </w:rPr>
        <w:t>月</w:t>
      </w:r>
      <w:r w:rsidRPr="004F221E">
        <w:rPr>
          <w:rFonts w:ascii="Times New Roman" w:eastAsia="宋体" w:hAnsi="Times New Roman" w:cs="Times New Roman"/>
          <w:lang w:eastAsia="zh-CN"/>
        </w:rPr>
        <w:t>22</w:t>
      </w:r>
      <w:r w:rsidRPr="004F221E">
        <w:rPr>
          <w:rFonts w:ascii="Times New Roman" w:eastAsia="宋体" w:hAnsi="Times New Roman" w:cs="Times New Roman"/>
          <w:lang w:eastAsia="zh-CN"/>
        </w:rPr>
        <w:t>日</w:t>
      </w:r>
    </w:p>
    <w:p w:rsidR="00746452" w:rsidRPr="004F221E" w:rsidRDefault="00000000">
      <w:pPr>
        <w:pStyle w:val="DocumentMeta"/>
        <w:spacing w:after="180"/>
        <w:jc w:val="center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版本日期</w:t>
      </w:r>
      <w:r w:rsidRPr="004F221E">
        <w:rPr>
          <w:rFonts w:ascii="Times New Roman" w:eastAsia="宋体" w:hAnsi="Times New Roman" w:cs="Times New Roman"/>
          <w:lang w:eastAsia="zh-CN"/>
        </w:rPr>
        <w:t xml:space="preserve">  2026</w:t>
      </w:r>
      <w:r w:rsidRPr="004F221E">
        <w:rPr>
          <w:rFonts w:ascii="Times New Roman" w:eastAsia="宋体" w:hAnsi="Times New Roman" w:cs="Times New Roman"/>
          <w:lang w:eastAsia="zh-CN"/>
        </w:rPr>
        <w:t>年</w:t>
      </w:r>
      <w:r w:rsidRPr="004F221E">
        <w:rPr>
          <w:rFonts w:ascii="Times New Roman" w:eastAsia="宋体" w:hAnsi="Times New Roman" w:cs="Times New Roman"/>
          <w:lang w:eastAsia="zh-CN"/>
        </w:rPr>
        <w:t>9</w:t>
      </w:r>
      <w:r w:rsidRPr="004F221E">
        <w:rPr>
          <w:rFonts w:ascii="Times New Roman" w:eastAsia="宋体" w:hAnsi="Times New Roman" w:cs="Times New Roman"/>
          <w:lang w:eastAsia="zh-CN"/>
        </w:rPr>
        <w:t>月</w:t>
      </w:r>
      <w:r w:rsidRPr="004F221E">
        <w:rPr>
          <w:rFonts w:ascii="Times New Roman" w:eastAsia="宋体" w:hAnsi="Times New Roman" w:cs="Times New Roman"/>
          <w:lang w:eastAsia="zh-CN"/>
        </w:rPr>
        <w:t>5</w:t>
      </w:r>
      <w:r w:rsidRPr="004F221E">
        <w:rPr>
          <w:rFonts w:ascii="Times New Roman" w:eastAsia="宋体" w:hAnsi="Times New Roman" w:cs="Times New Roman"/>
          <w:lang w:eastAsia="zh-CN"/>
        </w:rPr>
        <w:t>日</w:t>
      </w:r>
    </w:p>
    <w:p w:rsidR="00746452" w:rsidRPr="004F221E" w:rsidRDefault="00746452">
      <w:pPr>
        <w:spacing w:after="900"/>
        <w:rPr>
          <w:rFonts w:ascii="Times New Roman" w:eastAsia="宋体" w:hAnsi="Times New Roman" w:cs="Times New Roman"/>
          <w:lang w:eastAsia="zh-CN"/>
        </w:rPr>
      </w:pPr>
    </w:p>
    <w:p w:rsidR="00746452" w:rsidRPr="004F221E" w:rsidRDefault="00000000">
      <w:pPr>
        <w:jc w:val="both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本规划用于指导课题五平台由演示原型向可测试、可部署、可验收系统演进。总体安排是</w:t>
      </w:r>
      <w:r w:rsidRPr="004F221E">
        <w:rPr>
          <w:rFonts w:ascii="Times New Roman" w:eastAsia="宋体" w:hAnsi="Times New Roman" w:cs="Times New Roman"/>
          <w:lang w:eastAsia="zh-CN"/>
        </w:rPr>
        <w:t>11</w:t>
      </w:r>
      <w:r w:rsidRPr="004F221E">
        <w:rPr>
          <w:rFonts w:ascii="Times New Roman" w:eastAsia="宋体" w:hAnsi="Times New Roman" w:cs="Times New Roman"/>
          <w:lang w:eastAsia="zh-CN"/>
        </w:rPr>
        <w:t>月完成技术开发和内部预验收，</w:t>
      </w:r>
      <w:r w:rsidRPr="004F221E">
        <w:rPr>
          <w:rFonts w:ascii="Times New Roman" w:eastAsia="宋体" w:hAnsi="Times New Roman" w:cs="Times New Roman"/>
          <w:lang w:eastAsia="zh-CN"/>
        </w:rPr>
        <w:t>11</w:t>
      </w:r>
      <w:r w:rsidRPr="004F221E">
        <w:rPr>
          <w:rFonts w:ascii="Times New Roman" w:eastAsia="宋体" w:hAnsi="Times New Roman" w:cs="Times New Roman"/>
          <w:lang w:eastAsia="zh-CN"/>
        </w:rPr>
        <w:t>月底形成第三方预测试版本，</w:t>
      </w:r>
      <w:r w:rsidRPr="004F221E">
        <w:rPr>
          <w:rFonts w:ascii="Times New Roman" w:eastAsia="宋体" w:hAnsi="Times New Roman" w:cs="Times New Roman"/>
          <w:lang w:eastAsia="zh-CN"/>
        </w:rPr>
        <w:t>12</w:t>
      </w:r>
      <w:r w:rsidRPr="004F221E">
        <w:rPr>
          <w:rFonts w:ascii="Times New Roman" w:eastAsia="宋体" w:hAnsi="Times New Roman" w:cs="Times New Roman"/>
          <w:lang w:eastAsia="zh-CN"/>
        </w:rPr>
        <w:t>月仅用于整改、正式检测、材料定稿和答辩准备。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br w:type="page"/>
      </w:r>
    </w:p>
    <w:p w:rsidR="00746452" w:rsidRPr="004F221E" w:rsidRDefault="00000000">
      <w:pPr>
        <w:pStyle w:val="1"/>
        <w:spacing w:before="200" w:after="100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lastRenderedPageBreak/>
        <w:t>一</w:t>
      </w:r>
      <w:r w:rsidRPr="004F221E">
        <w:rPr>
          <w:rFonts w:ascii="Times New Roman" w:eastAsia="宋体" w:hAnsi="Times New Roman" w:cs="Times New Roman"/>
          <w:lang w:eastAsia="zh-CN"/>
        </w:rPr>
        <w:t xml:space="preserve"> </w:t>
      </w:r>
      <w:r w:rsidRPr="004F221E">
        <w:rPr>
          <w:rFonts w:ascii="Times New Roman" w:eastAsia="宋体" w:hAnsi="Times New Roman" w:cs="Times New Roman"/>
          <w:lang w:eastAsia="zh-CN"/>
        </w:rPr>
        <w:t>规划结论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平台后续建设不再以增加页面数量为主要目标，而是围绕任务书要求，将现有页面中的模拟交互逐步替换为统一数据接口、后端业务服务、可持久化的风险与预警记录以及可复现的测试证据。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数据策略采用真实数据优先、仿真数据兜底、统一标准接入。真实数据暂时无法取得时，平台使用后端仿真和历史回放数据完成全链条验证；后期获得真实数据后，可通过文件上传、</w:t>
      </w:r>
      <w:r w:rsidRPr="004F221E">
        <w:rPr>
          <w:rFonts w:ascii="Times New Roman" w:eastAsia="宋体" w:hAnsi="Times New Roman" w:cs="Times New Roman"/>
          <w:lang w:eastAsia="zh-CN"/>
        </w:rPr>
        <w:t>HTTP</w:t>
      </w:r>
      <w:r w:rsidRPr="004F221E">
        <w:rPr>
          <w:rFonts w:ascii="Times New Roman" w:eastAsia="宋体" w:hAnsi="Times New Roman" w:cs="Times New Roman"/>
          <w:lang w:eastAsia="zh-CN"/>
        </w:rPr>
        <w:t>或</w:t>
      </w:r>
      <w:r w:rsidRPr="004F221E">
        <w:rPr>
          <w:rFonts w:ascii="Times New Roman" w:eastAsia="宋体" w:hAnsi="Times New Roman" w:cs="Times New Roman"/>
          <w:lang w:eastAsia="zh-CN"/>
        </w:rPr>
        <w:t>MQTT</w:t>
      </w:r>
      <w:r w:rsidRPr="004F221E">
        <w:rPr>
          <w:rFonts w:ascii="Times New Roman" w:eastAsia="宋体" w:hAnsi="Times New Roman" w:cs="Times New Roman"/>
          <w:lang w:eastAsia="zh-CN"/>
        </w:rPr>
        <w:t>接入并直接替换数据源，无需改写前端页面和风险处理流程。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建议将</w:t>
      </w:r>
      <w:r w:rsidRPr="004F221E">
        <w:rPr>
          <w:rFonts w:ascii="Times New Roman" w:eastAsia="宋体" w:hAnsi="Times New Roman" w:cs="Times New Roman"/>
          <w:lang w:eastAsia="zh-CN"/>
        </w:rPr>
        <w:t>2026</w:t>
      </w:r>
      <w:r w:rsidRPr="004F221E">
        <w:rPr>
          <w:rFonts w:ascii="Times New Roman" w:eastAsia="宋体" w:hAnsi="Times New Roman" w:cs="Times New Roman"/>
          <w:lang w:eastAsia="zh-CN"/>
        </w:rPr>
        <w:t>年</w:t>
      </w:r>
      <w:r w:rsidRPr="004F221E">
        <w:rPr>
          <w:rFonts w:ascii="Times New Roman" w:eastAsia="宋体" w:hAnsi="Times New Roman" w:cs="Times New Roman"/>
          <w:lang w:eastAsia="zh-CN"/>
        </w:rPr>
        <w:t>11</w:t>
      </w:r>
      <w:r w:rsidRPr="004F221E">
        <w:rPr>
          <w:rFonts w:ascii="Times New Roman" w:eastAsia="宋体" w:hAnsi="Times New Roman" w:cs="Times New Roman"/>
          <w:lang w:eastAsia="zh-CN"/>
        </w:rPr>
        <w:t>月</w:t>
      </w:r>
      <w:r w:rsidRPr="004F221E">
        <w:rPr>
          <w:rFonts w:ascii="Times New Roman" w:eastAsia="宋体" w:hAnsi="Times New Roman" w:cs="Times New Roman"/>
          <w:lang w:eastAsia="zh-CN"/>
        </w:rPr>
        <w:t>15</w:t>
      </w:r>
      <w:r w:rsidRPr="004F221E">
        <w:rPr>
          <w:rFonts w:ascii="Times New Roman" w:eastAsia="宋体" w:hAnsi="Times New Roman" w:cs="Times New Roman"/>
          <w:lang w:eastAsia="zh-CN"/>
        </w:rPr>
        <w:t>日设为代码冻结日，</w:t>
      </w:r>
      <w:r w:rsidRPr="004F221E">
        <w:rPr>
          <w:rFonts w:ascii="Times New Roman" w:eastAsia="宋体" w:hAnsi="Times New Roman" w:cs="Times New Roman"/>
          <w:lang w:eastAsia="zh-CN"/>
        </w:rPr>
        <w:t>11</w:t>
      </w:r>
      <w:r w:rsidRPr="004F221E">
        <w:rPr>
          <w:rFonts w:ascii="Times New Roman" w:eastAsia="宋体" w:hAnsi="Times New Roman" w:cs="Times New Roman"/>
          <w:lang w:eastAsia="zh-CN"/>
        </w:rPr>
        <w:t>月</w:t>
      </w:r>
      <w:r w:rsidRPr="004F221E">
        <w:rPr>
          <w:rFonts w:ascii="Times New Roman" w:eastAsia="宋体" w:hAnsi="Times New Roman" w:cs="Times New Roman"/>
          <w:lang w:eastAsia="zh-CN"/>
        </w:rPr>
        <w:t>22</w:t>
      </w:r>
      <w:r w:rsidRPr="004F221E">
        <w:rPr>
          <w:rFonts w:ascii="Times New Roman" w:eastAsia="宋体" w:hAnsi="Times New Roman" w:cs="Times New Roman"/>
          <w:lang w:eastAsia="zh-CN"/>
        </w:rPr>
        <w:t>日完成内部预验收，</w:t>
      </w:r>
      <w:r w:rsidRPr="004F221E">
        <w:rPr>
          <w:rFonts w:ascii="Times New Roman" w:eastAsia="宋体" w:hAnsi="Times New Roman" w:cs="Times New Roman"/>
          <w:lang w:eastAsia="zh-CN"/>
        </w:rPr>
        <w:t>11</w:t>
      </w:r>
      <w:r w:rsidRPr="004F221E">
        <w:rPr>
          <w:rFonts w:ascii="Times New Roman" w:eastAsia="宋体" w:hAnsi="Times New Roman" w:cs="Times New Roman"/>
          <w:lang w:eastAsia="zh-CN"/>
        </w:rPr>
        <w:t>月</w:t>
      </w:r>
      <w:r w:rsidRPr="004F221E">
        <w:rPr>
          <w:rFonts w:ascii="Times New Roman" w:eastAsia="宋体" w:hAnsi="Times New Roman" w:cs="Times New Roman"/>
          <w:lang w:eastAsia="zh-CN"/>
        </w:rPr>
        <w:t>30</w:t>
      </w:r>
      <w:r w:rsidRPr="004F221E">
        <w:rPr>
          <w:rFonts w:ascii="Times New Roman" w:eastAsia="宋体" w:hAnsi="Times New Roman" w:cs="Times New Roman"/>
          <w:lang w:eastAsia="zh-CN"/>
        </w:rPr>
        <w:t>日前完成第三方预测试和交付封版。</w:t>
      </w:r>
    </w:p>
    <w:p w:rsidR="00746452" w:rsidRPr="004F221E" w:rsidRDefault="00000000">
      <w:pPr>
        <w:pStyle w:val="1"/>
        <w:spacing w:before="200" w:after="100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二</w:t>
      </w:r>
      <w:r w:rsidRPr="004F221E">
        <w:rPr>
          <w:rFonts w:ascii="Times New Roman" w:eastAsia="宋体" w:hAnsi="Times New Roman" w:cs="Times New Roman"/>
          <w:lang w:eastAsia="zh-CN"/>
        </w:rPr>
        <w:t xml:space="preserve"> </w:t>
      </w:r>
      <w:r w:rsidRPr="004F221E">
        <w:rPr>
          <w:rFonts w:ascii="Times New Roman" w:eastAsia="宋体" w:hAnsi="Times New Roman" w:cs="Times New Roman"/>
          <w:lang w:eastAsia="zh-CN"/>
        </w:rPr>
        <w:t>任务书目标与建设边界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课题五需搭建广域立体风险感知通信评估预警智能服务平台，完成源数据接入、风险感知与研判、综合评估与精准预警、用户与权限管理等功能，并支撑不少于</w:t>
      </w:r>
      <w:r w:rsidRPr="004F221E">
        <w:rPr>
          <w:rFonts w:ascii="Times New Roman" w:eastAsia="宋体" w:hAnsi="Times New Roman" w:cs="Times New Roman"/>
          <w:lang w:eastAsia="zh-CN"/>
        </w:rPr>
        <w:t>300</w:t>
      </w:r>
      <w:r w:rsidRPr="004F221E">
        <w:rPr>
          <w:rFonts w:ascii="Times New Roman" w:eastAsia="宋体" w:hAnsi="Times New Roman" w:cs="Times New Roman"/>
          <w:lang w:eastAsia="zh-CN"/>
        </w:rPr>
        <w:t>个卫星导航基准站的数据综合处理及不少于</w:t>
      </w:r>
      <w:r w:rsidRPr="004F221E">
        <w:rPr>
          <w:rFonts w:ascii="Times New Roman" w:eastAsia="宋体" w:hAnsi="Times New Roman" w:cs="Times New Roman"/>
          <w:lang w:eastAsia="zh-CN"/>
        </w:rPr>
        <w:t>2000</w:t>
      </w:r>
      <w:r w:rsidRPr="004F221E">
        <w:rPr>
          <w:rFonts w:ascii="Times New Roman" w:eastAsia="宋体" w:hAnsi="Times New Roman" w:cs="Times New Roman"/>
          <w:lang w:eastAsia="zh-CN"/>
        </w:rPr>
        <w:t>人的同时访问。平台还需配合三处以上典型区域、累计不少于</w:t>
      </w:r>
      <w:r w:rsidRPr="004F221E">
        <w:rPr>
          <w:rFonts w:ascii="Times New Roman" w:eastAsia="宋体" w:hAnsi="Times New Roman" w:cs="Times New Roman"/>
          <w:lang w:eastAsia="zh-CN"/>
        </w:rPr>
        <w:t>200</w:t>
      </w:r>
      <w:r w:rsidRPr="004F221E">
        <w:rPr>
          <w:rFonts w:ascii="Times New Roman" w:eastAsia="宋体" w:hAnsi="Times New Roman" w:cs="Times New Roman"/>
          <w:lang w:eastAsia="zh-CN"/>
        </w:rPr>
        <w:t>公里管线的示范应用及第三方检测。</w:t>
      </w:r>
    </w:p>
    <w:p w:rsidR="00746452" w:rsidRPr="004F221E" w:rsidRDefault="00000000">
      <w:pPr>
        <w:pStyle w:val="21"/>
        <w:spacing w:before="140" w:after="100"/>
        <w:rPr>
          <w:rFonts w:ascii="Times New Roman" w:eastAsia="宋体" w:hAnsi="Times New Roman" w:cs="Times New Roman"/>
        </w:rPr>
      </w:pPr>
      <w:r w:rsidRPr="004F221E">
        <w:rPr>
          <w:rFonts w:ascii="Times New Roman" w:eastAsia="宋体" w:hAnsi="Times New Roman" w:cs="Times New Roman"/>
        </w:rPr>
        <w:t>必须完成的范围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不少于</w:t>
      </w:r>
      <w:r w:rsidRPr="004F221E">
        <w:rPr>
          <w:rFonts w:ascii="Times New Roman" w:eastAsia="宋体" w:hAnsi="Times New Roman" w:cs="Times New Roman"/>
          <w:lang w:eastAsia="zh-CN"/>
        </w:rPr>
        <w:t>300</w:t>
      </w:r>
      <w:r w:rsidRPr="004F221E">
        <w:rPr>
          <w:rFonts w:ascii="Times New Roman" w:eastAsia="宋体" w:hAnsi="Times New Roman" w:cs="Times New Roman"/>
          <w:lang w:eastAsia="zh-CN"/>
        </w:rPr>
        <w:t>个站点或设备的台账、在线状态、监测数据接入和处理能力。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HTTP</w:t>
      </w:r>
      <w:r w:rsidRPr="004F221E">
        <w:rPr>
          <w:rFonts w:ascii="Times New Roman" w:eastAsia="宋体" w:hAnsi="Times New Roman" w:cs="Times New Roman"/>
          <w:lang w:eastAsia="zh-CN"/>
        </w:rPr>
        <w:t>、</w:t>
      </w:r>
      <w:r w:rsidRPr="004F221E">
        <w:rPr>
          <w:rFonts w:ascii="Times New Roman" w:eastAsia="宋体" w:hAnsi="Times New Roman" w:cs="Times New Roman"/>
          <w:lang w:eastAsia="zh-CN"/>
        </w:rPr>
        <w:t>MQTT</w:t>
      </w:r>
      <w:r w:rsidRPr="004F221E">
        <w:rPr>
          <w:rFonts w:ascii="Times New Roman" w:eastAsia="宋体" w:hAnsi="Times New Roman" w:cs="Times New Roman"/>
          <w:lang w:eastAsia="zh-CN"/>
        </w:rPr>
        <w:t>和文件上传中的至少两类接入方式，并保留第三类扩展接口。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气象、甲烷、压力、位移等数据的校验、时序存储、质量标识和历史查询。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燃气、供水、供热三个管线系统，以及不少于三类灾种或风险类型。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单系统风险、交叉区域耦合风险、综合风险计算与结果追溯。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预警生成、确认、派单、处置、关闭和审计的完整闭环。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JWT</w:t>
      </w:r>
      <w:r w:rsidRPr="004F221E">
        <w:rPr>
          <w:rFonts w:ascii="Times New Roman" w:eastAsia="宋体" w:hAnsi="Times New Roman" w:cs="Times New Roman"/>
          <w:lang w:eastAsia="zh-CN"/>
        </w:rPr>
        <w:t>认证、角色权限、关键操作审计、部署运维和数据备份。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300</w:t>
      </w:r>
      <w:r w:rsidRPr="004F221E">
        <w:rPr>
          <w:rFonts w:ascii="Times New Roman" w:eastAsia="宋体" w:hAnsi="Times New Roman" w:cs="Times New Roman"/>
          <w:lang w:eastAsia="zh-CN"/>
        </w:rPr>
        <w:t>站处理能力、</w:t>
      </w:r>
      <w:r w:rsidRPr="004F221E">
        <w:rPr>
          <w:rFonts w:ascii="Times New Roman" w:eastAsia="宋体" w:hAnsi="Times New Roman" w:cs="Times New Roman"/>
          <w:lang w:eastAsia="zh-CN"/>
        </w:rPr>
        <w:t>2000</w:t>
      </w:r>
      <w:r w:rsidRPr="004F221E">
        <w:rPr>
          <w:rFonts w:ascii="Times New Roman" w:eastAsia="宋体" w:hAnsi="Times New Roman" w:cs="Times New Roman"/>
          <w:lang w:eastAsia="zh-CN"/>
        </w:rPr>
        <w:t>并发访问及完整功能流程的测试证据。</w:t>
      </w:r>
    </w:p>
    <w:p w:rsidR="00746452" w:rsidRPr="004F221E" w:rsidRDefault="00000000">
      <w:pPr>
        <w:pStyle w:val="21"/>
        <w:spacing w:before="140" w:after="100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暂缓或降级的范围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为保证结题进度，复杂三维</w:t>
      </w:r>
      <w:r w:rsidRPr="004F221E">
        <w:rPr>
          <w:rFonts w:ascii="Times New Roman" w:eastAsia="宋体" w:hAnsi="Times New Roman" w:cs="Times New Roman"/>
          <w:lang w:eastAsia="zh-CN"/>
        </w:rPr>
        <w:t>GIS</w:t>
      </w:r>
      <w:r w:rsidRPr="004F221E">
        <w:rPr>
          <w:rFonts w:ascii="Times New Roman" w:eastAsia="宋体" w:hAnsi="Times New Roman" w:cs="Times New Roman"/>
          <w:lang w:eastAsia="zh-CN"/>
        </w:rPr>
        <w:t>、真正的拖拽式大屏、完整可视化规则编排、微服务拆分和前端框架迁移不作为结题前的必做内容。缺失数据补全、动态阈值等高级算法可先通过标准模型接口集成，不在平台侧重复研发。</w:t>
      </w:r>
    </w:p>
    <w:p w:rsidR="00746452" w:rsidRPr="004F221E" w:rsidRDefault="00000000">
      <w:pPr>
        <w:pStyle w:val="1"/>
        <w:spacing w:before="200" w:after="100"/>
        <w:rPr>
          <w:rFonts w:ascii="Times New Roman" w:eastAsia="宋体" w:hAnsi="Times New Roman" w:cs="Times New Roman"/>
        </w:rPr>
      </w:pPr>
      <w:r w:rsidRPr="004F221E">
        <w:rPr>
          <w:rFonts w:ascii="Times New Roman" w:eastAsia="宋体" w:hAnsi="Times New Roman" w:cs="Times New Roman"/>
        </w:rPr>
        <w:t>三</w:t>
      </w:r>
      <w:r w:rsidRPr="004F221E">
        <w:rPr>
          <w:rFonts w:ascii="Times New Roman" w:eastAsia="宋体" w:hAnsi="Times New Roman" w:cs="Times New Roman"/>
        </w:rPr>
        <w:t xml:space="preserve"> </w:t>
      </w:r>
      <w:r w:rsidRPr="004F221E">
        <w:rPr>
          <w:rFonts w:ascii="Times New Roman" w:eastAsia="宋体" w:hAnsi="Times New Roman" w:cs="Times New Roman"/>
        </w:rPr>
        <w:t>当前进展与差距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672"/>
        <w:gridCol w:w="4680"/>
      </w:tblGrid>
      <w:tr w:rsidR="00746452" w:rsidRPr="004F221E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建设项</w:t>
            </w:r>
          </w:p>
        </w:tc>
        <w:tc>
          <w:tcPr>
            <w:tcW w:w="3672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当前状态</w:t>
            </w:r>
          </w:p>
        </w:tc>
        <w:tc>
          <w:tcPr>
            <w:tcW w:w="4680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后续重点</w:t>
            </w:r>
          </w:p>
        </w:tc>
      </w:tr>
      <w:tr w:rsidR="00746452" w:rsidRPr="004F221E">
        <w:trPr>
          <w:cantSplit/>
          <w:jc w:val="center"/>
        </w:trPr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前端平台</w:t>
            </w:r>
          </w:p>
        </w:tc>
        <w:tc>
          <w:tcPr>
            <w:tcW w:w="36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已有综合态势、数据接入、短临降雨、三类管网、耦合研判、预警处置和历史分析页面</w:t>
            </w:r>
          </w:p>
        </w:tc>
        <w:tc>
          <w:tcPr>
            <w:tcW w:w="4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保留现有结构，将模拟数据和浏览器内操作替换为后端接口</w:t>
            </w:r>
          </w:p>
        </w:tc>
      </w:tr>
      <w:tr w:rsidR="00746452" w:rsidRPr="004F221E">
        <w:trPr>
          <w:cantSplit/>
          <w:jc w:val="center"/>
        </w:trPr>
        <w:tc>
          <w:tcPr>
            <w:tcW w:w="1584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lastRenderedPageBreak/>
              <w:t>用户权限</w:t>
            </w:r>
          </w:p>
        </w:tc>
        <w:tc>
          <w:tcPr>
            <w:tcW w:w="367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已有登录、注册、用户、角色和权限管理</w:t>
            </w:r>
          </w:p>
        </w:tc>
        <w:tc>
          <w:tcPr>
            <w:tcW w:w="468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补充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JWT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校验、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API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级授权、登录锁定和操作审计</w:t>
            </w:r>
          </w:p>
        </w:tc>
      </w:tr>
      <w:tr w:rsidR="00746452" w:rsidRPr="004F221E">
        <w:trPr>
          <w:cantSplit/>
          <w:jc w:val="center"/>
        </w:trPr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Java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后端</w:t>
            </w:r>
          </w:p>
        </w:tc>
        <w:tc>
          <w:tcPr>
            <w:tcW w:w="36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已具备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Spring Boot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MySQL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Redis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Nginx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基础架构</w:t>
            </w:r>
          </w:p>
        </w:tc>
        <w:tc>
          <w:tcPr>
            <w:tcW w:w="4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扩展设备、数据集、监测数据、模型、预警、历史和报表服务</w:t>
            </w:r>
          </w:p>
        </w:tc>
      </w:tr>
      <w:tr w:rsidR="00746452" w:rsidRPr="004F221E">
        <w:trPr>
          <w:cantSplit/>
          <w:jc w:val="center"/>
        </w:trPr>
        <w:tc>
          <w:tcPr>
            <w:tcW w:w="1584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风险服务</w:t>
            </w:r>
          </w:p>
        </w:tc>
        <w:tc>
          <w:tcPr>
            <w:tcW w:w="367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已有简单区域风险概览及风险快照</w:t>
            </w:r>
          </w:p>
        </w:tc>
        <w:tc>
          <w:tcPr>
            <w:tcW w:w="468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接入正式或仿真模型结果，增加来源、版本和计算依据</w:t>
            </w:r>
          </w:p>
        </w:tc>
      </w:tr>
      <w:tr w:rsidR="00746452" w:rsidRPr="004F221E">
        <w:trPr>
          <w:cantSplit/>
          <w:jc w:val="center"/>
        </w:trPr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数据接入</w:t>
            </w:r>
          </w:p>
        </w:tc>
        <w:tc>
          <w:tcPr>
            <w:tcW w:w="36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页面已有数据源展示，主要为前端模拟</w:t>
            </w:r>
          </w:p>
        </w:tc>
        <w:tc>
          <w:tcPr>
            <w:tcW w:w="4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建设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300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站仿真、文件上传、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HTTP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和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MQTT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统一接入</w:t>
            </w:r>
          </w:p>
        </w:tc>
      </w:tr>
      <w:tr w:rsidR="00746452" w:rsidRPr="004F221E">
        <w:trPr>
          <w:cantSplit/>
          <w:jc w:val="center"/>
        </w:trPr>
        <w:tc>
          <w:tcPr>
            <w:tcW w:w="1584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预警处置</w:t>
            </w:r>
          </w:p>
        </w:tc>
        <w:tc>
          <w:tcPr>
            <w:tcW w:w="367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已有确认、派单、关闭等演示交互</w:t>
            </w:r>
          </w:p>
        </w:tc>
        <w:tc>
          <w:tcPr>
            <w:tcW w:w="468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建立预警状态机、持久化、去重升级和处置记录</w:t>
            </w:r>
          </w:p>
        </w:tc>
      </w:tr>
      <w:tr w:rsidR="00746452" w:rsidRPr="004F221E">
        <w:trPr>
          <w:cantSplit/>
          <w:jc w:val="center"/>
        </w:trPr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历史分析</w:t>
            </w:r>
          </w:p>
        </w:tc>
        <w:tc>
          <w:tcPr>
            <w:tcW w:w="36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已有趋势与统计图，主要为模拟数据</w:t>
            </w:r>
          </w:p>
        </w:tc>
        <w:tc>
          <w:tcPr>
            <w:tcW w:w="4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增加后端聚合查询、数据集对比及报告导出</w:t>
            </w:r>
          </w:p>
        </w:tc>
      </w:tr>
      <w:tr w:rsidR="00746452" w:rsidRPr="004F221E">
        <w:trPr>
          <w:cantSplit/>
          <w:jc w:val="center"/>
        </w:trPr>
        <w:tc>
          <w:tcPr>
            <w:tcW w:w="1584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测试验收</w:t>
            </w:r>
          </w:p>
        </w:tc>
        <w:tc>
          <w:tcPr>
            <w:tcW w:w="367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现有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Java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自动化测试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10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项通过</w:t>
            </w:r>
          </w:p>
        </w:tc>
        <w:tc>
          <w:tcPr>
            <w:tcW w:w="468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补齐集成、数据质量、故障恢复、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300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站和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2000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并发测试</w:t>
            </w:r>
          </w:p>
        </w:tc>
      </w:tr>
    </w:tbl>
    <w:p w:rsidR="00746452" w:rsidRPr="004F221E" w:rsidRDefault="00746452">
      <w:pPr>
        <w:spacing w:after="20"/>
        <w:rPr>
          <w:rFonts w:ascii="Times New Roman" w:eastAsia="宋体" w:hAnsi="Times New Roman" w:cs="Times New Roman"/>
          <w:lang w:eastAsia="zh-CN"/>
        </w:rPr>
      </w:pP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综合判断：当前平台已经具备较完整的演示外壳和基础工程结构，但正式数据接入、模型服务、预警闭环、性能验证与验收材料尚需集中建设。</w:t>
      </w:r>
    </w:p>
    <w:p w:rsidR="00746452" w:rsidRPr="004F221E" w:rsidRDefault="00000000">
      <w:pPr>
        <w:pStyle w:val="1"/>
        <w:spacing w:before="200" w:after="100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四</w:t>
      </w:r>
      <w:r w:rsidRPr="004F221E">
        <w:rPr>
          <w:rFonts w:ascii="Times New Roman" w:eastAsia="宋体" w:hAnsi="Times New Roman" w:cs="Times New Roman"/>
          <w:lang w:eastAsia="zh-CN"/>
        </w:rPr>
        <w:t xml:space="preserve"> </w:t>
      </w:r>
      <w:r w:rsidRPr="004F221E">
        <w:rPr>
          <w:rFonts w:ascii="Times New Roman" w:eastAsia="宋体" w:hAnsi="Times New Roman" w:cs="Times New Roman"/>
          <w:lang w:eastAsia="zh-CN"/>
        </w:rPr>
        <w:t>双数据源总体方案</w:t>
      </w:r>
    </w:p>
    <w:p w:rsidR="00746452" w:rsidRPr="004F221E" w:rsidRDefault="00000000">
      <w:pPr>
        <w:pStyle w:val="21"/>
        <w:spacing w:before="140" w:after="100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运行模式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520"/>
        <w:gridCol w:w="2376"/>
        <w:gridCol w:w="3600"/>
      </w:tblGrid>
      <w:tr w:rsidR="00746452" w:rsidRPr="004F221E">
        <w:trPr>
          <w:tblHeader/>
          <w:jc w:val="center"/>
        </w:trPr>
        <w:tc>
          <w:tcPr>
            <w:tcW w:w="1440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模式</w:t>
            </w:r>
          </w:p>
        </w:tc>
        <w:tc>
          <w:tcPr>
            <w:tcW w:w="2520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主要用途</w:t>
            </w:r>
          </w:p>
        </w:tc>
        <w:tc>
          <w:tcPr>
            <w:tcW w:w="2376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数据来源</w:t>
            </w:r>
          </w:p>
        </w:tc>
        <w:tc>
          <w:tcPr>
            <w:tcW w:w="3600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使用原则</w:t>
            </w:r>
          </w:p>
        </w:tc>
      </w:tr>
      <w:tr w:rsidR="00746452" w:rsidRPr="004F221E">
        <w:trPr>
          <w:cantSplit/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仿真模式</w:t>
            </w:r>
          </w:p>
        </w:tc>
        <w:tc>
          <w:tcPr>
            <w:tcW w:w="25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日常开发、演示和性能测试</w:t>
            </w:r>
          </w:p>
        </w:tc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后端场景生成器</w:t>
            </w:r>
          </w:p>
        </w:tc>
        <w:tc>
          <w:tcPr>
            <w:tcW w:w="36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参数可配置，过程可复现，明确标注为仿真数据</w:t>
            </w:r>
          </w:p>
        </w:tc>
      </w:tr>
      <w:tr w:rsidR="00746452" w:rsidRPr="004F221E">
        <w:trPr>
          <w:cantSplit/>
          <w:jc w:val="center"/>
        </w:trPr>
        <w:tc>
          <w:tcPr>
            <w:tcW w:w="144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回放模式</w:t>
            </w:r>
          </w:p>
        </w:tc>
        <w:tc>
          <w:tcPr>
            <w:tcW w:w="252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算法调试、流程验收和问题复现</w:t>
            </w:r>
          </w:p>
        </w:tc>
        <w:tc>
          <w:tcPr>
            <w:tcW w:w="2376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固定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CSV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Excel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或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JSON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数据集</w:t>
            </w:r>
          </w:p>
        </w:tc>
        <w:tc>
          <w:tcPr>
            <w:tcW w:w="360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保留标准答案、场景编号和数据集版本</w:t>
            </w:r>
          </w:p>
        </w:tc>
      </w:tr>
      <w:tr w:rsidR="00746452" w:rsidRPr="004F221E">
        <w:trPr>
          <w:cantSplit/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真实模式</w:t>
            </w:r>
          </w:p>
        </w:tc>
        <w:tc>
          <w:tcPr>
            <w:tcW w:w="25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设备接入和示范应用</w:t>
            </w:r>
          </w:p>
        </w:tc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MQTT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HTTP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或文件上传</w:t>
            </w:r>
          </w:p>
        </w:tc>
        <w:tc>
          <w:tcPr>
            <w:tcW w:w="36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通过同一标准数据层进入后续评估和预警流程</w:t>
            </w:r>
          </w:p>
        </w:tc>
      </w:tr>
    </w:tbl>
    <w:p w:rsidR="00746452" w:rsidRPr="004F221E" w:rsidRDefault="00746452">
      <w:pPr>
        <w:spacing w:after="20"/>
        <w:rPr>
          <w:rFonts w:ascii="Times New Roman" w:eastAsia="宋体" w:hAnsi="Times New Roman" w:cs="Times New Roman"/>
          <w:lang w:eastAsia="zh-CN"/>
        </w:rPr>
      </w:pP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三种模式必须共用同一设备模型、数据标准、模型接口和预警流程。业务模块只读取标准数据层，不直接依赖某一种原始数据格式。</w:t>
      </w:r>
    </w:p>
    <w:p w:rsidR="00746452" w:rsidRPr="004F221E" w:rsidRDefault="00000000">
      <w:pPr>
        <w:pStyle w:val="21"/>
        <w:spacing w:before="140" w:after="100"/>
        <w:rPr>
          <w:rFonts w:ascii="Times New Roman" w:eastAsia="宋体" w:hAnsi="Times New Roman" w:cs="Times New Roman"/>
        </w:rPr>
      </w:pPr>
      <w:r w:rsidRPr="004F221E">
        <w:rPr>
          <w:rFonts w:ascii="Times New Roman" w:eastAsia="宋体" w:hAnsi="Times New Roman" w:cs="Times New Roman"/>
        </w:rPr>
        <w:t>300</w:t>
      </w:r>
      <w:r w:rsidRPr="004F221E">
        <w:rPr>
          <w:rFonts w:ascii="Times New Roman" w:eastAsia="宋体" w:hAnsi="Times New Roman" w:cs="Times New Roman"/>
        </w:rPr>
        <w:t>站仿真配置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584"/>
        <w:gridCol w:w="5472"/>
      </w:tblGrid>
      <w:tr w:rsidR="00746452" w:rsidRPr="004F221E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9"/>
              </w:rPr>
              <w:t>站点类型</w:t>
            </w:r>
          </w:p>
        </w:tc>
        <w:tc>
          <w:tcPr>
            <w:tcW w:w="1584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9"/>
              </w:rPr>
              <w:t>建议数量</w:t>
            </w:r>
          </w:p>
        </w:tc>
        <w:tc>
          <w:tcPr>
            <w:tcW w:w="5472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9"/>
              </w:rPr>
              <w:t>主要指标</w:t>
            </w:r>
          </w:p>
        </w:tc>
      </w:tr>
      <w:tr w:rsidR="00746452" w:rsidRPr="004F221E">
        <w:trPr>
          <w:cantSplit/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</w:rPr>
              <w:t>GNSS</w:t>
            </w:r>
            <w:r w:rsidRPr="004F221E">
              <w:rPr>
                <w:rFonts w:ascii="Times New Roman" w:eastAsia="宋体" w:hAnsi="Times New Roman" w:cs="Times New Roman"/>
                <w:sz w:val="19"/>
              </w:rPr>
              <w:t>及位移站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</w:rPr>
              <w:t>100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  <w:lang w:eastAsia="zh-CN"/>
              </w:rPr>
              <w:t>经纬度、高程、水平位移、垂直位移、沉降速率</w:t>
            </w:r>
          </w:p>
        </w:tc>
      </w:tr>
      <w:tr w:rsidR="00746452" w:rsidRPr="004F221E">
        <w:trPr>
          <w:cantSplit/>
          <w:jc w:val="center"/>
        </w:trPr>
        <w:tc>
          <w:tcPr>
            <w:tcW w:w="288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</w:rPr>
              <w:t>气象监测站</w:t>
            </w:r>
          </w:p>
        </w:tc>
        <w:tc>
          <w:tcPr>
            <w:tcW w:w="1584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</w:rPr>
              <w:t>80</w:t>
            </w:r>
          </w:p>
        </w:tc>
        <w:tc>
          <w:tcPr>
            <w:tcW w:w="547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  <w:lang w:eastAsia="zh-CN"/>
              </w:rPr>
              <w:t>温度、湿度、风速、风向、气压、雨量</w:t>
            </w:r>
          </w:p>
        </w:tc>
      </w:tr>
      <w:tr w:rsidR="00746452" w:rsidRPr="004F221E">
        <w:trPr>
          <w:cantSplit/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</w:rPr>
              <w:t>燃气监测终端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</w:rPr>
              <w:t>50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  <w:lang w:eastAsia="zh-CN"/>
              </w:rPr>
              <w:t>甲烷浓度、乙烷组分、管道压力、阴保电位</w:t>
            </w:r>
          </w:p>
        </w:tc>
      </w:tr>
      <w:tr w:rsidR="00746452" w:rsidRPr="004F221E">
        <w:trPr>
          <w:cantSplit/>
          <w:jc w:val="center"/>
        </w:trPr>
        <w:tc>
          <w:tcPr>
            <w:tcW w:w="288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</w:rPr>
              <w:lastRenderedPageBreak/>
              <w:t>供水监测终端</w:t>
            </w:r>
          </w:p>
        </w:tc>
        <w:tc>
          <w:tcPr>
            <w:tcW w:w="1584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</w:rPr>
              <w:t>40</w:t>
            </w:r>
          </w:p>
        </w:tc>
        <w:tc>
          <w:tcPr>
            <w:tcW w:w="547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  <w:lang w:eastAsia="zh-CN"/>
              </w:rPr>
              <w:t>压力、流量、流速和水锤异常</w:t>
            </w:r>
          </w:p>
        </w:tc>
      </w:tr>
      <w:tr w:rsidR="00746452" w:rsidRPr="004F221E">
        <w:trPr>
          <w:cantSplit/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</w:rPr>
              <w:t>供热监测终端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</w:rPr>
              <w:t>30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9"/>
                <w:lang w:eastAsia="zh-CN"/>
              </w:rPr>
              <w:t>供回水温度、压力、流量和补水量</w:t>
            </w:r>
          </w:p>
        </w:tc>
      </w:tr>
    </w:tbl>
    <w:p w:rsidR="00746452" w:rsidRPr="004F221E" w:rsidRDefault="00746452">
      <w:pPr>
        <w:spacing w:after="20"/>
        <w:rPr>
          <w:rFonts w:ascii="Times New Roman" w:eastAsia="宋体" w:hAnsi="Times New Roman" w:cs="Times New Roman"/>
          <w:lang w:eastAsia="zh-CN"/>
        </w:rPr>
      </w:pPr>
    </w:p>
    <w:p w:rsidR="00746452" w:rsidRPr="004F221E" w:rsidRDefault="00000000">
      <w:pPr>
        <w:pStyle w:val="21"/>
        <w:spacing w:before="140" w:after="100"/>
        <w:rPr>
          <w:rFonts w:ascii="Times New Roman" w:eastAsia="宋体" w:hAnsi="Times New Roman" w:cs="Times New Roman"/>
        </w:rPr>
      </w:pPr>
      <w:r w:rsidRPr="004F221E">
        <w:rPr>
          <w:rFonts w:ascii="Times New Roman" w:eastAsia="宋体" w:hAnsi="Times New Roman" w:cs="Times New Roman"/>
        </w:rPr>
        <w:t>典型风险场景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正常运行场景：各指标在合理范围内小幅波动，不产生预警。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强降雨场景：降雨持续增强，土壤含水和地表位移随时间上升。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燃气泄漏场景：甲烷浓度持续升高、管道压力下降，触发燃气预警。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供水爆管场景：压力突降、流量异常，并对邻近管线和地质条件产生影响。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热力异常场景：供回水温差、压力和补水量出现联合异常。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多系统耦合场景：强降雨引起位移变化，继而影响燃气、供水或供热管段，最终触发综合预警。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每个场景均应包括场景编号、时间轴、指标曲线、预期风险等级、预期预警、处置流程和固定随机种子。模拟数据不得使用无法复现的前端随机数作为正式验证依据。</w:t>
      </w:r>
    </w:p>
    <w:p w:rsidR="00746452" w:rsidRPr="004F221E" w:rsidRDefault="00000000">
      <w:pPr>
        <w:pStyle w:val="21"/>
        <w:spacing w:before="140" w:after="100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真实数据替换流程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真实数据进入平台后，依次完成上传或接收、格式校验、字段映射、单位转换、时间对齐、质量检测、数据集版本生成、风险重新计算和结果对比。每条数据至少保存来源类型、数据集编号、场景编号、设备编号、采集时间、接收时间和质量标识。</w:t>
      </w:r>
    </w:p>
    <w:p w:rsidR="00746452" w:rsidRPr="004F221E" w:rsidRDefault="00000000">
      <w:pPr>
        <w:pStyle w:val="1"/>
        <w:spacing w:before="200" w:after="100"/>
        <w:rPr>
          <w:rFonts w:ascii="Times New Roman" w:eastAsia="宋体" w:hAnsi="Times New Roman" w:cs="Times New Roman"/>
        </w:rPr>
      </w:pPr>
      <w:r w:rsidRPr="004F221E">
        <w:rPr>
          <w:rFonts w:ascii="Times New Roman" w:eastAsia="宋体" w:hAnsi="Times New Roman" w:cs="Times New Roman"/>
        </w:rPr>
        <w:t>五</w:t>
      </w:r>
      <w:r w:rsidRPr="004F221E">
        <w:rPr>
          <w:rFonts w:ascii="Times New Roman" w:eastAsia="宋体" w:hAnsi="Times New Roman" w:cs="Times New Roman"/>
        </w:rPr>
        <w:t xml:space="preserve"> </w:t>
      </w:r>
      <w:r w:rsidRPr="004F221E">
        <w:rPr>
          <w:rFonts w:ascii="Times New Roman" w:eastAsia="宋体" w:hAnsi="Times New Roman" w:cs="Times New Roman"/>
        </w:rPr>
        <w:t>技术实施路线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感知层：真实设备、虚拟设备和回放数据产生气象、</w:t>
      </w:r>
      <w:r w:rsidRPr="004F221E">
        <w:rPr>
          <w:rFonts w:ascii="Times New Roman" w:eastAsia="宋体" w:hAnsi="Times New Roman" w:cs="Times New Roman"/>
          <w:lang w:eastAsia="zh-CN"/>
        </w:rPr>
        <w:t>GNSS</w:t>
      </w:r>
      <w:r w:rsidRPr="004F221E">
        <w:rPr>
          <w:rFonts w:ascii="Times New Roman" w:eastAsia="宋体" w:hAnsi="Times New Roman" w:cs="Times New Roman"/>
          <w:lang w:eastAsia="zh-CN"/>
        </w:rPr>
        <w:t>、甲烷、压力、流量、温度和位移数据。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通信接入层：通过</w:t>
      </w:r>
      <w:r w:rsidRPr="004F221E">
        <w:rPr>
          <w:rFonts w:ascii="Times New Roman" w:eastAsia="宋体" w:hAnsi="Times New Roman" w:cs="Times New Roman"/>
          <w:lang w:eastAsia="zh-CN"/>
        </w:rPr>
        <w:t>MQTT</w:t>
      </w:r>
      <w:r w:rsidRPr="004F221E">
        <w:rPr>
          <w:rFonts w:ascii="Times New Roman" w:eastAsia="宋体" w:hAnsi="Times New Roman" w:cs="Times New Roman"/>
          <w:lang w:eastAsia="zh-CN"/>
        </w:rPr>
        <w:t>、</w:t>
      </w:r>
      <w:r w:rsidRPr="004F221E">
        <w:rPr>
          <w:rFonts w:ascii="Times New Roman" w:eastAsia="宋体" w:hAnsi="Times New Roman" w:cs="Times New Roman"/>
          <w:lang w:eastAsia="zh-CN"/>
        </w:rPr>
        <w:t>HTTP</w:t>
      </w:r>
      <w:r w:rsidRPr="004F221E">
        <w:rPr>
          <w:rFonts w:ascii="Times New Roman" w:eastAsia="宋体" w:hAnsi="Times New Roman" w:cs="Times New Roman"/>
          <w:lang w:eastAsia="zh-CN"/>
        </w:rPr>
        <w:t>和文件上传接入，对数据进行认证、限流和格式校验。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标准数据层：完成单位转换、时序对齐、质量标记、去重及结构统一。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存储层：关系型数据库保存设备、用户、规则和事件，时序存储保存高频监测数据，</w:t>
      </w:r>
      <w:r w:rsidRPr="004F221E">
        <w:rPr>
          <w:rFonts w:ascii="Times New Roman" w:eastAsia="宋体" w:hAnsi="Times New Roman" w:cs="Times New Roman"/>
          <w:lang w:eastAsia="zh-CN"/>
        </w:rPr>
        <w:t>Redis</w:t>
      </w:r>
      <w:r w:rsidRPr="004F221E">
        <w:rPr>
          <w:rFonts w:ascii="Times New Roman" w:eastAsia="宋体" w:hAnsi="Times New Roman" w:cs="Times New Roman"/>
          <w:lang w:eastAsia="zh-CN"/>
        </w:rPr>
        <w:t>保存最新状态和热点结果。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模型服务层：通过统一接口调用短临降雨、位移研判、管道异常和多系统耦合模型。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业务层：形成风险计算、规则判断、预警生成、处置闭环、历史分析和报告导出。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展示层：复用现有综合态势、数据接入、专题研判、预警处置和历史分析页面。</w:t>
      </w:r>
    </w:p>
    <w:p w:rsidR="00746452" w:rsidRPr="004F221E" w:rsidRDefault="00000000">
      <w:pPr>
        <w:pStyle w:val="1"/>
        <w:spacing w:before="200" w:after="100"/>
        <w:rPr>
          <w:rFonts w:ascii="Times New Roman" w:eastAsia="宋体" w:hAnsi="Times New Roman" w:cs="Times New Roman"/>
        </w:rPr>
      </w:pPr>
      <w:r w:rsidRPr="004F221E">
        <w:rPr>
          <w:rFonts w:ascii="Times New Roman" w:eastAsia="宋体" w:hAnsi="Times New Roman" w:cs="Times New Roman"/>
        </w:rPr>
        <w:t>六</w:t>
      </w:r>
      <w:r w:rsidRPr="004F221E">
        <w:rPr>
          <w:rFonts w:ascii="Times New Roman" w:eastAsia="宋体" w:hAnsi="Times New Roman" w:cs="Times New Roman"/>
        </w:rPr>
        <w:t xml:space="preserve"> </w:t>
      </w:r>
      <w:r w:rsidRPr="004F221E">
        <w:rPr>
          <w:rFonts w:ascii="Times New Roman" w:eastAsia="宋体" w:hAnsi="Times New Roman" w:cs="Times New Roman"/>
        </w:rPr>
        <w:t>分阶段开发计划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3"/>
        <w:gridCol w:w="1800"/>
        <w:gridCol w:w="4320"/>
        <w:gridCol w:w="2232"/>
      </w:tblGrid>
      <w:tr w:rsidR="00746452" w:rsidRPr="004F221E">
        <w:trPr>
          <w:tblHeader/>
          <w:jc w:val="center"/>
        </w:trPr>
        <w:tc>
          <w:tcPr>
            <w:tcW w:w="1613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7"/>
              </w:rPr>
              <w:t>时间</w:t>
            </w:r>
          </w:p>
        </w:tc>
        <w:tc>
          <w:tcPr>
            <w:tcW w:w="1800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7"/>
              </w:rPr>
              <w:t>阶段目标</w:t>
            </w:r>
          </w:p>
        </w:tc>
        <w:tc>
          <w:tcPr>
            <w:tcW w:w="4320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7"/>
              </w:rPr>
              <w:t>主要工作</w:t>
            </w:r>
          </w:p>
        </w:tc>
        <w:tc>
          <w:tcPr>
            <w:tcW w:w="2232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7"/>
              </w:rPr>
              <w:t>阶段出口</w:t>
            </w:r>
          </w:p>
        </w:tc>
      </w:tr>
      <w:tr w:rsidR="00746452" w:rsidRPr="004F221E">
        <w:trPr>
          <w:cantSplit/>
          <w:jc w:val="center"/>
        </w:trPr>
        <w:tc>
          <w:tcPr>
            <w:tcW w:w="161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lastRenderedPageBreak/>
              <w:t>9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5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日至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9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13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范围和接口冻结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建立任务书指标矩阵；确定三类灾种和三个管线系统；冻结数据标准、模型接口和预警状态机；联系第三方机构确认测试口径；建立代码基线</w:t>
            </w:r>
          </w:p>
        </w:tc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需求矩阵、接口规范、样例数据、测试用例初稿通过评审</w:t>
            </w:r>
          </w:p>
        </w:tc>
      </w:tr>
      <w:tr w:rsidR="00746452" w:rsidRPr="004F221E">
        <w:trPr>
          <w:cantSplit/>
          <w:jc w:val="center"/>
        </w:trPr>
        <w:tc>
          <w:tcPr>
            <w:tcW w:w="1613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9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14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日至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9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27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</w:t>
            </w:r>
          </w:p>
        </w:tc>
        <w:tc>
          <w:tcPr>
            <w:tcW w:w="180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数据接入与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300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站底座</w:t>
            </w:r>
          </w:p>
        </w:tc>
        <w:tc>
          <w:tcPr>
            <w:tcW w:w="432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建设设备和站点台账；实现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HTTP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、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MQTT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及文件上传；实现数据校验、质量标记和时序存储；建设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300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站生成器和数据回放；改造数据接入页面</w:t>
            </w:r>
          </w:p>
        </w:tc>
        <w:tc>
          <w:tcPr>
            <w:tcW w:w="223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300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站可连续上报；可查看在线状态、延迟、完整率和异常原因</w:t>
            </w:r>
          </w:p>
        </w:tc>
      </w:tr>
      <w:tr w:rsidR="00746452" w:rsidRPr="004F221E">
        <w:trPr>
          <w:cantSplit/>
          <w:jc w:val="center"/>
        </w:trPr>
        <w:tc>
          <w:tcPr>
            <w:tcW w:w="161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9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28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日至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10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风险模型服务化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统一模型输入输出；实现三类灾种、三类管线单系统风险和耦合风险；记录数据来源、模型版本及计算依据；前端专题页面改用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API</w:t>
            </w:r>
          </w:p>
        </w:tc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典型场景可稳定生成可追溯的风险结果，正式页面停止使用随机业务结果</w:t>
            </w:r>
          </w:p>
        </w:tc>
      </w:tr>
      <w:tr w:rsidR="00746452" w:rsidRPr="004F221E">
        <w:trPr>
          <w:cantSplit/>
          <w:jc w:val="center"/>
        </w:trPr>
        <w:tc>
          <w:tcPr>
            <w:tcW w:w="1613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10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12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日至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10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25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</w:t>
            </w:r>
          </w:p>
        </w:tc>
        <w:tc>
          <w:tcPr>
            <w:tcW w:w="180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预警处置闭环</w:t>
            </w:r>
          </w:p>
        </w:tc>
        <w:tc>
          <w:tcPr>
            <w:tcW w:w="432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持久化预警规则；实现阈值、持续时间、去重、合并、升级和解除；完成确认、派单、处置和关闭；增加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API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权限和审计</w:t>
            </w:r>
          </w:p>
        </w:tc>
        <w:tc>
          <w:tcPr>
            <w:tcW w:w="223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一条事件可从数据异常自动触发并完成闭环，刷新或换用户后记录不丢失</w:t>
            </w:r>
          </w:p>
        </w:tc>
      </w:tr>
      <w:tr w:rsidR="00746452" w:rsidRPr="004F221E">
        <w:trPr>
          <w:cantSplit/>
          <w:jc w:val="center"/>
        </w:trPr>
        <w:tc>
          <w:tcPr>
            <w:tcW w:w="161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10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26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日至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8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历史分析与部署运维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实现历史聚合查询、区域对比和报告导出；增加健康检查、日志、备份恢复；优化索引和缓存；固化部署脚本</w:t>
            </w:r>
          </w:p>
        </w:tc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结题环境连续运行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72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小时，重启后数据完整，可从原始数据追溯至处置结果</w:t>
            </w:r>
          </w:p>
        </w:tc>
      </w:tr>
      <w:tr w:rsidR="00746452" w:rsidRPr="004F221E">
        <w:trPr>
          <w:cantSplit/>
          <w:jc w:val="center"/>
        </w:trPr>
        <w:tc>
          <w:tcPr>
            <w:tcW w:w="1613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9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日至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15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</w:t>
            </w:r>
          </w:p>
        </w:tc>
        <w:tc>
          <w:tcPr>
            <w:tcW w:w="180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系统测试与代码冻结</w:t>
            </w:r>
          </w:p>
        </w:tc>
        <w:tc>
          <w:tcPr>
            <w:tcW w:w="432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执行功能、集成、安全、故障恢复、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300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站和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2000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并发测试；修复高优先级问题；冻结数据库和接口</w:t>
            </w:r>
          </w:p>
        </w:tc>
        <w:tc>
          <w:tcPr>
            <w:tcW w:w="223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核心功能全部通过，形成内部测试报告和代码冻结版本</w:t>
            </w:r>
          </w:p>
        </w:tc>
      </w:tr>
      <w:tr w:rsidR="00746452" w:rsidRPr="004F221E">
        <w:trPr>
          <w:cantSplit/>
          <w:jc w:val="center"/>
        </w:trPr>
        <w:tc>
          <w:tcPr>
            <w:tcW w:w="161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16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日至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22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内部预验收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按专家验收路径完成全流程演练；检查文档、部署包、演示数据和性能证据；只修复缺陷</w:t>
            </w:r>
          </w:p>
        </w:tc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形成可提交第三方预测试的候选版本</w:t>
            </w:r>
          </w:p>
        </w:tc>
      </w:tr>
      <w:tr w:rsidR="00746452" w:rsidRPr="004F221E">
        <w:trPr>
          <w:cantSplit/>
          <w:jc w:val="center"/>
        </w:trPr>
        <w:tc>
          <w:tcPr>
            <w:tcW w:w="1613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23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日至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30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</w:t>
            </w:r>
          </w:p>
        </w:tc>
        <w:tc>
          <w:tcPr>
            <w:tcW w:w="180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第三方预测试与封版</w:t>
            </w:r>
          </w:p>
        </w:tc>
        <w:tc>
          <w:tcPr>
            <w:tcW w:w="432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开展预测试；关闭高优先级问题；定稿用户手册、部署手册、测试报告和软著材料；备份部署包与演示录像</w:t>
            </w:r>
          </w:p>
        </w:tc>
        <w:tc>
          <w:tcPr>
            <w:tcW w:w="223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月底达到随时可正式检测和答辩的状态</w:t>
            </w:r>
          </w:p>
        </w:tc>
      </w:tr>
      <w:tr w:rsidR="00746452" w:rsidRPr="004F221E">
        <w:trPr>
          <w:cantSplit/>
          <w:jc w:val="center"/>
        </w:trPr>
        <w:tc>
          <w:tcPr>
            <w:tcW w:w="161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12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日至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12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31</w:t>
            </w:r>
            <w:r w:rsidRPr="004F221E">
              <w:rPr>
                <w:rFonts w:ascii="Times New Roman" w:eastAsia="宋体" w:hAnsi="Times New Roman" w:cs="Times New Roman"/>
                <w:sz w:val="17"/>
              </w:rPr>
              <w:t>日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</w:rPr>
              <w:t>整改和正式结题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完成第三方整改、正式检测、最终回归、示范材料、结题报告、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PPT</w:t>
            </w: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和答辩演练</w:t>
            </w:r>
          </w:p>
        </w:tc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7"/>
                <w:lang w:eastAsia="zh-CN"/>
              </w:rPr>
              <w:t>不再改变核心架构，仅处理测试和材料问题</w:t>
            </w:r>
          </w:p>
        </w:tc>
      </w:tr>
    </w:tbl>
    <w:p w:rsidR="00746452" w:rsidRPr="004F221E" w:rsidRDefault="00746452">
      <w:pPr>
        <w:spacing w:after="20"/>
        <w:rPr>
          <w:rFonts w:ascii="Times New Roman" w:eastAsia="宋体" w:hAnsi="Times New Roman" w:cs="Times New Roman"/>
          <w:lang w:eastAsia="zh-CN"/>
        </w:rPr>
      </w:pPr>
    </w:p>
    <w:p w:rsidR="00746452" w:rsidRPr="004F221E" w:rsidRDefault="00000000">
      <w:pPr>
        <w:pStyle w:val="1"/>
        <w:spacing w:before="200" w:after="100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七</w:t>
      </w:r>
      <w:r w:rsidRPr="004F221E">
        <w:rPr>
          <w:rFonts w:ascii="Times New Roman" w:eastAsia="宋体" w:hAnsi="Times New Roman" w:cs="Times New Roman"/>
          <w:lang w:eastAsia="zh-CN"/>
        </w:rPr>
        <w:t xml:space="preserve"> </w:t>
      </w:r>
      <w:r w:rsidRPr="004F221E">
        <w:rPr>
          <w:rFonts w:ascii="Times New Roman" w:eastAsia="宋体" w:hAnsi="Times New Roman" w:cs="Times New Roman"/>
          <w:lang w:eastAsia="zh-CN"/>
        </w:rPr>
        <w:t>验收测试方案</w:t>
      </w:r>
    </w:p>
    <w:p w:rsidR="00746452" w:rsidRPr="004F221E" w:rsidRDefault="00000000">
      <w:pPr>
        <w:pStyle w:val="21"/>
        <w:spacing w:before="140" w:after="100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全链条验收路径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启动</w:t>
      </w:r>
      <w:r w:rsidRPr="004F221E">
        <w:rPr>
          <w:rFonts w:ascii="Times New Roman" w:eastAsia="宋体" w:hAnsi="Times New Roman" w:cs="Times New Roman"/>
          <w:lang w:eastAsia="zh-CN"/>
        </w:rPr>
        <w:t>300</w:t>
      </w:r>
      <w:r w:rsidRPr="004F221E">
        <w:rPr>
          <w:rFonts w:ascii="Times New Roman" w:eastAsia="宋体" w:hAnsi="Times New Roman" w:cs="Times New Roman"/>
          <w:lang w:eastAsia="zh-CN"/>
        </w:rPr>
        <w:t>个站点并展示在线状态、数据频率和数据质量。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选择正常、单灾种或耦合风险场景，启动仿真或回放。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展示监测数据通过通信接入并进入标准数据层。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展示三类管线风险、交叉区域耦合风险和综合风险计算。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展示规则触发和预警生成，并追溯数据来源及模型版本。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以不同角色完成确认、派单、处置和关闭。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查询历史趋势、预警统计和操作审计，并导出报告。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展示</w:t>
      </w:r>
      <w:r w:rsidRPr="004F221E">
        <w:rPr>
          <w:rFonts w:ascii="Times New Roman" w:eastAsia="宋体" w:hAnsi="Times New Roman" w:cs="Times New Roman"/>
          <w:lang w:eastAsia="zh-CN"/>
        </w:rPr>
        <w:t>300</w:t>
      </w:r>
      <w:r w:rsidRPr="004F221E">
        <w:rPr>
          <w:rFonts w:ascii="Times New Roman" w:eastAsia="宋体" w:hAnsi="Times New Roman" w:cs="Times New Roman"/>
          <w:lang w:eastAsia="zh-CN"/>
        </w:rPr>
        <w:t>站处理和</w:t>
      </w:r>
      <w:r w:rsidRPr="004F221E">
        <w:rPr>
          <w:rFonts w:ascii="Times New Roman" w:eastAsia="宋体" w:hAnsi="Times New Roman" w:cs="Times New Roman"/>
          <w:lang w:eastAsia="zh-CN"/>
        </w:rPr>
        <w:t>2000</w:t>
      </w:r>
      <w:r w:rsidRPr="004F221E">
        <w:rPr>
          <w:rFonts w:ascii="Times New Roman" w:eastAsia="宋体" w:hAnsi="Times New Roman" w:cs="Times New Roman"/>
          <w:lang w:eastAsia="zh-CN"/>
        </w:rPr>
        <w:t>并发测试结果。</w:t>
      </w:r>
    </w:p>
    <w:p w:rsidR="00746452" w:rsidRPr="004F221E" w:rsidRDefault="00000000">
      <w:pPr>
        <w:pStyle w:val="21"/>
        <w:spacing w:before="140" w:after="100"/>
        <w:rPr>
          <w:rFonts w:ascii="Times New Roman" w:eastAsia="宋体" w:hAnsi="Times New Roman" w:cs="Times New Roman"/>
        </w:rPr>
      </w:pPr>
      <w:r w:rsidRPr="004F221E">
        <w:rPr>
          <w:rFonts w:ascii="Times New Roman" w:eastAsia="宋体" w:hAnsi="Times New Roman" w:cs="Times New Roman"/>
        </w:rPr>
        <w:lastRenderedPageBreak/>
        <w:t>建议内部性能口径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2000</w:t>
      </w:r>
      <w:r w:rsidRPr="004F221E">
        <w:rPr>
          <w:rFonts w:ascii="Times New Roman" w:eastAsia="宋体" w:hAnsi="Times New Roman" w:cs="Times New Roman"/>
          <w:lang w:eastAsia="zh-CN"/>
        </w:rPr>
        <w:t>并发用户持续访问</w:t>
      </w:r>
      <w:r w:rsidRPr="004F221E">
        <w:rPr>
          <w:rFonts w:ascii="Times New Roman" w:eastAsia="宋体" w:hAnsi="Times New Roman" w:cs="Times New Roman"/>
          <w:lang w:eastAsia="zh-CN"/>
        </w:rPr>
        <w:t>30</w:t>
      </w:r>
      <w:r w:rsidRPr="004F221E">
        <w:rPr>
          <w:rFonts w:ascii="Times New Roman" w:eastAsia="宋体" w:hAnsi="Times New Roman" w:cs="Times New Roman"/>
          <w:lang w:eastAsia="zh-CN"/>
        </w:rPr>
        <w:t>分钟。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核心查询接口错误率低于</w:t>
      </w:r>
      <w:r w:rsidRPr="004F221E">
        <w:rPr>
          <w:rFonts w:ascii="Times New Roman" w:eastAsia="宋体" w:hAnsi="Times New Roman" w:cs="Times New Roman"/>
          <w:lang w:eastAsia="zh-CN"/>
        </w:rPr>
        <w:t>1%</w:t>
      </w:r>
      <w:r w:rsidRPr="004F221E">
        <w:rPr>
          <w:rFonts w:ascii="Times New Roman" w:eastAsia="宋体" w:hAnsi="Times New Roman" w:cs="Times New Roman"/>
          <w:lang w:eastAsia="zh-CN"/>
        </w:rPr>
        <w:t>。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95%</w:t>
      </w:r>
      <w:r w:rsidRPr="004F221E">
        <w:rPr>
          <w:rFonts w:ascii="Times New Roman" w:eastAsia="宋体" w:hAnsi="Times New Roman" w:cs="Times New Roman"/>
          <w:lang w:eastAsia="zh-CN"/>
        </w:rPr>
        <w:t>的核心查询请求在</w:t>
      </w:r>
      <w:r w:rsidRPr="004F221E">
        <w:rPr>
          <w:rFonts w:ascii="Times New Roman" w:eastAsia="宋体" w:hAnsi="Times New Roman" w:cs="Times New Roman"/>
          <w:lang w:eastAsia="zh-CN"/>
        </w:rPr>
        <w:t>2</w:t>
      </w:r>
      <w:r w:rsidRPr="004F221E">
        <w:rPr>
          <w:rFonts w:ascii="Times New Roman" w:eastAsia="宋体" w:hAnsi="Times New Roman" w:cs="Times New Roman"/>
          <w:lang w:eastAsia="zh-CN"/>
        </w:rPr>
        <w:t>秒内完成。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300</w:t>
      </w:r>
      <w:r w:rsidRPr="004F221E">
        <w:rPr>
          <w:rFonts w:ascii="Times New Roman" w:eastAsia="宋体" w:hAnsi="Times New Roman" w:cs="Times New Roman"/>
          <w:lang w:eastAsia="zh-CN"/>
        </w:rPr>
        <w:t>站持续上报期间不出现明显数据积压和异常数据丢失。</w:t>
      </w:r>
    </w:p>
    <w:p w:rsidR="00746452" w:rsidRPr="004F221E" w:rsidRDefault="00000000">
      <w:pPr>
        <w:pStyle w:val="a0"/>
        <w:spacing w:after="60" w:line="300" w:lineRule="auto"/>
        <w:ind w:left="317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服务或缓存短时故障恢复后，平台能够继续接收和处理数据。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上述指标作为内部控制值，最终检测场景、持续时间、接口组合和统计方法应在</w:t>
      </w:r>
      <w:r w:rsidRPr="004F221E">
        <w:rPr>
          <w:rFonts w:ascii="Times New Roman" w:eastAsia="宋体" w:hAnsi="Times New Roman" w:cs="Times New Roman"/>
          <w:lang w:eastAsia="zh-CN"/>
        </w:rPr>
        <w:t>9</w:t>
      </w:r>
      <w:r w:rsidRPr="004F221E">
        <w:rPr>
          <w:rFonts w:ascii="Times New Roman" w:eastAsia="宋体" w:hAnsi="Times New Roman" w:cs="Times New Roman"/>
          <w:lang w:eastAsia="zh-CN"/>
        </w:rPr>
        <w:t>月与第三方检测机构确认。</w:t>
      </w:r>
    </w:p>
    <w:p w:rsidR="00746452" w:rsidRPr="004F221E" w:rsidRDefault="00000000">
      <w:pPr>
        <w:pStyle w:val="21"/>
        <w:spacing w:before="140" w:after="100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准确率验证边界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仿真数据能够验证平台功能、流程和处理能力，但不能单独证明综合风险预警准确率达到</w:t>
      </w:r>
      <w:r w:rsidRPr="004F221E">
        <w:rPr>
          <w:rFonts w:ascii="Times New Roman" w:eastAsia="宋体" w:hAnsi="Times New Roman" w:cs="Times New Roman"/>
          <w:lang w:eastAsia="zh-CN"/>
        </w:rPr>
        <w:t>90%</w:t>
      </w:r>
      <w:r w:rsidRPr="004F221E">
        <w:rPr>
          <w:rFonts w:ascii="Times New Roman" w:eastAsia="宋体" w:hAnsi="Times New Roman" w:cs="Times New Roman"/>
          <w:lang w:eastAsia="zh-CN"/>
        </w:rPr>
        <w:t>。平台应保留标准答案、预测结果、混淆矩阵、准确率、召回率、误报率、漏报率以及模型版本和数据集版本。最终准确率应使用真实标注数据、实验数据或经专家确认的数据集验证。</w:t>
      </w:r>
    </w:p>
    <w:p w:rsidR="00746452" w:rsidRPr="004F221E" w:rsidRDefault="00000000">
      <w:pPr>
        <w:pStyle w:val="1"/>
        <w:spacing w:before="200" w:after="100"/>
        <w:rPr>
          <w:rFonts w:ascii="Times New Roman" w:eastAsia="宋体" w:hAnsi="Times New Roman" w:cs="Times New Roman"/>
        </w:rPr>
      </w:pPr>
      <w:r w:rsidRPr="004F221E">
        <w:rPr>
          <w:rFonts w:ascii="Times New Roman" w:eastAsia="宋体" w:hAnsi="Times New Roman" w:cs="Times New Roman"/>
        </w:rPr>
        <w:t>八</w:t>
      </w:r>
      <w:r w:rsidRPr="004F221E">
        <w:rPr>
          <w:rFonts w:ascii="Times New Roman" w:eastAsia="宋体" w:hAnsi="Times New Roman" w:cs="Times New Roman"/>
        </w:rPr>
        <w:t xml:space="preserve"> </w:t>
      </w:r>
      <w:r w:rsidRPr="004F221E">
        <w:rPr>
          <w:rFonts w:ascii="Times New Roman" w:eastAsia="宋体" w:hAnsi="Times New Roman" w:cs="Times New Roman"/>
        </w:rPr>
        <w:t>交付物清单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6552"/>
        <w:gridCol w:w="1872"/>
      </w:tblGrid>
      <w:tr w:rsidR="00746452" w:rsidRPr="004F221E">
        <w:trPr>
          <w:tblHeader/>
          <w:jc w:val="center"/>
        </w:trPr>
        <w:tc>
          <w:tcPr>
            <w:tcW w:w="1656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类别</w:t>
            </w:r>
          </w:p>
        </w:tc>
        <w:tc>
          <w:tcPr>
            <w:tcW w:w="6552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主要交付物</w:t>
            </w:r>
          </w:p>
        </w:tc>
        <w:tc>
          <w:tcPr>
            <w:tcW w:w="1872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完成节点</w:t>
            </w:r>
          </w:p>
        </w:tc>
      </w:tr>
      <w:tr w:rsidR="00746452" w:rsidRPr="004F221E">
        <w:trPr>
          <w:cantSplit/>
          <w:jc w:val="center"/>
        </w:trPr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软件系统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前端页面、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Java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后端、数据库脚本、缓存和时序存储配置、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MQTT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或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HTTP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接入、部署脚本</w:t>
            </w:r>
          </w:p>
        </w:tc>
        <w:tc>
          <w:tcPr>
            <w:tcW w:w="18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15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日</w:t>
            </w:r>
          </w:p>
        </w:tc>
      </w:tr>
      <w:tr w:rsidR="00746452" w:rsidRPr="004F221E">
        <w:trPr>
          <w:cantSplit/>
          <w:jc w:val="center"/>
        </w:trPr>
        <w:tc>
          <w:tcPr>
            <w:tcW w:w="1656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数据资产</w:t>
            </w:r>
          </w:p>
        </w:tc>
        <w:tc>
          <w:tcPr>
            <w:tcW w:w="655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300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站台账、六类场景数据、回放数据集、上传模板、字段字典、质量规则</w:t>
            </w:r>
          </w:p>
        </w:tc>
        <w:tc>
          <w:tcPr>
            <w:tcW w:w="187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10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日</w:t>
            </w:r>
          </w:p>
        </w:tc>
      </w:tr>
      <w:tr w:rsidR="00746452" w:rsidRPr="004F221E">
        <w:trPr>
          <w:cantSplit/>
          <w:jc w:val="center"/>
        </w:trPr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接口文档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OpenAPI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文档、数据接入规范、模型接口规范、错误码和权限说明</w:t>
            </w:r>
          </w:p>
        </w:tc>
        <w:tc>
          <w:tcPr>
            <w:tcW w:w="18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10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25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日</w:t>
            </w:r>
          </w:p>
        </w:tc>
      </w:tr>
      <w:tr w:rsidR="00746452" w:rsidRPr="004F221E">
        <w:trPr>
          <w:cantSplit/>
          <w:jc w:val="center"/>
        </w:trPr>
        <w:tc>
          <w:tcPr>
            <w:tcW w:w="1656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测试材料</w:t>
            </w:r>
          </w:p>
        </w:tc>
        <w:tc>
          <w:tcPr>
            <w:tcW w:w="655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功能、集成、安全、故障恢复、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300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站和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2000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并发测试报告</w:t>
            </w:r>
          </w:p>
        </w:tc>
        <w:tc>
          <w:tcPr>
            <w:tcW w:w="187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22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日</w:t>
            </w:r>
          </w:p>
        </w:tc>
      </w:tr>
      <w:tr w:rsidR="00746452" w:rsidRPr="004F221E">
        <w:trPr>
          <w:cantSplit/>
          <w:jc w:val="center"/>
        </w:trPr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运维材料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部署手册、用户手册、管理员手册、备份恢复和故障处理说明</w:t>
            </w:r>
          </w:p>
        </w:tc>
        <w:tc>
          <w:tcPr>
            <w:tcW w:w="18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22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日</w:t>
            </w:r>
          </w:p>
        </w:tc>
      </w:tr>
      <w:tr w:rsidR="00746452" w:rsidRPr="004F221E">
        <w:trPr>
          <w:cantSplit/>
          <w:jc w:val="center"/>
        </w:trPr>
        <w:tc>
          <w:tcPr>
            <w:tcW w:w="1656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结题材料</w:t>
            </w:r>
          </w:p>
        </w:tc>
        <w:tc>
          <w:tcPr>
            <w:tcW w:w="655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第三方检测报告、软件著作权材料、示范应用报告、演示录像、结题汇报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PPT</w:t>
            </w:r>
          </w:p>
        </w:tc>
        <w:tc>
          <w:tcPr>
            <w:tcW w:w="1872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12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月完成</w:t>
            </w:r>
          </w:p>
        </w:tc>
      </w:tr>
    </w:tbl>
    <w:p w:rsidR="00746452" w:rsidRPr="004F221E" w:rsidRDefault="00746452">
      <w:pPr>
        <w:spacing w:after="20"/>
        <w:rPr>
          <w:rFonts w:ascii="Times New Roman" w:eastAsia="宋体" w:hAnsi="Times New Roman" w:cs="Times New Roman"/>
        </w:rPr>
      </w:pPr>
    </w:p>
    <w:p w:rsidR="00746452" w:rsidRPr="004F221E" w:rsidRDefault="00000000">
      <w:pPr>
        <w:pStyle w:val="1"/>
        <w:spacing w:before="200" w:after="100"/>
        <w:rPr>
          <w:rFonts w:ascii="Times New Roman" w:eastAsia="宋体" w:hAnsi="Times New Roman" w:cs="Times New Roman"/>
        </w:rPr>
      </w:pPr>
      <w:r w:rsidRPr="004F221E">
        <w:rPr>
          <w:rFonts w:ascii="Times New Roman" w:eastAsia="宋体" w:hAnsi="Times New Roman" w:cs="Times New Roman"/>
        </w:rPr>
        <w:t>九</w:t>
      </w:r>
      <w:r w:rsidRPr="004F221E">
        <w:rPr>
          <w:rFonts w:ascii="Times New Roman" w:eastAsia="宋体" w:hAnsi="Times New Roman" w:cs="Times New Roman"/>
        </w:rPr>
        <w:t xml:space="preserve"> </w:t>
      </w:r>
      <w:r w:rsidRPr="004F221E">
        <w:rPr>
          <w:rFonts w:ascii="Times New Roman" w:eastAsia="宋体" w:hAnsi="Times New Roman" w:cs="Times New Roman"/>
        </w:rPr>
        <w:t>风险控制与外部协同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5976"/>
        <w:gridCol w:w="1800"/>
      </w:tblGrid>
      <w:tr w:rsidR="00746452" w:rsidRPr="004F221E">
        <w:trPr>
          <w:tblHeader/>
          <w:jc w:val="center"/>
        </w:trPr>
        <w:tc>
          <w:tcPr>
            <w:tcW w:w="2304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主要风险</w:t>
            </w:r>
          </w:p>
        </w:tc>
        <w:tc>
          <w:tcPr>
            <w:tcW w:w="5976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应对措施</w:t>
            </w:r>
          </w:p>
        </w:tc>
        <w:tc>
          <w:tcPr>
            <w:tcW w:w="1800" w:type="dxa"/>
            <w:shd w:val="clear" w:color="auto" w:fill="1F4E78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:rsidR="00746452" w:rsidRPr="004F221E" w:rsidRDefault="00000000">
            <w:pPr>
              <w:spacing w:after="0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最晚确认时间</w:t>
            </w:r>
          </w:p>
        </w:tc>
      </w:tr>
      <w:tr w:rsidR="00746452" w:rsidRPr="004F221E">
        <w:trPr>
          <w:cantSplit/>
          <w:jc w:val="center"/>
        </w:trPr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真实数据无法按时取得</w:t>
            </w:r>
          </w:p>
        </w:tc>
        <w:tc>
          <w:tcPr>
            <w:tcW w:w="59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按统一数据标准先完成仿真和回放；保留文件、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HTTP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和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MQTT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接入；真实数据到位后仅替换数据集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9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13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日</w:t>
            </w:r>
          </w:p>
        </w:tc>
      </w:tr>
      <w:tr w:rsidR="00746452" w:rsidRPr="004F221E">
        <w:trPr>
          <w:cantSplit/>
          <w:jc w:val="center"/>
        </w:trPr>
        <w:tc>
          <w:tcPr>
            <w:tcW w:w="2304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算法模型交付延迟</w:t>
            </w:r>
          </w:p>
        </w:tc>
        <w:tc>
          <w:tcPr>
            <w:tcW w:w="5976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先按正式接口实现版本化仿真模型；约定输入输出和模型版本；后期通过适配器替换</w:t>
            </w:r>
          </w:p>
        </w:tc>
        <w:tc>
          <w:tcPr>
            <w:tcW w:w="180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9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13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日</w:t>
            </w:r>
          </w:p>
        </w:tc>
      </w:tr>
      <w:tr w:rsidR="00746452" w:rsidRPr="004F221E">
        <w:trPr>
          <w:cantSplit/>
          <w:jc w:val="center"/>
        </w:trPr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第三方检测口径不明确</w:t>
            </w:r>
          </w:p>
        </w:tc>
        <w:tc>
          <w:tcPr>
            <w:tcW w:w="59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提前确认并发用户、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300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站、持续时间、接口组合和检测环境，按正式口径进行内部压测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9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13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日</w:t>
            </w:r>
          </w:p>
        </w:tc>
      </w:tr>
      <w:tr w:rsidR="00746452" w:rsidRPr="004F221E">
        <w:trPr>
          <w:cantSplit/>
          <w:jc w:val="center"/>
        </w:trPr>
        <w:tc>
          <w:tcPr>
            <w:tcW w:w="2304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lastRenderedPageBreak/>
              <w:t>示范区域证明材料不足</w:t>
            </w:r>
          </w:p>
        </w:tc>
        <w:tc>
          <w:tcPr>
            <w:tcW w:w="5976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尽早明确三处区域、管线范围、累计里程、用户单位及证明形式，平台保留区域和线路展示能力</w:t>
            </w:r>
          </w:p>
        </w:tc>
        <w:tc>
          <w:tcPr>
            <w:tcW w:w="180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9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30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日</w:t>
            </w:r>
          </w:p>
        </w:tc>
      </w:tr>
      <w:tr w:rsidR="00746452" w:rsidRPr="004F221E">
        <w:trPr>
          <w:cantSplit/>
          <w:jc w:val="center"/>
        </w:trPr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开发内容持续扩张</w:t>
            </w:r>
          </w:p>
        </w:tc>
        <w:tc>
          <w:tcPr>
            <w:tcW w:w="59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执行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P0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范围冻结；新需求进入结题后版本；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11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15</w:t>
            </w: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日后只修复缺陷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立即执行</w:t>
            </w:r>
          </w:p>
        </w:tc>
      </w:tr>
      <w:tr w:rsidR="00746452" w:rsidRPr="004F221E">
        <w:trPr>
          <w:cantSplit/>
          <w:jc w:val="center"/>
        </w:trPr>
        <w:tc>
          <w:tcPr>
            <w:tcW w:w="2304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代码和部署状态不稳定</w:t>
            </w:r>
          </w:p>
        </w:tc>
        <w:tc>
          <w:tcPr>
            <w:tcW w:w="5976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  <w:lang w:eastAsia="zh-CN"/>
              </w:rPr>
              <w:t>整理当前未提交变更；建立版本标签、部署包、数据库备份、回滚脚本和演示环境</w:t>
            </w:r>
          </w:p>
        </w:tc>
        <w:tc>
          <w:tcPr>
            <w:tcW w:w="1800" w:type="dxa"/>
            <w:shd w:val="clear" w:color="auto" w:fill="EDF4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46452" w:rsidRPr="004F221E" w:rsidRDefault="00000000">
            <w:pPr>
              <w:spacing w:after="0" w:line="276" w:lineRule="auto"/>
              <w:rPr>
                <w:rFonts w:ascii="Times New Roman" w:eastAsia="宋体" w:hAnsi="Times New Roman" w:cs="Times New Roman"/>
              </w:rPr>
            </w:pPr>
            <w:r w:rsidRPr="004F221E">
              <w:rPr>
                <w:rFonts w:ascii="Times New Roman" w:eastAsia="宋体" w:hAnsi="Times New Roman" w:cs="Times New Roman"/>
                <w:sz w:val="18"/>
              </w:rPr>
              <w:t>9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月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13</w:t>
            </w:r>
            <w:r w:rsidRPr="004F221E">
              <w:rPr>
                <w:rFonts w:ascii="Times New Roman" w:eastAsia="宋体" w:hAnsi="Times New Roman" w:cs="Times New Roman"/>
                <w:sz w:val="18"/>
              </w:rPr>
              <w:t>日</w:t>
            </w:r>
          </w:p>
        </w:tc>
      </w:tr>
    </w:tbl>
    <w:p w:rsidR="00746452" w:rsidRPr="004F221E" w:rsidRDefault="00746452">
      <w:pPr>
        <w:spacing w:after="20"/>
        <w:rPr>
          <w:rFonts w:ascii="Times New Roman" w:eastAsia="宋体" w:hAnsi="Times New Roman" w:cs="Times New Roman"/>
        </w:rPr>
      </w:pPr>
    </w:p>
    <w:p w:rsidR="00746452" w:rsidRPr="004F221E" w:rsidRDefault="00000000">
      <w:pPr>
        <w:pStyle w:val="1"/>
        <w:spacing w:before="200" w:after="100"/>
        <w:rPr>
          <w:rFonts w:ascii="Times New Roman" w:eastAsia="宋体" w:hAnsi="Times New Roman" w:cs="Times New Roman"/>
        </w:rPr>
      </w:pPr>
      <w:r w:rsidRPr="004F221E">
        <w:rPr>
          <w:rFonts w:ascii="Times New Roman" w:eastAsia="宋体" w:hAnsi="Times New Roman" w:cs="Times New Roman"/>
        </w:rPr>
        <w:t>十</w:t>
      </w:r>
      <w:r w:rsidRPr="004F221E">
        <w:rPr>
          <w:rFonts w:ascii="Times New Roman" w:eastAsia="宋体" w:hAnsi="Times New Roman" w:cs="Times New Roman"/>
        </w:rPr>
        <w:t xml:space="preserve"> </w:t>
      </w:r>
      <w:r w:rsidRPr="004F221E">
        <w:rPr>
          <w:rFonts w:ascii="Times New Roman" w:eastAsia="宋体" w:hAnsi="Times New Roman" w:cs="Times New Roman"/>
        </w:rPr>
        <w:t>近期两周行动清单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确定三类灾种、三类管线系统以及各自核心指标。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完成设备、监测数据、数据集、模型结果、预警和处置记录的数据结构设计。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制作</w:t>
      </w:r>
      <w:r w:rsidRPr="004F221E">
        <w:rPr>
          <w:rFonts w:ascii="Times New Roman" w:eastAsia="宋体" w:hAnsi="Times New Roman" w:cs="Times New Roman"/>
          <w:lang w:eastAsia="zh-CN"/>
        </w:rPr>
        <w:t>CSV</w:t>
      </w:r>
      <w:r w:rsidRPr="004F221E">
        <w:rPr>
          <w:rFonts w:ascii="Times New Roman" w:eastAsia="宋体" w:hAnsi="Times New Roman" w:cs="Times New Roman"/>
          <w:lang w:eastAsia="zh-CN"/>
        </w:rPr>
        <w:t>、</w:t>
      </w:r>
      <w:r w:rsidRPr="004F221E">
        <w:rPr>
          <w:rFonts w:ascii="Times New Roman" w:eastAsia="宋体" w:hAnsi="Times New Roman" w:cs="Times New Roman"/>
          <w:lang w:eastAsia="zh-CN"/>
        </w:rPr>
        <w:t>Excel</w:t>
      </w:r>
      <w:r w:rsidRPr="004F221E">
        <w:rPr>
          <w:rFonts w:ascii="Times New Roman" w:eastAsia="宋体" w:hAnsi="Times New Roman" w:cs="Times New Roman"/>
          <w:lang w:eastAsia="zh-CN"/>
        </w:rPr>
        <w:t>和</w:t>
      </w:r>
      <w:r w:rsidRPr="004F221E">
        <w:rPr>
          <w:rFonts w:ascii="Times New Roman" w:eastAsia="宋体" w:hAnsi="Times New Roman" w:cs="Times New Roman"/>
          <w:lang w:eastAsia="zh-CN"/>
        </w:rPr>
        <w:t>JSON</w:t>
      </w:r>
      <w:r w:rsidRPr="004F221E">
        <w:rPr>
          <w:rFonts w:ascii="Times New Roman" w:eastAsia="宋体" w:hAnsi="Times New Roman" w:cs="Times New Roman"/>
          <w:lang w:eastAsia="zh-CN"/>
        </w:rPr>
        <w:t>数据模板，并准备一份可导入样例。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生成</w:t>
      </w:r>
      <w:r w:rsidRPr="004F221E">
        <w:rPr>
          <w:rFonts w:ascii="Times New Roman" w:eastAsia="宋体" w:hAnsi="Times New Roman" w:cs="Times New Roman"/>
          <w:lang w:eastAsia="zh-CN"/>
        </w:rPr>
        <w:t>300</w:t>
      </w:r>
      <w:r w:rsidRPr="004F221E">
        <w:rPr>
          <w:rFonts w:ascii="Times New Roman" w:eastAsia="宋体" w:hAnsi="Times New Roman" w:cs="Times New Roman"/>
          <w:lang w:eastAsia="zh-CN"/>
        </w:rPr>
        <w:t>个虚拟站点及其坐标、设备类型、更新频率和归属区域。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实现正常、强降雨和燃气泄漏三个首批场景，验证数据可重复。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确定前端各页面所需</w:t>
      </w:r>
      <w:r w:rsidRPr="004F221E">
        <w:rPr>
          <w:rFonts w:ascii="Times New Roman" w:eastAsia="宋体" w:hAnsi="Times New Roman" w:cs="Times New Roman"/>
          <w:lang w:eastAsia="zh-CN"/>
        </w:rPr>
        <w:t>API</w:t>
      </w:r>
      <w:r w:rsidRPr="004F221E">
        <w:rPr>
          <w:rFonts w:ascii="Times New Roman" w:eastAsia="宋体" w:hAnsi="Times New Roman" w:cs="Times New Roman"/>
          <w:lang w:eastAsia="zh-CN"/>
        </w:rPr>
        <w:t>，逐项标记模拟字段及其替换顺序。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与第三方检测机构沟通测试口径，并形成书面测试项清单。</w:t>
      </w:r>
    </w:p>
    <w:p w:rsidR="00746452" w:rsidRPr="004F221E" w:rsidRDefault="00000000">
      <w:pPr>
        <w:pStyle w:val="a"/>
        <w:spacing w:after="60" w:line="300" w:lineRule="auto"/>
        <w:ind w:left="374" w:hanging="144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整理当前代码变更，建立结题开发基线和问题清单。</w:t>
      </w:r>
    </w:p>
    <w:p w:rsidR="00746452" w:rsidRPr="004F221E" w:rsidRDefault="00000000">
      <w:pPr>
        <w:pStyle w:val="1"/>
        <w:spacing w:before="200" w:after="100"/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十一</w:t>
      </w:r>
      <w:r w:rsidRPr="004F221E">
        <w:rPr>
          <w:rFonts w:ascii="Times New Roman" w:eastAsia="宋体" w:hAnsi="Times New Roman" w:cs="Times New Roman"/>
          <w:lang w:eastAsia="zh-CN"/>
        </w:rPr>
        <w:t xml:space="preserve"> </w:t>
      </w:r>
      <w:r w:rsidRPr="004F221E">
        <w:rPr>
          <w:rFonts w:ascii="Times New Roman" w:eastAsia="宋体" w:hAnsi="Times New Roman" w:cs="Times New Roman"/>
          <w:lang w:eastAsia="zh-CN"/>
        </w:rPr>
        <w:t>最终执行原则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平台建设以完整闭环和验收证据为优先。真实数据到位前不等待、不停工，使用规范化仿真与回放数据推进；真实数据到位后不重构系统，只通过统一接入层完成替换。所有模拟数据均应明确标识、可重复生成、可追溯到场景和数据集版本。</w:t>
      </w:r>
    </w:p>
    <w:p w:rsidR="00746452" w:rsidRPr="004F221E" w:rsidRDefault="00000000">
      <w:pPr>
        <w:rPr>
          <w:rFonts w:ascii="Times New Roman" w:eastAsia="宋体" w:hAnsi="Times New Roman" w:cs="Times New Roman"/>
          <w:lang w:eastAsia="zh-CN"/>
        </w:rPr>
      </w:pPr>
      <w:r w:rsidRPr="004F221E">
        <w:rPr>
          <w:rFonts w:ascii="Times New Roman" w:eastAsia="宋体" w:hAnsi="Times New Roman" w:cs="Times New Roman"/>
          <w:lang w:eastAsia="zh-CN"/>
        </w:rPr>
        <w:t>最终目标是</w:t>
      </w:r>
      <w:r w:rsidRPr="004F221E">
        <w:rPr>
          <w:rFonts w:ascii="Times New Roman" w:eastAsia="宋体" w:hAnsi="Times New Roman" w:cs="Times New Roman"/>
          <w:lang w:eastAsia="zh-CN"/>
        </w:rPr>
        <w:t>2026</w:t>
      </w:r>
      <w:r w:rsidRPr="004F221E">
        <w:rPr>
          <w:rFonts w:ascii="Times New Roman" w:eastAsia="宋体" w:hAnsi="Times New Roman" w:cs="Times New Roman"/>
          <w:lang w:eastAsia="zh-CN"/>
        </w:rPr>
        <w:t>年</w:t>
      </w:r>
      <w:r w:rsidRPr="004F221E">
        <w:rPr>
          <w:rFonts w:ascii="Times New Roman" w:eastAsia="宋体" w:hAnsi="Times New Roman" w:cs="Times New Roman"/>
          <w:lang w:eastAsia="zh-CN"/>
        </w:rPr>
        <w:t>11</w:t>
      </w:r>
      <w:r w:rsidRPr="004F221E">
        <w:rPr>
          <w:rFonts w:ascii="Times New Roman" w:eastAsia="宋体" w:hAnsi="Times New Roman" w:cs="Times New Roman"/>
          <w:lang w:eastAsia="zh-CN"/>
        </w:rPr>
        <w:t>月</w:t>
      </w:r>
      <w:r w:rsidRPr="004F221E">
        <w:rPr>
          <w:rFonts w:ascii="Times New Roman" w:eastAsia="宋体" w:hAnsi="Times New Roman" w:cs="Times New Roman"/>
          <w:lang w:eastAsia="zh-CN"/>
        </w:rPr>
        <w:t>22</w:t>
      </w:r>
      <w:r w:rsidRPr="004F221E">
        <w:rPr>
          <w:rFonts w:ascii="Times New Roman" w:eastAsia="宋体" w:hAnsi="Times New Roman" w:cs="Times New Roman"/>
          <w:lang w:eastAsia="zh-CN"/>
        </w:rPr>
        <w:t>日前完成内部预验收，</w:t>
      </w:r>
      <w:r w:rsidRPr="004F221E">
        <w:rPr>
          <w:rFonts w:ascii="Times New Roman" w:eastAsia="宋体" w:hAnsi="Times New Roman" w:cs="Times New Roman"/>
          <w:lang w:eastAsia="zh-CN"/>
        </w:rPr>
        <w:t>11</w:t>
      </w:r>
      <w:r w:rsidRPr="004F221E">
        <w:rPr>
          <w:rFonts w:ascii="Times New Roman" w:eastAsia="宋体" w:hAnsi="Times New Roman" w:cs="Times New Roman"/>
          <w:lang w:eastAsia="zh-CN"/>
        </w:rPr>
        <w:t>月底完成第三方预测试和版本封存，为</w:t>
      </w:r>
      <w:r w:rsidRPr="004F221E">
        <w:rPr>
          <w:rFonts w:ascii="Times New Roman" w:eastAsia="宋体" w:hAnsi="Times New Roman" w:cs="Times New Roman"/>
          <w:lang w:eastAsia="zh-CN"/>
        </w:rPr>
        <w:t>12</w:t>
      </w:r>
      <w:r w:rsidRPr="004F221E">
        <w:rPr>
          <w:rFonts w:ascii="Times New Roman" w:eastAsia="宋体" w:hAnsi="Times New Roman" w:cs="Times New Roman"/>
          <w:lang w:eastAsia="zh-CN"/>
        </w:rPr>
        <w:t>月保留充足的检测整改、材料完善和答辩准备时间。</w:t>
      </w:r>
    </w:p>
    <w:p w:rsidR="004F221E" w:rsidRPr="004F221E" w:rsidRDefault="004F221E">
      <w:pPr>
        <w:rPr>
          <w:rFonts w:ascii="Times New Roman" w:eastAsia="宋体" w:hAnsi="Times New Roman" w:cs="Times New Roman"/>
          <w:lang w:eastAsia="zh-CN"/>
        </w:rPr>
      </w:pPr>
    </w:p>
    <w:sectPr w:rsidR="004F221E" w:rsidRPr="004F221E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37" w:right="1123" w:bottom="979" w:left="112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72772" w:rsidRDefault="00172772">
      <w:pPr>
        <w:spacing w:after="0" w:line="240" w:lineRule="auto"/>
      </w:pPr>
      <w:r>
        <w:separator/>
      </w:r>
    </w:p>
  </w:endnote>
  <w:endnote w:type="continuationSeparator" w:id="0">
    <w:p w:rsidR="00172772" w:rsidRDefault="00172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46452" w:rsidRDefault="00000000">
    <w:pPr>
      <w:pStyle w:val="a7"/>
      <w:jc w:val="center"/>
    </w:pPr>
    <w:r>
      <w:fldChar w:fldCharType="begin"/>
    </w:r>
    <w:r>
      <w:instrText xml:space="preserve"> PAGE </w:instrText>
    </w:r>
    <w:r w:rsidR="004F221E">
      <w:fldChar w:fldCharType="separate"/>
    </w:r>
    <w:r w:rsidR="004F221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46452" w:rsidRDefault="0074645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72772" w:rsidRDefault="00172772">
      <w:pPr>
        <w:spacing w:after="0" w:line="240" w:lineRule="auto"/>
      </w:pPr>
      <w:r>
        <w:separator/>
      </w:r>
    </w:p>
  </w:footnote>
  <w:footnote w:type="continuationSeparator" w:id="0">
    <w:p w:rsidR="00172772" w:rsidRDefault="00172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46452" w:rsidRDefault="00000000">
    <w:pPr>
      <w:pStyle w:val="a5"/>
      <w:jc w:val="right"/>
    </w:pPr>
    <w:r>
      <w:rPr>
        <w:color w:val="666666"/>
        <w:sz w:val="18"/>
      </w:rPr>
      <w:t>课题五智能服务平台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46452" w:rsidRDefault="0074645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3B2341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069CF0C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246957">
    <w:abstractNumId w:val="8"/>
  </w:num>
  <w:num w:numId="2" w16cid:durableId="733892504">
    <w:abstractNumId w:val="6"/>
  </w:num>
  <w:num w:numId="3" w16cid:durableId="153227440">
    <w:abstractNumId w:val="5"/>
  </w:num>
  <w:num w:numId="4" w16cid:durableId="1191992460">
    <w:abstractNumId w:val="4"/>
  </w:num>
  <w:num w:numId="5" w16cid:durableId="1302156352">
    <w:abstractNumId w:val="7"/>
  </w:num>
  <w:num w:numId="6" w16cid:durableId="1564022165">
    <w:abstractNumId w:val="3"/>
  </w:num>
  <w:num w:numId="7" w16cid:durableId="1349912419">
    <w:abstractNumId w:val="2"/>
  </w:num>
  <w:num w:numId="8" w16cid:durableId="1710646774">
    <w:abstractNumId w:val="1"/>
  </w:num>
  <w:num w:numId="9" w16cid:durableId="661735825">
    <w:abstractNumId w:val="0"/>
  </w:num>
  <w:num w:numId="10" w16cid:durableId="1708486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109"/>
    <w:rsid w:val="0015074B"/>
    <w:rsid w:val="00172772"/>
    <w:rsid w:val="0029639D"/>
    <w:rsid w:val="00326F90"/>
    <w:rsid w:val="004F221E"/>
    <w:rsid w:val="00746452"/>
    <w:rsid w:val="00AA1D8D"/>
    <w:rsid w:val="00B47730"/>
    <w:rsid w:val="00CB0664"/>
    <w:rsid w:val="00FC693F"/>
    <w:rsid w:val="00FF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A4BB694-F928-714E-AB97-54E02A2BB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STSong" w:eastAsia="STSong" w:hAnsi="STSong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firstLineChars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Meta">
    <w:name w:val="Document Meta"/>
    <w:rPr>
      <w:rFonts w:ascii="STSong" w:eastAsia="STSong" w:hAnsi="STSong"/>
      <w:color w:val="4444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课题五智能服务平台后续开发与结题实施规划</dc:title>
  <dc:subject>2026年9月至12月平台开发和结题安排</dc:subject>
  <dc:creator>课题五平台开发组</dc:creator>
  <cp:keywords/>
  <dc:description>generated by python-docx</dc:description>
  <cp:lastModifiedBy>吕海波</cp:lastModifiedBy>
  <cp:revision>2</cp:revision>
  <dcterms:created xsi:type="dcterms:W3CDTF">2013-12-23T23:15:00Z</dcterms:created>
  <dcterms:modified xsi:type="dcterms:W3CDTF">2026-09-05T03:08:00Z</dcterms:modified>
  <cp:category/>
</cp:coreProperties>
</file>