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160" w:line="293" w:lineRule="auto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48"/>
        </w:rPr>
        <w:t>课题五智能服务平台第一阶段详细开发规划与内容规格</w:t>
      </w:r>
    </w:p>
    <w:p>
      <w:pPr>
        <w:spacing w:before="0" w:after="360" w:line="293" w:lineRule="auto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范围和接口冻结阶段评审稿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8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规划周期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2026年9月5日至2026年9月13日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版本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V0.1 评审稿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编制日期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2026年9月5日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适用对象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项目负责人、平台开发、算法与数据团队、测试与第三方检测对接人员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评审结论目标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9"/>
              </w:rPr>
              <w:t>冻结第一阶段 P0 范围、数据标准、API 边界、模型协议、预警状态机和验收口径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本稿用于第一阶段内部评审。阶段结束时不要求完成全部业务功能编码，但必须形成后续开发可直接执行、可测试、可追溯的统一基线。任何影响数据库主结构、接口字段、风险口径或预警流转的分歧，应在9月13日前形成书面结论。</w:t>
      </w:r>
    </w:p>
    <w:p>
      <w:pPr>
        <w:pStyle w:val="Heading1"/>
        <w:keepNext/>
        <w:spacing w:before="160" w:after="100" w:line="293" w:lineRule="auto"/>
      </w:pPr>
      <w:r>
        <w:t>一 阶段结论</w:t>
      </w: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第一阶段的核心产出不是新增页面，而是把现有演示系统转化为可实施的工程合同。9月13日前应锁定“做什么、数据长什么样、接口如何调用、模型如何接入、预警如何流转、最终怎样验收”。完成该阶段后，第二阶段可直接进入设备台账、统一接入和300站仿真底座开发，不再围绕字段和流程反复返工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范围冻结：形成任务书指标到平台模块、接口、数据表和测试证据的映射。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数据冻结：统一设备、站点、观测值、数据集、风险结果、预警与处置记录的标识和字段。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接口冻结：确定前端、接入层、模型服务和业务服务之间的 API V1 边界。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流程冻结：确定预警生成、确认、派单、处置、解除和关闭的状态机及角色权限。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验收冻结：与第三方检测方确认300站、2000并发、持续时间、错误率、响应时间和取证方式。</w:t>
      </w:r>
    </w:p>
    <w:p>
      <w:pPr>
        <w:pStyle w:val="Heading1"/>
        <w:keepNext/>
        <w:spacing w:before="160" w:after="100" w:line="293" w:lineRule="auto"/>
      </w:pPr>
      <w:r>
        <w:t>二 依据和当前基线</w:t>
      </w: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本规划依据《平台后续开发与结题实施规划》、当前前端页面、Spring Boot 后端、数据库脚本、Nginx 部署配置和现有接口文档编制。当前代码处于演示原型向正式平台过渡阶段。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1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已有基础</w:t>
            </w:r>
          </w:p>
        </w:tc>
        <w:tc>
          <w:tcPr>
            <w:tcW w:type="dxa" w:w="42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第一阶段需解决的设计缺口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前端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已具备综合态势、数据接入、短临降雨、燃气、供水、供热、耦合研判、预警处置、历史分析页面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大量业务数据、规则和处置操作仍在浏览器内模拟</w:t>
            </w:r>
          </w:p>
        </w:tc>
      </w:tr>
      <w:tr>
        <w:trPr>
          <w:cantSplit w:val="true"/>
        </w:trPr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后端</w:t>
            </w:r>
          </w:p>
        </w:tc>
        <w:tc>
          <w:tcPr>
            <w:tcW w:type="dxa" w:w="410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Spring Boot 已有认证、用户、角色、权限、风险概览服务</w:t>
            </w:r>
          </w:p>
        </w:tc>
        <w:tc>
          <w:tcPr>
            <w:tcW w:type="dxa" w:w="42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缺少设备、监测、数据集、模型结果、规则、事件闭环和历史聚合服务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MySQL 已有用户权限、风险快照和简单告警表；Redis 用于风险状态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缺少统一设备模型、观测数据、质量标识、数据集版本和来源追溯</w:t>
            </w:r>
          </w:p>
        </w:tc>
      </w:tr>
      <w:tr>
        <w:trPr>
          <w:cantSplit w:val="true"/>
        </w:trPr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部署</w:t>
            </w:r>
          </w:p>
        </w:tc>
        <w:tc>
          <w:tcPr>
            <w:tcW w:type="dxa" w:w="410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已具备 Nginx 静态代理和 Java 服务部署说明</w:t>
            </w:r>
          </w:p>
        </w:tc>
        <w:tc>
          <w:tcPr>
            <w:tcW w:type="dxa" w:w="42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尚未形成结题环境配置基线、备份恢复和测试取证规范</w:t>
            </w:r>
          </w:p>
        </w:tc>
      </w:tr>
      <w:tr>
        <w:trPr>
          <w:cantSplit w:val="true"/>
        </w:trP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已有认证、用户、角色和风险服务自动化测试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尚无统一数据契约测试、完整业务流测试和性能测试方案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93" w:lineRule="auto"/>
      </w:pPr>
      <w:r>
        <w:t>三 阶段范围</w:t>
      </w:r>
    </w:p>
    <w:p>
      <w:pPr>
        <w:pStyle w:val="Heading2"/>
        <w:keepNext/>
        <w:spacing w:before="100" w:after="100" w:line="293" w:lineRule="auto"/>
      </w:pPr>
      <w:r>
        <w:t>3.1 本阶段必须完成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交付项</w:t>
            </w:r>
          </w:p>
        </w:tc>
        <w:tc>
          <w:tcPr>
            <w:tcW w:type="dxa" w:w="63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内容边界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P1-S01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任务书指标矩阵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任务书目标、P0功能、平台模块、负责人、接口或数据对象、测试证据、完成节点</w:t>
            </w:r>
          </w:p>
        </w:tc>
      </w:tr>
      <w:tr>
        <w:trPr>
          <w:cantSplit w:val="true"/>
        </w:trPr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P1-S02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业务范围清单</w:t>
            </w:r>
          </w:p>
        </w:tc>
        <w:tc>
          <w:tcPr>
            <w:tcW w:type="dxa" w:w="63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三类灾种、三类管线系统、三处示范区域占位、累计200公里管线口径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P1-S03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数据标准 V1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站点设备、观测指标、数据集、质量码、风险结果、预警事件、审计字段</w:t>
            </w:r>
          </w:p>
        </w:tc>
      </w:tr>
      <w:tr>
        <w:trPr>
          <w:cantSplit w:val="true"/>
        </w:trPr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P1-S04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API 规范 V1</w:t>
            </w:r>
          </w:p>
        </w:tc>
        <w:tc>
          <w:tcPr>
            <w:tcW w:type="dxa" w:w="63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认证、设备、数据接入、观测查询、场景回放、风险、预警、历史与系统接口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P1-S05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模型接口规范 V1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统一请求响应、模型版本、输入数据集、证据项、置信度、错误码和超时</w:t>
            </w:r>
          </w:p>
        </w:tc>
      </w:tr>
      <w:tr>
        <w:trPr>
          <w:cantSplit w:val="true"/>
        </w:trPr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P1-S06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预警状态机 V1</w:t>
            </w:r>
          </w:p>
        </w:tc>
        <w:tc>
          <w:tcPr>
            <w:tcW w:type="dxa" w:w="63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生成、确认、派单、处置、解除、关闭、重开及不可逆约束</w:t>
            </w:r>
          </w:p>
        </w:tc>
      </w:tr>
      <w:tr>
        <w:trPr>
          <w:cantSplit w:val="true"/>
        </w:trPr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P1-S07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样例数据包 V1</w:t>
            </w:r>
          </w:p>
        </w:tc>
        <w:tc>
          <w:tcPr>
            <w:tcW w:type="dxa" w:w="63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CSV、JSON 模板；300站台账草案；正常、强降雨、燃气泄漏三个场景种子</w:t>
            </w:r>
          </w:p>
        </w:tc>
      </w:tr>
      <w:tr>
        <w:trPr>
          <w:cantSplit w:val="true"/>
        </w:trPr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P1-S08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测试口径与基线</w:t>
            </w:r>
          </w:p>
        </w:tc>
        <w:tc>
          <w:tcPr>
            <w:tcW w:type="dxa" w:w="63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功能用例初稿、数据契约测试、性能口径、环境基线和问题清单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 w:line="293" w:lineRule="auto"/>
      </w:pPr>
      <w:r>
        <w:t>3.2 本阶段明确不做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不在第一阶段完成300站持续上报、MQTT生产链路和正式时序存储，仅冻结方案并准备样例。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不在第一阶段完成正式模型算法训练或准确率承诺，仅冻结模型服务接口和评测字段。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不重构前端框架，不新增复杂三维 GIS、拖拽大屏、微服务拆分或可视化规则编排。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不以仿真数据证明90%预警准确率；仿真只用于功能、流程、稳定性和性能验证。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不在字段、状态机和测试口径未评审前大规模编写业务代码。</w:t>
      </w:r>
    </w:p>
    <w:p>
      <w:pPr>
        <w:pStyle w:val="Heading1"/>
        <w:keepNext/>
        <w:spacing w:before="160" w:after="100" w:line="293" w:lineRule="auto"/>
      </w:pPr>
      <w:r>
        <w:t>四 阶段出口和验收门槛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出口门槛</w:t>
            </w:r>
          </w:p>
        </w:tc>
        <w:tc>
          <w:tcPr>
            <w:tcW w:type="dxa" w:w="59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20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证据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G1 范围完整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任务书 P0 指标100%进入追踪矩阵；每项均有负责人、实现载体和验证证据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需求矩阵评审记录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G2 数据可实现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核心对象有唯一标识、字段类型、单位、枚举、必填性、质量码和时间语义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数据字典 V1 与样例文件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G3 接口可联调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API 有路径、方法、认证、请求、响应、分页、错误码和幂等规则；OpenAPI 可解析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OpenAPI V1 与契约检查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G4 流程无歧义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预警状态迁移、操作角色、必填处置内容、审计记录和异常分支均明确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状态机评审与用例走查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G5 样例可复现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同一随机种子生成相同场景；样例可通过校验器；来源和数据集版本可追溯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样例包与校验报告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G6 验收口径明确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300站、2000并发、持续时间、请求组合、统计方法、报告形式已书面确认或列明待确认责任人和期限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测试口径确认单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G7 开发可启动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P0/P1优先级、第二阶段任务、依赖、风险和代码基线已冻结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评审纪要与阶段签字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判定规则：</w:t>
      </w:r>
      <w:r>
        <w:rPr>
          <w:rFonts w:ascii="Arial Unicode MS" w:hAnsi="Arial Unicode MS" w:eastAsia="Arial Unicode MS" w:cs="Arial Unicode MS"/>
          <w:color w:val="000000"/>
          <w:sz w:val="21"/>
        </w:rPr>
        <w:t>G1至G5和G7必须全部通过。G6如暂未取得第三方书面回复，可带条件通过，但必须记录联系人、待确认项、最晚回复日期和暂定内部控制值。</w:t>
      </w:r>
    </w:p>
    <w:p>
      <w:pPr>
        <w:pStyle w:val="Heading1"/>
        <w:keepNext/>
        <w:spacing w:before="160" w:after="100" w:line="293" w:lineRule="auto"/>
      </w:pPr>
      <w:r>
        <w:t>五 工作分解和内容指定</w:t>
      </w:r>
    </w:p>
    <w:p>
      <w:pPr>
        <w:pStyle w:val="Heading2"/>
        <w:keepNext/>
        <w:spacing w:before="100" w:after="100" w:line="293" w:lineRule="auto"/>
      </w:pPr>
      <w:r>
        <w:t>5.1 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平台模块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主要对象或接口</w:t>
            </w:r>
          </w:p>
        </w:tc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验证证据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R01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不少于300个站点或设备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设备台账、接入监控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station、device、latest_status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台账导入、在线状态、持续上报测试</w:t>
            </w:r>
          </w:p>
        </w:tc>
      </w:tr>
      <w:tr>
        <w:trPr>
          <w:cantSplit w:val="true"/>
        </w:trPr>
        <w:tc>
          <w:tcPr>
            <w:tcW w:type="dxa" w:w="7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R02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至少两类接入方式</w:t>
            </w:r>
          </w:p>
        </w:tc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统一数据接入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ingest HTTP、file import、MQTT topic</w:t>
            </w:r>
          </w:p>
        </w:tc>
        <w:tc>
          <w:tcPr>
            <w:tcW w:type="dxa" w:w="25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合法、缺字段、重复、乱序、异常单位测试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R03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气象甲烷压力位移等数据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数据标准与历史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observation、metric_definition、quality_code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字段字典、单位换算、历史查询</w:t>
            </w:r>
          </w:p>
        </w:tc>
      </w:tr>
      <w:tr>
        <w:trPr>
          <w:cantSplit w:val="true"/>
        </w:trPr>
        <w:tc>
          <w:tcPr>
            <w:tcW w:type="dxa" w:w="7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R04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燃气供水供热三个系统</w:t>
            </w:r>
          </w:p>
        </w:tc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三类管网专题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asset、pipeline_segment、domain_risk</w:t>
            </w:r>
          </w:p>
        </w:tc>
        <w:tc>
          <w:tcPr>
            <w:tcW w:type="dxa" w:w="25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每类系统典型场景和风险结果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R05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至少三类灾种或风险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风险模型服务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rain、leak、burst、heat、displacement 等枚举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单灾种、耦合场景回放</w:t>
            </w:r>
          </w:p>
        </w:tc>
      </w:tr>
      <w:tr>
        <w:trPr>
          <w:cantSplit w:val="true"/>
        </w:trPr>
        <w:tc>
          <w:tcPr>
            <w:tcW w:type="dxa" w:w="7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R06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单系统与耦合风险</w:t>
            </w:r>
          </w:p>
        </w:tc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风险计算和综合态势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risk_result、risk_evidence、model_run</w:t>
            </w:r>
          </w:p>
        </w:tc>
        <w:tc>
          <w:tcPr>
            <w:tcW w:type="dxa" w:w="25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来源、版本、贡献因子追溯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R07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精准预警和处置闭环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预警处置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rule、alert、work_order、action_log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生成至关闭完整流程</w:t>
            </w:r>
          </w:p>
        </w:tc>
      </w:tr>
      <w:tr>
        <w:trPr>
          <w:cantSplit w:val="true"/>
        </w:trPr>
        <w:tc>
          <w:tcPr>
            <w:tcW w:type="dxa" w:w="7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R08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用户权限和审计</w:t>
            </w:r>
          </w:p>
        </w:tc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系统管理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user、role、permission、audit_log</w:t>
            </w:r>
          </w:p>
        </w:tc>
        <w:tc>
          <w:tcPr>
            <w:tcW w:type="dxa" w:w="25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越权、禁用、锁定、关键操作审计</w:t>
            </w:r>
          </w:p>
        </w:tc>
      </w:tr>
      <w:tr>
        <w:trPr>
          <w:cantSplit w:val="true"/>
        </w:trP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R09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2000人同时访问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性能与部署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测试脚本、监控指标、报告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30分钟压测和错误率响应时间统计</w:t>
            </w:r>
          </w:p>
        </w:tc>
      </w:tr>
      <w:tr>
        <w:trPr>
          <w:cantSplit w:val="true"/>
        </w:trPr>
        <w:tc>
          <w:tcPr>
            <w:tcW w:type="dxa" w:w="7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R10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三处区域累计200公里</w:t>
            </w:r>
          </w:p>
        </w:tc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示范应用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region、pipeline_segment、evidence_attachment</w:t>
            </w:r>
          </w:p>
        </w:tc>
        <w:tc>
          <w:tcPr>
            <w:tcW w:type="dxa" w:w="259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区域与里程统计及证明材料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 w:line="293" w:lineRule="auto"/>
      </w:pPr>
      <w:r>
        <w:t>5.2 业务范围和枚举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40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固定内容</w:t>
            </w:r>
          </w:p>
        </w:tc>
        <w:tc>
          <w:tcPr>
            <w:tcW w:type="dxa" w:w="39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使用约束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管线系统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GAS 燃气、WATER 供水、HEAT 供热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数据库、API、前端全部使用固定代码；中文仅作显示名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首批风险类型</w:t>
            </w:r>
          </w:p>
        </w:tc>
        <w:tc>
          <w:tcPr>
            <w:tcW w:type="dxa" w:w="40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RAIN 强降雨、GAS_LEAK 燃气泄漏、WATER_BURST 供水爆管</w:t>
            </w:r>
          </w:p>
        </w:tc>
        <w:tc>
          <w:tcPr>
            <w:tcW w:type="dxa" w:w="396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第一阶段 P0；直接支撑首批三个场景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扩展风险类型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HEAT_ABNORMAL 热力异常、DISPLACEMENT 位移异常、COUPLING 多系统耦合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接口中预留，第三阶段前实现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运行模式</w:t>
            </w:r>
          </w:p>
        </w:tc>
        <w:tc>
          <w:tcPr>
            <w:tcW w:type="dxa" w:w="40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SIMULATION 仿真、REPLAY 回放、REAL 真实</w:t>
            </w:r>
          </w:p>
        </w:tc>
        <w:tc>
          <w:tcPr>
            <w:tcW w:type="dxa" w:w="396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所有结果必须携带 mode 和 datasetVersion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风险等级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LOW、MEDIUM、HIGH、CRITICAL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建议阈值0–59、60–79、80–89、90–100；最终由评审冻结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数据质量</w:t>
            </w:r>
          </w:p>
        </w:tc>
        <w:tc>
          <w:tcPr>
            <w:tcW w:type="dxa" w:w="40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GOOD、SUSPECT、BAD、MISSING、LATE、DUPLICATE</w:t>
            </w:r>
          </w:p>
        </w:tc>
        <w:tc>
          <w:tcPr>
            <w:tcW w:type="dxa" w:w="396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原始值不覆盖，转换值与质量原因并存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 w:line="293" w:lineRule="auto"/>
      </w:pPr>
      <w:r>
        <w:t>5.3 300站台账内容规格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站点类型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48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核心指标</w:t>
            </w:r>
          </w:p>
        </w:tc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建议频率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GNSS及位移站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100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经纬度、高程、水平位移、垂直位移、沉降速率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10秒至60秒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气象监测站</w:t>
            </w:r>
          </w:p>
        </w:tc>
        <w:tc>
          <w:tcPr>
            <w:tcW w:type="dxa" w:w="100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80</w:t>
            </w:r>
          </w:p>
        </w:tc>
        <w:tc>
          <w:tcPr>
            <w:tcW w:type="dxa" w:w="48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温度、湿度、风速、风向、气压、瞬时雨量、累计雨量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60秒至5分钟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燃气监测终端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50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甲烷浓度、乙烷组分、压力、阴保电位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5秒至30秒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供水监测终端</w:t>
            </w:r>
          </w:p>
        </w:tc>
        <w:tc>
          <w:tcPr>
            <w:tcW w:type="dxa" w:w="100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40</w:t>
            </w:r>
          </w:p>
        </w:tc>
        <w:tc>
          <w:tcPr>
            <w:tcW w:type="dxa" w:w="48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压力、流量、流速、水锤标识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5秒至30秒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供热监测终端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供回水温度、压力、流量、补水量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10秒至60秒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站点必填字段：</w:t>
      </w:r>
      <w:r>
        <w:rPr>
          <w:rFonts w:ascii="Arial Unicode MS" w:hAnsi="Arial Unicode MS" w:eastAsia="Arial Unicode MS" w:cs="Arial Unicode MS"/>
          <w:color w:val="000000"/>
          <w:sz w:val="21"/>
        </w:rPr>
        <w:t>stationId、stationName、stationType、regionCode、longitude、latitude、status、ownerOrg、protocol、reportIntervalSeconds、commissionedAt。设备必填字段：deviceId、stationId、deviceType、manufacturer、model、serialNumber、enabled、lastSeenAt。</w:t>
      </w: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编号规则：</w:t>
      </w:r>
      <w:r>
        <w:rPr>
          <w:rFonts w:ascii="Arial Unicode MS" w:hAnsi="Arial Unicode MS" w:eastAsia="Arial Unicode MS" w:cs="Arial Unicode MS"/>
          <w:color w:val="000000"/>
          <w:sz w:val="21"/>
        </w:rPr>
        <w:t>站点采用 ST-{类型}-{四位序号}，例如 ST-GNSS-0001；设备采用 DV-{类型}-{五位序号}；管段采用 PL-{系统}-{区域}-{四位序号}。编号一旦发布不得复用。</w:t>
      </w:r>
    </w:p>
    <w:p>
      <w:pPr>
        <w:pStyle w:val="Heading2"/>
        <w:keepNext/>
        <w:spacing w:before="100" w:after="100" w:line="293" w:lineRule="auto"/>
      </w:pPr>
      <w:r>
        <w:t>5.4 观测数据标准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必填</w:t>
            </w:r>
          </w:p>
        </w:tc>
        <w:tc>
          <w:tcPr>
            <w:tcW w:type="dxa" w:w="50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messageId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string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单条消息唯一标识，用于幂等去重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stationId, deviceId</w:t>
            </w:r>
          </w:p>
        </w:tc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string</w:t>
            </w:r>
          </w:p>
        </w:tc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必须存在且处于启用状态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metricCode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enum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由指标字典定义，如 RAINFALL_5M、CH4_PPM、PRESSURE_MPA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observedAt</w:t>
            </w:r>
          </w:p>
        </w:tc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datetime</w:t>
            </w:r>
          </w:p>
        </w:tc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设备采集时间，ISO 8601，含时区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receivedAt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datetime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系统生成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平台接收时间，不允许客户端覆盖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rawValue, rawUnit</w:t>
            </w:r>
          </w:p>
        </w:tc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decimal, string</w:t>
            </w:r>
          </w:p>
        </w:tc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保留原始值和原始单位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value, unit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decimal, string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单位转换后的标准值和标准单位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qualityCode</w:t>
            </w:r>
          </w:p>
        </w:tc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enum</w:t>
            </w:r>
          </w:p>
        </w:tc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GOOD、SUSPECT、BAD、MISSING、LATE、DUPLICATE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sourceType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enum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是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HTTP、MQTT、FILE、SIMULATOR、REPLAY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datasetId, scenarioId</w:t>
            </w:r>
          </w:p>
        </w:tc>
        <w:tc>
          <w:tcPr>
            <w:tcW w:type="dxa" w:w="14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string</w:t>
            </w:r>
          </w:p>
        </w:tc>
        <w:tc>
          <w:tcPr>
            <w:tcW w:type="dxa" w:w="10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条件必填</w:t>
            </w:r>
          </w:p>
        </w:tc>
        <w:tc>
          <w:tcPr>
            <w:tcW w:type="dxa" w:w="50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仿真和回放必须填写；真实模式 datasetId 可按批次生成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attributes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object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否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厂商扩展字段，不进入核心风险计算前必须映射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时间语义：统一存储 UTC 时间，接口按 ISO 8601 返回；前端默认显示 Asia/Shanghai。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精度语义：经纬度保留至少6位小数；风险分数保留1位；测量值按指标字典规定精度。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去重语义：优先以 messageId 去重；缺失时使用 deviceId、metricCode、observedAt 组合键。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乱序语义：允许迟到数据入库但标记 LATE；实时状态不得被更早数据覆盖。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质量语义：BAD 数据保存但默认不进入模型；SUSPECT 数据进入模型时必须在证据项中标记。</w:t>
      </w:r>
    </w:p>
    <w:p>
      <w:pPr>
        <w:pStyle w:val="Heading2"/>
        <w:keepNext/>
        <w:spacing w:before="100" w:after="100" w:line="293" w:lineRule="auto"/>
      </w:pPr>
      <w:r>
        <w:t>5.5 API V1 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域</w:t>
            </w:r>
          </w:p>
        </w:tc>
        <w:tc>
          <w:tcPr>
            <w:tcW w:type="dxa" w:w="52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拟冻结接口</w:t>
            </w:r>
          </w:p>
        </w:tc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第一阶段指定内容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认证权限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POST /api/auth/login；GET /api/users；GET /api/roles；GET /api/permissions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沿用现有接口，补充统一错误体和权限声明</w:t>
            </w:r>
          </w:p>
        </w:tc>
      </w:tr>
      <w:tr>
        <w:trPr>
          <w:cantSplit w:val="true"/>
        </w:trPr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站点设备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GET/POST /api/stations；GET/PUT /api/stations/{id}；GET /api/devices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分页、区域、类型、在线状态筛选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数据接入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POST /api/ingest/observations；POST /api/import/jobs；GET /api/import/jobs/{id}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HTTP 批量接入与文件导入任务；定义幂等键</w:t>
            </w:r>
          </w:p>
        </w:tc>
      </w:tr>
      <w:tr>
        <w:trPr>
          <w:cantSplit w:val="true"/>
        </w:trPr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观测查询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 /api/observations/latest；GET /api/observations/history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按站点、指标和时间范围查询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场景数据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GET/POST /api/scenarios；POST /api/scenarios/{id}/runs；POST /api/replays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启动仿真或回放，返回 runId</w:t>
            </w:r>
          </w:p>
        </w:tc>
      </w:tr>
      <w:tr>
        <w:trPr>
          <w:cantSplit w:val="true"/>
        </w:trPr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风险结果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 /api/risk/overview；GET /api/risk/results；GET /api/risk/results/{id}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兼容现有概览，新增来源、版本和证据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预警处置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GET/POST /api/alert-rules；GET /api/alerts；POST /api/alerts/{id}/actions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所有状态变化通过 action 接口并审计</w:t>
            </w:r>
          </w:p>
        </w:tc>
      </w:tr>
      <w:tr>
        <w:trPr>
          <w:cantSplit w:val="true"/>
        </w:trPr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历史报表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 /api/analytics/trends；GET /api/analytics/regions；POST /api/reports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第一阶段冻结查询参数和返回结构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系统运维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GET /api/health；GET /api/metrics/ingestion；GET /api/audit-logs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健康、接入质量、审计查询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认证：除登录、注册和健康检查外均默认要求 Bearer JWT；权限按 permissionKey 声明。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响应：成功体统一包含 data、timestamp、requestId；列表包含 page、size、total。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错误：统一包含 code、message、requestId、details；不得向前端暴露数据库异常堆栈。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版本：当前采用 /api 路径并在 OpenAPI 的 info.version 标注 v1；破坏性变更进入 /api/v2。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幂等：接入、场景启动、预警动作和报告生成必须支持 Idempotency-Key 或业务唯一键。</w:t>
      </w:r>
    </w:p>
    <w:p>
      <w:pPr>
        <w:pStyle w:val="Heading2"/>
        <w:keepNext/>
        <w:spacing w:before="100" w:after="100" w:line="293" w:lineRule="auto"/>
      </w:pPr>
      <w:r>
        <w:t>5.6 模型服务接口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78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固定字段和约束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请求身份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requestId、modelCode、modelVersion、mode、datasetId、scenarioId、requestedAt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空间范围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regionCode、assetIds 或 geometryRef，不在业务请求中直接传超大 GeoJSON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时间范围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windowStart、windowEnd、forecastHorizonMinutes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输入引用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observationQuery 或 inputArtifactUri；记录输入数据版本和质量摘要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结果主体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resultId、riskType、riskScore、riskLevel、confidence、validFrom、validTo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证据项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metricCode、value、unit、threshold、contribution、sourceId、qualityCode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可追溯信息</w:t>
            </w:r>
          </w:p>
        </w:tc>
        <w:tc>
          <w:tcPr>
            <w:tcW w:type="dxa" w:w="78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algorithmName、modelVersion、parameterVersion、datasetVersion、executedAt、durationMs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异常约束</w:t>
            </w:r>
          </w:p>
        </w:tc>
        <w:tc>
          <w:tcPr>
            <w:tcW w:type="dxa" w:w="784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超时、输入不足、版本不存在、计算失败需使用固定错误码；不得返回虚构成功结果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首批模型代码建议冻结为 NOWCAST_RAIN_V1、GAS_LEAK_RISK_V1、WATER_BURST_RISK_V1、HEAT_ABNORMAL_RISK_V1、DISPLACEMENT_RISK_V1、COUPLING_RISK_V1。第一阶段允许模型实现为可复现的规则或仿真适配器，但请求响应结构必须与正式模型一致。</w:t>
      </w:r>
    </w:p>
    <w:p>
      <w:pPr>
        <w:pStyle w:val="Heading2"/>
        <w:keepNext/>
        <w:spacing w:before="100" w:after="100" w:line="293" w:lineRule="auto"/>
      </w:pPr>
      <w:r>
        <w:t>5.7 预警状态机和角色权限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可执行角色</w:t>
            </w:r>
          </w:p>
        </w:tc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允许动作</w:t>
            </w:r>
          </w:p>
        </w:tc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审计要求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NEW 新生成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规则引擎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ACKNOWLEDGE、SUPPRESS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需记录规则、风险结果、首次触发时间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ACKNOWLEDGED 已确认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值班员及以上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ASSIGN、CLOSE_FALSE_POSITIVE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确认意见必填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ASSIGNED 已派单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值班长或管理员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START_PROCESS、REASSIGN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责任人、截止时间必填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PROCESSING 处置中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责任人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RESOLVE、ESCALATE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过程记录和附件可追加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RESOLVED 已解除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责任人或系统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CLOSE、REOPEN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解除依据和恢复数据必填</w:t>
            </w:r>
          </w:p>
        </w:tc>
      </w:tr>
      <w:tr>
        <w:trPr>
          <w:cantSplit w:val="true"/>
        </w:trPr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CLOSED 已关闭</w:t>
            </w:r>
          </w:p>
        </w:tc>
        <w:tc>
          <w:tcPr>
            <w:tcW w:type="dxa" w:w="208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值班长或管理员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REOPEN</w:t>
            </w:r>
          </w:p>
        </w:tc>
        <w:tc>
          <w:tcPr>
            <w:tcW w:type="dxa" w:w="295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关闭结论必填；原记录不可修改</w:t>
            </w:r>
          </w:p>
        </w:tc>
      </w:tr>
      <w:tr>
        <w:trPr>
          <w:cantSplit w:val="true"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SUPPRESSED 已抑制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规则引擎或管理员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REOPEN</w:t>
            </w:r>
          </w:p>
        </w:tc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去重、维护或已知故障原因必填</w:t>
            </w:r>
          </w:p>
        </w:tc>
      </w:tr>
    </w:tbl>
    <w:p>
      <w:pPr>
        <w:spacing w:after="20"/>
      </w:pP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每次动作生成不可变 actionLog，保存操作者、前后状态、意见、附件引用、时间和 requestId。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相同对象、相同规则在抑制窗口内只更新计数和最高等级，不重复创建新预警。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风险持续升高可升级；风险恢复只能进入 RESOLVED，不能由系统直接 CLOSED。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关闭后再次触发默认创建关联新预警；只有人工判断为同一事件时才 REOPEN。</w:t>
      </w:r>
    </w:p>
    <w:p>
      <w:pPr>
        <w:pStyle w:val="Heading2"/>
        <w:keepNext/>
        <w:spacing w:before="100" w:after="100" w:line="293" w:lineRule="auto"/>
      </w:pPr>
      <w:r>
        <w:t>5.8 前端内容替换清单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2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需正式化内容</w:t>
            </w:r>
          </w:p>
        </w:tc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冻结要求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综合态势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风险分数、区域分布、待处置预警、24小时趋势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risk overview、alerts、analytics trends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删除正式流程中的随机数；保留 demo 标识开关</w:t>
            </w:r>
          </w:p>
        </w:tc>
      </w:tr>
      <w:tr>
        <w:trPr>
          <w:cantSplit w:val="true"/>
        </w:trPr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数据接入</w:t>
            </w:r>
          </w:p>
        </w:tc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数据源、在线率、延迟、完整率、异常原因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stations、devices、ingestion metrics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明确站点数口径与质量码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短临降雨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实况、预测、区域排行、影响管网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observations、model results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展示模型版本、预测时效和数据来源</w:t>
            </w:r>
          </w:p>
        </w:tc>
      </w:tr>
      <w:tr>
        <w:trPr>
          <w:cantSplit w:val="true"/>
        </w:trPr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三类管网</w:t>
            </w:r>
          </w:p>
        </w:tc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核心指标、风险分布、贡献因素、演化链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observations、domain risk results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风险因子由 evidence 返回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耦合研判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交叉区、构成、放大系数、传播链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coupling results、spatial relations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交叉区需有稳定编号和关联管段</w:t>
            </w:r>
          </w:p>
        </w:tc>
      </w:tr>
      <w:tr>
        <w:trPr>
          <w:cantSplit w:val="true"/>
        </w:trPr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预警处置</w:t>
            </w:r>
          </w:p>
        </w:tc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列表、规则、时间线、动作</w:t>
            </w:r>
          </w:p>
        </w:tc>
        <w:tc>
          <w:tcPr>
            <w:tcW w:type="dxa" w:w="2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alert rules、alerts、actions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刷新或换账号后状态不丢失</w:t>
            </w:r>
          </w:p>
        </w:tc>
      </w:tr>
      <w:tr>
        <w:trPr>
          <w:cantSplit w:val="true"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历史分析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趋势、区域对比、预警统计、导出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analytics、reports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筛选项与 API 参数一致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93" w:lineRule="auto"/>
      </w:pPr>
      <w:r>
        <w:t>六 样例数据包规格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场景编号</w:t>
            </w:r>
          </w:p>
        </w:tc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2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时间轴内容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固定种子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SCN-NORMAL-001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正常运行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全部指标在合理区间小幅波动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不产生业务预警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2026090501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SCN-RAIN-001</w:t>
            </w:r>
          </w:p>
        </w:tc>
        <w:tc>
          <w:tcPr>
            <w:tcW w:type="dxa" w:w="151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强降雨</w:t>
            </w:r>
          </w:p>
        </w:tc>
        <w:tc>
          <w:tcPr>
            <w:tcW w:type="dxa" w:w="324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降雨增强，含水与位移滞后上升</w:t>
            </w:r>
          </w:p>
        </w:tc>
        <w:tc>
          <w:tcPr>
            <w:tcW w:type="dxa" w:w="23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触发降雨风险并影响交叉区</w:t>
            </w:r>
          </w:p>
        </w:tc>
        <w:tc>
          <w:tcPr>
            <w:tcW w:type="dxa" w:w="122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2026090502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SCN-GAS-001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燃气泄漏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甲烷持续升高、压力下降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生成燃气预警并可完成闭环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2026090503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每个场景目录必须包含 scenario.json、stations.csv、observations.csv 或 observations.jsonl、expected_risks.json、expected_alerts.json 和 README.md。README 需说明场景目的、起止时间、时间加速倍率、关键拐点、预期风险等级、允许误差和复现命令。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CSV 使用 UTF-8 编码，首行为英文固定字段名，禁止合并单元格和隐藏列。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JSON 时间统一 ISO 8601；数值字段不得用带单位字符串代替。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样例中所有站点、设备、管段和区域编号必须能在台账中找到。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仿真和回放页面必须显示明显的模式标识，导出报告也必须保留该标识。</w:t>
      </w:r>
    </w:p>
    <w:p>
      <w:pPr>
        <w:pStyle w:val="Heading1"/>
        <w:keepNext/>
        <w:spacing w:before="160" w:after="100" w:line="293" w:lineRule="auto"/>
      </w:pPr>
      <w:r>
        <w:t>七 日程和责任分工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2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52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当日产出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9月5日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启动与基线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确认第一阶段范围；盘点页面、接口、数据库和模拟数据；建立问题清单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基线盘点 V1</w:t>
            </w:r>
          </w:p>
        </w:tc>
      </w:tr>
      <w:tr>
        <w:trPr>
          <w:cantSplit w:val="true"/>
        </w:trPr>
        <w:tc>
          <w:tcPr>
            <w:tcW w:type="dxa" w:w="12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9月6日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需求矩阵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把任务书指标拆到模块、数据、接口、测试证据和负责人</w:t>
            </w:r>
          </w:p>
        </w:tc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需求追踪矩阵 V1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9月7日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业务口径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确定三类管线、首批风险、三处示范区域占位、管线里程统计方法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范围清单与术语表</w:t>
            </w:r>
          </w:p>
        </w:tc>
      </w:tr>
      <w:tr>
        <w:trPr>
          <w:cantSplit w:val="true"/>
        </w:trPr>
        <w:tc>
          <w:tcPr>
            <w:tcW w:type="dxa" w:w="12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9月8日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数据标准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冻结站点、设备、观测、数据集、质量码、风险结果核心字段</w:t>
            </w:r>
          </w:p>
        </w:tc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数据字典 V1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9月9日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接口规范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冻结 API 路径、认证、分页、错误、幂等；补齐 OpenAPI 框架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API 规范 V1</w:t>
            </w:r>
          </w:p>
        </w:tc>
      </w:tr>
      <w:tr>
        <w:trPr>
          <w:cantSplit w:val="true"/>
        </w:trPr>
        <w:tc>
          <w:tcPr>
            <w:tcW w:type="dxa" w:w="12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9月10日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模型与预警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冻结模型请求响应、证据项、预警状态机、规则和角色权限</w:t>
            </w:r>
          </w:p>
        </w:tc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模型规范与状态机 V1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9月11日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样例与测试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准备三场景样例；编写校验规则、契约用例和性能口径确认单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样例包与测试初稿</w:t>
            </w:r>
          </w:p>
        </w:tc>
      </w:tr>
      <w:tr>
        <w:trPr>
          <w:cantSplit w:val="true"/>
        </w:trPr>
        <w:tc>
          <w:tcPr>
            <w:tcW w:type="dxa" w:w="129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9月12日</w:t>
            </w:r>
          </w:p>
        </w:tc>
        <w:tc>
          <w:tcPr>
            <w:tcW w:type="dxa" w:w="16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联合走查</w:t>
            </w:r>
          </w:p>
        </w:tc>
        <w:tc>
          <w:tcPr>
            <w:tcW w:type="dxa" w:w="52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前端、后端、算法、测试逐页逐接口走查；关闭阻塞分歧</w:t>
            </w:r>
          </w:p>
        </w:tc>
        <w:tc>
          <w:tcPr>
            <w:tcW w:type="dxa" w:w="15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走查问题关闭记录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9月13日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冻结评审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通过出口门槛；签署评审纪要；拆解第二阶段任务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6"/>
              </w:rPr>
              <w:t>冻结基线 V1.0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8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31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必须提交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项目负责人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范围、优先级、外部口径和最终冻结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需求矩阵、评审纪要、第三方确认单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后端负责人</w:t>
            </w:r>
          </w:p>
        </w:tc>
        <w:tc>
          <w:tcPr>
            <w:tcW w:type="dxa" w:w="482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数据模型、API、幂等、状态机、审计</w:t>
            </w:r>
          </w:p>
        </w:tc>
        <w:tc>
          <w:tcPr>
            <w:tcW w:type="dxa" w:w="31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数据字典、OpenAPI、状态机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前端负责人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页面字段映射、加载态、空态、错误态和权限显示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页面接口映射表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算法负责人</w:t>
            </w:r>
          </w:p>
        </w:tc>
        <w:tc>
          <w:tcPr>
            <w:tcW w:type="dxa" w:w="482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模型输入输出、版本、证据项、评测边界</w:t>
            </w:r>
          </w:p>
        </w:tc>
        <w:tc>
          <w:tcPr>
            <w:tcW w:type="dxa" w:w="31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模型接口规范与示例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数据负责人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站点台账、指标字典、样例场景、质量规则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300站草案与样例包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测试负责人</w:t>
            </w:r>
          </w:p>
        </w:tc>
        <w:tc>
          <w:tcPr>
            <w:tcW w:type="dxa" w:w="482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测试用例、契约校验、性能口径、取证规范</w:t>
            </w:r>
          </w:p>
        </w:tc>
        <w:tc>
          <w:tcPr>
            <w:tcW w:type="dxa" w:w="31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测试计划与用例初稿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运维负责人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环境、配置、日志、监控和版本基线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环境清单与部署基线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93" w:lineRule="auto"/>
      </w:pPr>
      <w:r>
        <w:t>八 测试内容指定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测试类别</w:t>
            </w:r>
          </w:p>
        </w:tc>
        <w:tc>
          <w:tcPr>
            <w:tcW w:type="dxa" w:w="59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第一阶段需冻结的内容</w:t>
            </w:r>
          </w:p>
        </w:tc>
        <w:tc>
          <w:tcPr>
            <w:tcW w:type="dxa" w:w="20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覆盖要求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契约测试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OpenAPI 可解析；样例请求响应通过 schema；错误码和必填字段一致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所有拟冻结接口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数据质量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缺字段、类型错误、单位错误、越界、重复、乱序、迟到、未知设备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每种异常至少1条用例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权限测试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未登录、过期令牌、禁用账号、越权角色、管理员操作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关键写接口100%覆盖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状态机测试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合法迁移、非法跳转、并发操作、重复动作、关闭后重触发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每个状态和动作均覆盖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可追溯测试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从预警追溯至风险结果、模型版本、数据集、原始观测和处置日志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三类首批场景</w:t>
            </w:r>
          </w:p>
        </w:tc>
      </w:tr>
      <w:tr>
        <w:trPr>
          <w:cantSplit w:val="true"/>
        </w:trPr>
        <w:tc>
          <w:tcPr>
            <w:tcW w:type="dxa" w:w="180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性能口径</w:t>
            </w:r>
          </w:p>
        </w:tc>
        <w:tc>
          <w:tcPr>
            <w:tcW w:type="dxa" w:w="597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300站上报；2000并发30分钟；核心查询P95小于2秒；错误率小于1%</w:t>
            </w:r>
          </w:p>
        </w:tc>
        <w:tc>
          <w:tcPr>
            <w:tcW w:type="dxa" w:w="201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先作为内部控制值，待第三方确认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取证要求：</w:t>
      </w:r>
      <w:r>
        <w:rPr>
          <w:rFonts w:ascii="Arial Unicode MS" w:hAnsi="Arial Unicode MS" w:eastAsia="Arial Unicode MS" w:cs="Arial Unicode MS"/>
          <w:color w:val="000000"/>
          <w:sz w:val="21"/>
        </w:rPr>
        <w:t>每个验收用例指定测试编号、前置条件、输入数据集版本、执行步骤、预期结果、实际结果、截图或日志、执行人、执行时间和代码版本。性能报告必须记录机器配置、JVM 参数、数据库配置、接口比例、数据规模和统计方法。</w:t>
      </w:r>
    </w:p>
    <w:p>
      <w:pPr>
        <w:pStyle w:val="Heading1"/>
        <w:keepNext/>
        <w:spacing w:before="160" w:after="100" w:line="293" w:lineRule="auto"/>
      </w:pPr>
      <w:r>
        <w:t>九 风险和依赖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4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措施</w:t>
            </w:r>
          </w:p>
        </w:tc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本阶段动作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真实数据未到位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高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按统一标准先完成仿真与回放；真实数据后续只替换接入适配器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9月13日确认可获得字段和样本时间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模型交付延迟</w:t>
            </w:r>
          </w:p>
        </w:tc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高</w:t>
            </w:r>
          </w:p>
        </w:tc>
        <w:tc>
          <w:tcPr>
            <w:tcW w:type="dxa" w:w="46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正式接口不变，先用版本化规则或仿真适配器</w:t>
            </w:r>
          </w:p>
        </w:tc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算法负责人确认输入输出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第三方口径不明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高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发出书面问题清单；内部采用更严格控制值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9月6日前发出，9月13日跟踪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示范区域材料不足</w:t>
            </w:r>
          </w:p>
        </w:tc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中</w:t>
            </w:r>
          </w:p>
        </w:tc>
        <w:tc>
          <w:tcPr>
            <w:tcW w:type="dxa" w:w="46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先保留 regionCode、管段里程和附件字段，不虚构证明材料</w:t>
            </w:r>
          </w:p>
        </w:tc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9月13日确定责任人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范围继续扩张</w:t>
            </w:r>
          </w:p>
        </w:tc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高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P0 冻结；新增项进入变更单并评估结题影响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立即执行</w:t>
            </w:r>
          </w:p>
        </w:tc>
      </w:tr>
      <w:tr>
        <w:trPr>
          <w:cantSplit w:val="true"/>
        </w:trPr>
        <w:tc>
          <w:tcPr>
            <w:tcW w:type="dxa" w:w="194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现有未提交改动较多</w:t>
            </w:r>
          </w:p>
        </w:tc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中</w:t>
            </w:r>
          </w:p>
        </w:tc>
        <w:tc>
          <w:tcPr>
            <w:tcW w:type="dxa" w:w="468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记录当前基线哈希、环境和未提交文件；冻结后再实施</w:t>
            </w:r>
          </w:p>
        </w:tc>
        <w:tc>
          <w:tcPr>
            <w:tcW w:type="dxa" w:w="2232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7"/>
              </w:rPr>
              <w:t>9月5日至9月6日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 w:line="293" w:lineRule="auto"/>
      </w:pPr>
      <w:r>
        <w:t>十 评审需确认的决策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D01 三类 P0 风险是否确定为强降雨、燃气泄漏、供水爆管；热力异常和位移异常作为扩展。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D02 风险等级是否采用 LOW、MEDIUM、HIGH、CRITICAL 四级，以及对应分数阈值。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D03 第一阶段接口是否采用本稿 API V1 分域；是否需要在路径中直接加入 /v1。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D04 数据存储是否采用 MySQL 保存业务主数据和结果、Redis 保存最新状态；高频时序库选型在第二阶段验证后确认。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D05 预警是否必须经 RESOLVED 后人工 CLOSED，系统不得直接关闭。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D06 2000并发测试的用户行为比例、持续30分钟口径和核心接口 P95 小于2秒是否可作为内部基线。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D07 三处示范区域的名称、责任单位、管线类型、里程及可提供的证明材料。</w:t>
      </w:r>
    </w:p>
    <w:p>
      <w:pPr>
        <w:pStyle w:val="ListNumber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D08 真实数据、模型和第三方检测对接的具体负责人及最晚交付日期。</w:t>
      </w:r>
    </w:p>
    <w:p>
      <w:pPr>
        <w:pStyle w:val="Heading1"/>
        <w:keepNext/>
        <w:spacing w:before="160" w:after="100" w:line="293" w:lineRule="auto"/>
      </w:pPr>
      <w:r>
        <w:t>十一 冻结与变更规则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9月13日形成 V1.0 冻结包，至少包含需求矩阵、数据字典、OpenAPI、模型规范、状态机、样例包、测试初稿和评审纪要。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冻结后新增字段必须向后兼容；删除、改名、类型变化、枚举含义变化均视为破坏性变更。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破坏性变更须提交变更单，写明原因、影响页面、数据库迁移、兼容策略、测试影响和批准人。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代码、样例数据、文档和部署配置必须使用同一版本标识；评审稿中的占位内容不得混入验收版本。</w:t>
      </w:r>
    </w:p>
    <w:p>
      <w:pPr>
        <w:pStyle w:val="ListBullet"/>
        <w:spacing w:before="0" w:after="40" w:line="293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>第二阶段启动条件为出口门槛通过，不以日历日期自动视为完成。</w:t>
      </w:r>
    </w:p>
    <w:p>
      <w:pPr>
        <w:pStyle w:val="Heading1"/>
        <w:keepNext/>
        <w:spacing w:before="160" w:after="100" w:line="293" w:lineRule="auto"/>
      </w:pPr>
      <w:r>
        <w:t>十二 第一阶段完成检查表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8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检查项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任务书指标均进入追踪矩阵，P0/P1优先级明确</w:t>
            </w:r>
          </w:p>
        </w:tc>
      </w:tr>
      <w:tr>
        <w:trPr>
          <w:cantSplit w:val="true"/>
        </w:trPr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三类管线、首批风险、运行模式和风险等级完成评审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站点、设备、观测、数据集、风险、预警、审计字段完成冻结</w:t>
            </w:r>
          </w:p>
        </w:tc>
      </w:tr>
      <w:tr>
        <w:trPr>
          <w:cantSplit w:val="true"/>
        </w:trPr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API V1 和 OpenAPI 文档完成联合走查并可解析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模型接口与证据项获得算法和平台双方确认</w:t>
            </w:r>
          </w:p>
        </w:tc>
      </w:tr>
      <w:tr>
        <w:trPr>
          <w:cantSplit w:val="true"/>
        </w:trPr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预警状态机、角色权限和异常分支通过用例走查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300站台账草案和三个首批场景样例可重复生成</w:t>
            </w:r>
          </w:p>
        </w:tc>
      </w:tr>
      <w:tr>
        <w:trPr>
          <w:cantSplit w:val="true"/>
        </w:trPr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数据质量、契约、权限、状态机和可追溯测试用例形成初稿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第三方检测问题清单已发送并形成跟踪记录</w:t>
            </w:r>
          </w:p>
        </w:tc>
      </w:tr>
      <w:tr>
        <w:trPr>
          <w:cantSplit w:val="true"/>
        </w:trPr>
        <w:tc>
          <w:tcPr>
            <w:tcW w:type="dxa" w:w="93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代码与环境基线、风险清单、第二阶段任务拆解已归档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□</w:t>
            </w:r>
          </w:p>
        </w:tc>
        <w:tc>
          <w:tcPr>
            <w:tcW w:type="dxa" w:w="88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评审纪要记录通过项、条件通过项、未决项、责任人和截止日期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93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评审建议：</w:t>
      </w:r>
      <w:r>
        <w:rPr>
          <w:rFonts w:ascii="Arial Unicode MS" w:hAnsi="Arial Unicode MS" w:eastAsia="Arial Unicode MS" w:cs="Arial Unicode MS"/>
          <w:color w:val="000000"/>
          <w:sz w:val="21"/>
        </w:rPr>
        <w:t>本稿先用于范围评审。D01至D08确认后，将评审结论写入 V1.0 冻结版，并据此拆解第二阶段“数据接入与300站底座”的开发任务。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666666"/>
        <w:sz w:val="16"/>
      </w:rPr>
      <w:t>课题五智能服务平台第一阶段规划  V0.1 评审稿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