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知识库配置规范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>（右键此处 → 更新域 → 更新整个目录）</w:t>
      </w:r>
      <w:r>
        <w:fldChar w:fldCharType="end"/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一、知识库类型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内部知识库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企业专属数据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公司资质库、成功案例库、产品能力库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行业知识库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行业通用知识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政策法规库、行业标准库、术语字典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外部知识库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公开数据源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招投标法规库、行业报告库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二、配置步骤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步骤一：梳理数据需求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问业务专家："你干这个活，需要查哪些系统？"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步骤二：申请数据权限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向数据管理员申请访问权限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步骤三：准备数据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导出数据、清洗数据、格式转换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步骤四：切片规则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按表格层级、条款结构、段落语义切片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步骤五：权限配置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设置谁能看、谁能改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步骤六：更新频率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定义数据更新频率和更新机制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步骤七：测试验证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验证检索效果、准确率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三、知识库配置模板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知识库名称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所属智能体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数据权限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更新频率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公司资质库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招投标智能体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内部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营业执照、资质证书、认证、专利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全员可见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资质变更时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已配置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成功案例库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招投标智能体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内部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历史中标项目、客户、规模、成果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按部门分级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每季度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已配置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招投标法规库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招投标智能体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外部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政府采购法、招投标法、行业规则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全员可见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政策更新时自动爬取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已配置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四、数据质量要求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数据权限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智能体只能看它该看的（科室 Agent 不能看全院）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数据时效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引用的制度是最新版，不是去年的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数据结构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表格层级、条款结构、段落语义，不能按纯文本切片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数据安全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敏感数据脱敏、权限分级、访问日志可追溯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五、切片规则详解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表格数据：按表格结构切片，保留表头、列名、行数据的关系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条款数据：按条款层级切片（一级条款、二级条款、三级条款）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段落数据：按语义段落切片，不按固定字数切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切片规则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表格数据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一个表格一个切片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门诊量统计表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条款数据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一个完整条款一个切片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第三章第十条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段落数据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按语义段落，200-500字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政策解读段落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六、配置检查表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数据需求已梳理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数据权限已申请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数据已准备并清洗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切片规则已定义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权限已配置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更新频率已定义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检索效果已测试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准确率已验证（≥90%）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