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1.1.0 -->
  <w:body>
    <w:p>
      <w:pPr>
        <w:spacing w:after="240"/>
        <w:rPr>
          <w:rFonts w:ascii="Microsoft YaHei" w:eastAsia="Microsoft YaHei" w:hAnsi="Microsoft YaHei" w:cs="Microsoft YaHei"/>
        </w:rPr>
      </w:pPr>
    </w:p>
    <w:p>
      <w:pPr>
        <w:spacing w:before="240" w:after="240"/>
        <w:ind w:left="600" w:right="600"/>
        <w:jc w:val="center"/>
        <w:rPr>
          <w:rFonts w:ascii="Microsoft YaHei" w:eastAsia="Microsoft YaHei" w:hAnsi="Microsoft YaHei" w:cs="Microsoft YaHei"/>
          <w:i/>
          <w:iCs/>
          <w:color w:val="404040"/>
        </w:rPr>
      </w:pPr>
      <w:r>
        <w:rPr>
          <w:rFonts w:ascii="Microsoft YaHei" w:eastAsia="Microsoft YaHei" w:hAnsi="Microsoft YaHei" w:cs="Microsoft YaHei"/>
          <w:b/>
          <w:bCs/>
          <w:i/>
          <w:iCs/>
          <w:color w:val="404040"/>
        </w:rPr>
        <w:t>系统</w:t>
      </w:r>
      <w:r>
        <w:rPr>
          <w:rFonts w:ascii="Microsoft YaHei" w:eastAsia="Microsoft YaHei" w:hAnsi="Microsoft YaHei" w:cs="Microsoft YaHei"/>
          <w:i/>
          <w:iCs/>
          <w:color w:val="404040"/>
        </w:rPr>
        <w:t>：SDR 数据管理平台（数据资产管理平台 / 企业数据语义与 Agent 服务平台）</w:t>
      </w:r>
      <w:r>
        <w:rPr>
          <w:rFonts w:ascii="Microsoft YaHei" w:eastAsia="Microsoft YaHei" w:hAnsi="Microsoft YaHei" w:cs="Microsoft YaHei"/>
          <w:i/>
          <w:iCs/>
          <w:color w:val="404040"/>
        </w:rPr>
        <w:br/>
      </w:r>
      <w:r>
        <w:rPr>
          <w:rFonts w:ascii="Microsoft YaHei" w:eastAsia="Microsoft YaHei" w:hAnsi="Microsoft YaHei" w:cs="Microsoft YaHei"/>
          <w:b/>
          <w:bCs/>
          <w:i/>
          <w:iCs/>
          <w:color w:val="404040"/>
        </w:rPr>
        <w:t>访问地址</w:t>
      </w:r>
      <w:r>
        <w:rPr>
          <w:rFonts w:ascii="Microsoft YaHei" w:eastAsia="Microsoft YaHei" w:hAnsi="Microsoft YaHei" w:cs="Microsoft YaHei"/>
          <w:i/>
          <w:iCs/>
          <w:color w:val="404040"/>
        </w:rPr>
        <w:t>：</w:t>
      </w:r>
      <w:r>
        <w:rPr>
          <w:rFonts w:ascii="Microsoft YaHei" w:eastAsia="Microsoft YaHei" w:hAnsi="Microsoft YaHei" w:cs="Microsoft YaHei"/>
          <w:i/>
          <w:iCs/>
          <w:color w:val="404040"/>
        </w:rPr>
        <w:t>链接:</w:t>
      </w:r>
      <w:hyperlink r:id="rId4" w:tgtFrame="_blank" w:history="1">
        <w:r>
          <w:rPr>
            <w:rFonts w:ascii="Microsoft YaHei" w:eastAsia="Microsoft YaHei" w:hAnsi="Microsoft YaHei" w:cs="Microsoft YaHei"/>
            <w:i/>
            <w:iCs/>
            <w:color w:val="0000EE"/>
            <w:u w:val="single" w:color="0000EE"/>
          </w:rPr>
          <w:t>http://pms.ba.qihoo.net/reports/data_platform/</w:t>
        </w:r>
      </w:hyperlink>
    </w:p>
    <w:p>
      <w:pPr>
        <w:spacing w:before="240" w:after="240"/>
        <w:ind w:left="600" w:right="600"/>
        <w:jc w:val="center"/>
        <w:rPr>
          <w:rFonts w:ascii="Microsoft YaHei" w:eastAsia="Microsoft YaHei" w:hAnsi="Microsoft YaHei" w:cs="Microsoft YaHei"/>
          <w:i/>
          <w:iCs/>
          <w:color w:val="404040"/>
        </w:rPr>
      </w:pPr>
      <w:r>
        <w:rPr>
          <w:rFonts w:ascii="Microsoft YaHei" w:eastAsia="Microsoft YaHei" w:hAnsi="Microsoft YaHei" w:cs="Microsoft YaHei"/>
          <w:i/>
          <w:iCs/>
          <w:color w:val="404040"/>
        </w:rPr>
        <w:t>管理端账号：admin 密码：12456</w:t>
      </w:r>
    </w:p>
    <w:p>
      <w:pPr>
        <w:spacing w:before="240" w:after="240"/>
        <w:ind w:left="600" w:right="600"/>
        <w:jc w:val="center"/>
        <w:rPr>
          <w:rFonts w:ascii="Microsoft YaHei" w:eastAsia="Microsoft YaHei" w:hAnsi="Microsoft YaHei" w:cs="Microsoft YaHei"/>
          <w:i/>
          <w:iCs/>
          <w:color w:val="404040"/>
        </w:rPr>
      </w:pPr>
      <w:r>
        <w:rPr>
          <w:rFonts w:ascii="Microsoft YaHei" w:eastAsia="Microsoft YaHei" w:hAnsi="Microsoft YaHei" w:cs="Microsoft YaHei"/>
          <w:i/>
          <w:iCs/>
          <w:color w:val="404040"/>
        </w:rPr>
        <w:t>数据管理工作台端账号：</w:t>
      </w:r>
      <w:r>
        <w:rPr>
          <w:rFonts w:ascii="Microsoft YaHei" w:eastAsia="Microsoft YaHei" w:hAnsi="Microsoft YaHei" w:cs="Microsoft YaHei"/>
          <w:i/>
          <w:iCs/>
          <w:color w:val="404040"/>
        </w:rPr>
        <w:t xml:space="preserve">agent_001 </w:t>
      </w:r>
      <w:r>
        <w:rPr>
          <w:rFonts w:ascii="Microsoft YaHei" w:eastAsia="Microsoft YaHei" w:hAnsi="Microsoft YaHei" w:cs="Microsoft YaHei"/>
          <w:i/>
          <w:iCs/>
          <w:color w:val="404040"/>
        </w:rPr>
        <w:t>密码：12456</w:t>
      </w:r>
      <w:r>
        <w:rPr>
          <w:rFonts w:ascii="Microsoft YaHei" w:eastAsia="Microsoft YaHei" w:hAnsi="Microsoft YaHei" w:cs="Microsoft YaHei"/>
          <w:i/>
          <w:iCs/>
          <w:color w:val="404040"/>
        </w:rPr>
        <w:br/>
      </w:r>
      <w:r>
        <w:rPr>
          <w:rFonts w:ascii="Microsoft YaHei" w:eastAsia="Microsoft YaHei" w:hAnsi="Microsoft YaHei" w:cs="Microsoft YaHei"/>
          <w:b/>
          <w:bCs/>
          <w:i/>
          <w:iCs/>
          <w:color w:val="404040"/>
        </w:rPr>
        <w:t>核心使命</w:t>
      </w:r>
      <w:r>
        <w:rPr>
          <w:rFonts w:ascii="Microsoft YaHei" w:eastAsia="Microsoft YaHei" w:hAnsi="Microsoft YaHei" w:cs="Microsoft YaHei"/>
          <w:i/>
          <w:iCs/>
          <w:color w:val="404040"/>
        </w:rPr>
        <w:t>：从需求到可复用的数据集，让数据更标准、更可复制、更可交付</w:t>
      </w:r>
    </w:p>
    <w:p>
      <w:r>
        <w:pict>
          <v:rect id="_x0000_i1025" style="width:468pt;height:1.5pt" o:hrpct="1000" o:hralign="center" o:hrstd="t" o:hr="t" filled="t" fillcolor="gray" stroked="f">
            <v:path strokeok="f"/>
          </v:rect>
        </w:pict>
      </w:r>
    </w:p>
    <w:p>
      <w:pPr>
        <w:pStyle w:val="Heading2"/>
        <w:keepNext w:val="0"/>
        <w:keepLines w:val="0"/>
        <w:spacing w:before="299" w:after="299"/>
        <w:rPr>
          <w:rFonts w:ascii="Microsoft YaHei" w:eastAsia="Microsoft YaHei" w:hAnsi="Microsoft YaHei" w:cs="Microsoft YaHei"/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第一部分：SDR 平台功能总览-熟悉SDR平台</w:t>
      </w:r>
    </w:p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1.1 平台定位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SDR 是一套「</w:t>
      </w:r>
      <w:r>
        <w:rPr>
          <w:rFonts w:ascii="Microsoft YaHei" w:eastAsia="Microsoft YaHei" w:hAnsi="Microsoft YaHei" w:cs="Microsoft YaHei"/>
          <w:b/>
          <w:bCs/>
        </w:rPr>
        <w:t>数据资产管理 + 企业数据语义 + Agent 服务</w:t>
      </w:r>
      <w:r>
        <w:rPr>
          <w:rFonts w:ascii="Microsoft YaHei" w:eastAsia="Microsoft YaHei" w:hAnsi="Microsoft YaHei" w:cs="Microsoft YaHei"/>
        </w:rPr>
        <w:t>」平台。围绕"医院等客户"的数据，让</w:t>
      </w:r>
      <w:r>
        <w:rPr>
          <w:rFonts w:ascii="Microsoft YaHei" w:eastAsia="Microsoft YaHei" w:hAnsi="Microsoft YaHei" w:cs="Microsoft YaHei"/>
          <w:b/>
          <w:bCs/>
        </w:rPr>
        <w:t>代理商</w:t>
      </w:r>
      <w:r>
        <w:rPr>
          <w:rFonts w:ascii="Microsoft YaHei" w:eastAsia="Microsoft YaHei" w:hAnsi="Microsoft YaHei" w:cs="Microsoft YaHei"/>
        </w:rPr>
        <w:t>接入业务系统数据，沉淀为</w:t>
      </w:r>
      <w:r>
        <w:rPr>
          <w:rFonts w:ascii="Microsoft YaHei" w:eastAsia="Microsoft YaHei" w:hAnsi="Microsoft YaHei" w:cs="Microsoft YaHei"/>
          <w:b/>
          <w:bCs/>
        </w:rPr>
        <w:t>可复用的标准数据集</w:t>
      </w:r>
      <w:r>
        <w:rPr>
          <w:rFonts w:ascii="Microsoft YaHei" w:eastAsia="Microsoft YaHei" w:hAnsi="Microsoft YaHei" w:cs="Microsoft YaHei"/>
        </w:rPr>
        <w:t>，最终供</w:t>
      </w:r>
      <w:r>
        <w:rPr>
          <w:rFonts w:ascii="Microsoft YaHei" w:eastAsia="Microsoft YaHei" w:hAnsi="Microsoft YaHei" w:cs="Microsoft YaHei"/>
          <w:b/>
          <w:bCs/>
        </w:rPr>
        <w:t>上层智能体 / 指标应用</w:t>
      </w:r>
      <w:r>
        <w:rPr>
          <w:rFonts w:ascii="Microsoft YaHei" w:eastAsia="Microsoft YaHei" w:hAnsi="Microsoft YaHei" w:cs="Microsoft YaHei"/>
        </w:rPr>
        <w:t>调用。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b/>
          <w:bCs/>
        </w:rPr>
        <w:t>整体功能链路</w:t>
      </w:r>
      <w:r>
        <w:rPr>
          <w:rFonts w:ascii="Microsoft YaHei" w:eastAsia="Microsoft YaHei" w:hAnsi="Microsoft YaHei" w:cs="Microsoft YaHei"/>
        </w:rPr>
        <w:t>：</w:t>
      </w:r>
      <w:r>
        <w:rPr>
          <w:rFonts w:ascii="Microsoft YaHei" w:eastAsia="Microsoft YaHei" w:hAnsi="Microsoft YaHei" w:cs="Microsoft YaHei"/>
        </w:rPr>
        <w:br/>
      </w:r>
      <w:r>
        <w:rPr>
          <w:rFonts w:ascii="Microsoft YaHei" w:eastAsia="Microsoft YaHei" w:hAnsi="Microsoft YaHei" w:cs="Microsoft YaHei"/>
        </w:rPr>
        <w:t>创建客户 → 配置业务系统（数据资产扫描）→ 构建数据集 / 模型（输出字段协议）→ 发布生成同步任务（实时/离线）→ 授权外部调用方（Token + MySQL）→ 生成安装包并回传客户 API → 探活监控全链路节点。</w:t>
      </w:r>
    </w:p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1.2 双角色工作台</w:t>
      </w:r>
    </w:p>
    <w:tbl>
      <w:tblPr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8"/>
        <w:gridCol w:w="2746"/>
        <w:gridCol w:w="3336"/>
      </w:tblGrid>
      <w:tr>
        <w:tblPrEx>
          <w:tblW w:w="5000" w:type="pct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650" w:type="pct"/>
            <w:tcBorders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角色</w:t>
            </w:r>
          </w:p>
        </w:tc>
        <w:tc>
          <w:tcPr>
            <w:tcW w:w="1650" w:type="pct"/>
            <w:tcBorders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定位</w:t>
            </w:r>
          </w:p>
        </w:tc>
        <w:tc>
          <w:tcPr>
            <w:tcW w:w="1650" w:type="pct"/>
            <w:tcBorders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核心模块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6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管理员（admin）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平台全局治理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代理商管理、厂商管理、模型模板管理、审批管理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650" w:type="pct"/>
            <w:tcBorders>
              <w:top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总部/代理商（agent_xxx）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面向客户交付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我的客户 → 客户工作空间（业务系统 / 数据集 / 同步任务 / 外部调用方 / 系统安装 / 系统管理）</w:t>
            </w:r>
          </w:p>
        </w:tc>
      </w:tr>
    </w:tbl>
    <w:p/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1.3 管理员工作台（4 大模块）</w:t>
      </w:r>
    </w:p>
    <w:tbl>
      <w:tblPr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3"/>
        <w:gridCol w:w="6257"/>
      </w:tblGrid>
      <w:tr>
        <w:tblPrEx>
          <w:tblW w:w="5000" w:type="pct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模块</w:t>
            </w:r>
          </w:p>
        </w:tc>
        <w:tc>
          <w:tcPr>
            <w:tcW w:w="2500" w:type="pct"/>
            <w:tcBorders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核心功能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代理商管理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代理商账号增删改查、启停用、重置密码、创建自动生成账号密码；展开查看名下客户并启停客户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厂商管理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维护 ERP/HIS/OA 等系统类别、厂商、系统名称与版本；新增/查看/编辑/删除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模型模板管理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模型→厂商→客户实现三级结构；查看模型输出字段协议（敏感字段标记）、查看厂商模型 SQL、客户实现差异对比（字段新增/修改/缺少 + SQL 变化）、设为模板/隐藏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审批管理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客户上线/下线/延期审批，含上线前检查（基础信息/安装包/API/业务系统）与审批时间线</w:t>
            </w:r>
          </w:p>
        </w:tc>
      </w:tr>
    </w:tbl>
    <w:p/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1.4 代理商工作台（客户工作空间 6 个标签页）</w:t>
      </w:r>
    </w:p>
    <w:tbl>
      <w:tblPr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7710"/>
      </w:tblGrid>
      <w:tr>
        <w:tblPrEx>
          <w:tblW w:w="5000" w:type="pct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标签页</w:t>
            </w:r>
          </w:p>
        </w:tc>
        <w:tc>
          <w:tcPr>
            <w:tcW w:w="2500" w:type="pct"/>
            <w:tcBorders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核心功能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① 业务系统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新建业务系统、数据资产扫描（模式/表/字段/主键外键/解析警告）、更新数据资产、版本对比、字段详情、来源信息、测试连接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② 数据集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数据协议管理、数据逻辑版本（实时加速）、查看/编辑/测试/下线/上线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③ 同步任务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实时/离线同步任务管理，由数据集发布自动生成；立即执行、重新部署、状态与执行结果监控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④ 外部调用方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为外部 Agent/应用授权模型、TOKEN 显示/复制/重置、客户端 MySQL 连接信息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⑤ 系统安装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通用/配置安装包下载（审核通过开放）、客户 API 回传（数据服务+同步服务账号密码/服务器）、安装包下载记录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⑥ 系统管理（探活）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客户探活、数据资源勘探活、业务库探活、同步系统探活（30秒自动刷新、节点状态统计、历史日志）</w:t>
            </w:r>
          </w:p>
        </w:tc>
      </w:tr>
    </w:tbl>
    <w:p/>
    <w:p>
      <w:r>
        <w:pict>
          <v:rect id="_x0000_i1026" style="width:468pt;height:1.5pt" o:hrpct="1000" o:hralign="center" o:hrstd="t" o:hr="t" filled="t" fillcolor="gray" stroked="f">
            <v:path strokeok="f"/>
          </v:rect>
        </w:pict>
      </w:r>
    </w:p>
    <w:p>
      <w:pPr>
        <w:pStyle w:val="Heading2"/>
        <w:keepNext w:val="0"/>
        <w:keepLines w:val="0"/>
        <w:spacing w:before="299" w:after="299"/>
        <w:rPr>
          <w:rFonts w:ascii="Microsoft YaHei" w:eastAsia="Microsoft YaHei" w:hAnsi="Microsoft YaHei" w:cs="Microsoft YaHei"/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第二部分：SDR 数据规范-我们需要做什么</w:t>
      </w:r>
    </w:p>
    <w:p>
      <w:pPr>
        <w:spacing w:before="240" w:after="240"/>
        <w:ind w:left="600" w:right="600"/>
        <w:jc w:val="center"/>
        <w:rPr>
          <w:rFonts w:ascii="Microsoft YaHei" w:eastAsia="Microsoft YaHei" w:hAnsi="Microsoft YaHei" w:cs="Microsoft YaHei"/>
          <w:i/>
          <w:iCs/>
          <w:color w:val="404040"/>
        </w:rPr>
      </w:pPr>
      <w:r>
        <w:rPr>
          <w:rFonts w:ascii="Microsoft YaHei" w:eastAsia="Microsoft YaHei" w:hAnsi="Microsoft YaHei" w:cs="Microsoft YaHei"/>
          <w:i/>
          <w:iCs/>
          <w:color w:val="404040"/>
        </w:rPr>
        <w:t>依据产品经理在 SDR 的工作规范整理，核心原则：</w:t>
      </w:r>
      <w:r>
        <w:rPr>
          <w:rFonts w:ascii="Microsoft YaHei" w:eastAsia="Microsoft YaHei" w:hAnsi="Microsoft YaHei" w:cs="Microsoft YaHei"/>
          <w:b/>
          <w:bCs/>
          <w:i/>
          <w:iCs/>
          <w:color w:val="404040"/>
        </w:rPr>
        <w:t>标准数据集 + 原始表口径 + 按厂商模板复用</w:t>
      </w:r>
    </w:p>
    <w:p>
      <w:r>
        <w:rPr>
          <w:strike w:val="0"/>
          <w:u w:val="none"/>
        </w:rPr>
        <w:drawing>
          <wp:inline>
            <wp:extent cx="4762500" cy="268033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</w:p>
    <w:p/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2.1 主流程：从需求到可复用的数据集</w:t>
      </w:r>
    </w:p>
    <w:tbl>
      <w:tblPr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7"/>
        <w:gridCol w:w="2362"/>
        <w:gridCol w:w="2780"/>
        <w:gridCol w:w="2061"/>
      </w:tblGrid>
      <w:tr>
        <w:tblPrEx>
          <w:tblW w:w="5000" w:type="pct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250" w:type="pct"/>
            <w:tcBorders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步骤</w:t>
            </w:r>
          </w:p>
        </w:tc>
        <w:tc>
          <w:tcPr>
            <w:tcW w:w="1250" w:type="pct"/>
            <w:tcBorders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环节</w:t>
            </w:r>
          </w:p>
        </w:tc>
        <w:tc>
          <w:tcPr>
            <w:tcW w:w="1250" w:type="pct"/>
            <w:tcBorders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关键内容</w:t>
            </w:r>
          </w:p>
        </w:tc>
        <w:tc>
          <w:tcPr>
            <w:tcW w:w="1250" w:type="pct"/>
            <w:tcBorders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责任方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2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01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医院开户与业务系统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代理商开户；HIS / PACS / 厂商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总部/代理商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2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02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登记数据源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数据库连接串、数据库类型、数据库名称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产品经理+院方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2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03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获取原始表与 DDL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只要原始表、不要视图；院方 / 厂商人工提供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院方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2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04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标准数据集（可复制的数据底座）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表结构 · 输出字段、原子指标 · 更新频率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 xml:space="preserve">产品经理（主责） 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2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05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生成落地 SQL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一个数据集一段 SQL，可对应多张底表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 xml:space="preserve">医院负责人（主责） 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250" w:type="pct"/>
            <w:tcBorders>
              <w:top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06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智能体 / 指标应用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上层指标与智能体复用</w:t>
            </w:r>
          </w:p>
        </w:tc>
        <w:tc>
          <w:tcPr>
            <w:tcW w:w="1250" w:type="pct"/>
            <w:tcBorders>
              <w:top w:val="inset" w:sz="6" w:space="0" w:color="808080"/>
              <w:lef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FDE交付</w:t>
            </w:r>
          </w:p>
        </w:tc>
      </w:tr>
    </w:tbl>
    <w:p/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2.2 0-1 打造标品（标准设计）——产品经理主责</w:t>
      </w:r>
    </w:p>
    <w:p>
      <w:pPr>
        <w:spacing w:before="240" w:after="240"/>
        <w:ind w:left="600" w:right="600"/>
        <w:jc w:val="center"/>
        <w:rPr>
          <w:rFonts w:ascii="Microsoft YaHei" w:eastAsia="Microsoft YaHei" w:hAnsi="Microsoft YaHei" w:cs="Microsoft YaHei"/>
          <w:i/>
          <w:iCs/>
          <w:color w:val="404040"/>
        </w:rPr>
      </w:pPr>
      <w:r>
        <w:rPr>
          <w:rFonts w:ascii="Microsoft YaHei" w:eastAsia="Microsoft YaHei" w:hAnsi="Microsoft YaHei" w:cs="Microsoft YaHei"/>
          <w:i/>
          <w:iCs/>
          <w:color w:val="404040"/>
        </w:rPr>
        <w:t>核心定位：</w:t>
      </w:r>
      <w:r>
        <w:rPr>
          <w:rFonts w:ascii="Microsoft YaHei" w:eastAsia="Microsoft YaHei" w:hAnsi="Microsoft YaHei" w:cs="Microsoft YaHei"/>
          <w:b/>
          <w:bCs/>
          <w:i/>
          <w:iCs/>
          <w:color w:val="404040"/>
        </w:rPr>
        <w:t>产品经理主责：数据集与字段设计</w:t>
      </w:r>
    </w:p>
    <w:p>
      <w:pPr>
        <w:numPr>
          <w:ilvl w:val="0"/>
          <w:numId w:val="1"/>
        </w:numPr>
        <w:spacing w:before="240" w:after="240"/>
        <w:ind w:left="720" w:hanging="242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b/>
          <w:bCs/>
        </w:rPr>
        <w:t>步骤 1</w:t>
      </w:r>
      <w:r>
        <w:rPr>
          <w:rFonts w:ascii="Microsoft YaHei" w:eastAsia="Microsoft YaHei" w:hAnsi="Microsoft YaHei" w:cs="Microsoft YaHei"/>
        </w:rPr>
        <w:t>：多家医院沟通智能体需求</w:t>
      </w:r>
    </w:p>
    <w:p>
      <w:pPr>
        <w:numPr>
          <w:ilvl w:val="0"/>
          <w:numId w:val="1"/>
        </w:numPr>
        <w:spacing w:before="240" w:after="240"/>
        <w:ind w:left="720" w:hanging="242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b/>
          <w:bCs/>
        </w:rPr>
        <w:t>步骤 2</w:t>
      </w:r>
      <w:r>
        <w:rPr>
          <w:rFonts w:ascii="Microsoft YaHei" w:eastAsia="Microsoft YaHei" w:hAnsi="Microsoft YaHei" w:cs="Microsoft YaHei"/>
        </w:rPr>
        <w:t>：梳理共同需求、字段与原子指标</w:t>
      </w:r>
    </w:p>
    <w:p>
      <w:pPr>
        <w:numPr>
          <w:ilvl w:val="0"/>
          <w:numId w:val="1"/>
        </w:numPr>
        <w:spacing w:before="240" w:after="240"/>
        <w:ind w:left="720" w:hanging="242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b/>
          <w:bCs/>
        </w:rPr>
        <w:t>步骤 3</w:t>
      </w:r>
      <w:r>
        <w:rPr>
          <w:rFonts w:ascii="Microsoft YaHei" w:eastAsia="Microsoft YaHei" w:hAnsi="Microsoft YaHei" w:cs="Microsoft YaHei"/>
        </w:rPr>
        <w:t>：设计标准数据集 / 表结构</w:t>
      </w:r>
    </w:p>
    <w:p>
      <w:pPr>
        <w:numPr>
          <w:ilvl w:val="0"/>
          <w:numId w:val="1"/>
        </w:numPr>
        <w:spacing w:before="240" w:after="240"/>
        <w:ind w:left="720" w:hanging="242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b/>
          <w:bCs/>
        </w:rPr>
        <w:t>步骤 4</w:t>
      </w:r>
      <w:r>
        <w:rPr>
          <w:rFonts w:ascii="Microsoft YaHei" w:eastAsia="Microsoft YaHei" w:hAnsi="Microsoft YaHei" w:cs="Microsoft YaHei"/>
        </w:rPr>
        <w:t>：沉淀厂商 + 业务系统模板</w:t>
      </w:r>
    </w:p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2.3 1-2 复制标品（快速交付）——医院负责人主责</w:t>
      </w:r>
    </w:p>
    <w:p>
      <w:pPr>
        <w:spacing w:before="240" w:after="240"/>
        <w:ind w:left="600" w:right="600"/>
        <w:jc w:val="center"/>
        <w:rPr>
          <w:rFonts w:ascii="Microsoft YaHei" w:eastAsia="Microsoft YaHei" w:hAnsi="Microsoft YaHei" w:cs="Microsoft YaHei"/>
          <w:i/>
          <w:iCs/>
          <w:color w:val="404040"/>
        </w:rPr>
      </w:pPr>
      <w:r>
        <w:rPr>
          <w:rFonts w:ascii="Microsoft YaHei" w:eastAsia="Microsoft YaHei" w:hAnsi="Microsoft YaHei" w:cs="Microsoft YaHei"/>
          <w:i/>
          <w:iCs/>
          <w:color w:val="404040"/>
        </w:rPr>
        <w:t>核心定位：</w:t>
      </w:r>
      <w:r>
        <w:rPr>
          <w:rFonts w:ascii="Microsoft YaHei" w:eastAsia="Microsoft YaHei" w:hAnsi="Microsoft YaHei" w:cs="Microsoft YaHei"/>
          <w:b/>
          <w:bCs/>
          <w:i/>
          <w:iCs/>
          <w:color w:val="404040"/>
        </w:rPr>
        <w:t>医院负责人主责：SQL 落地</w:t>
      </w:r>
    </w:p>
    <w:p>
      <w:pPr>
        <w:numPr>
          <w:ilvl w:val="0"/>
          <w:numId w:val="2"/>
        </w:numPr>
        <w:spacing w:before="240" w:after="240"/>
        <w:ind w:left="720" w:hanging="242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b/>
          <w:bCs/>
        </w:rPr>
        <w:t>步骤 1</w:t>
      </w:r>
      <w:r>
        <w:rPr>
          <w:rFonts w:ascii="Microsoft YaHei" w:eastAsia="Microsoft YaHei" w:hAnsi="Microsoft YaHei" w:cs="Microsoft YaHei"/>
        </w:rPr>
        <w:t>：选择标品模板</w:t>
      </w:r>
    </w:p>
    <w:p>
      <w:pPr>
        <w:numPr>
          <w:ilvl w:val="0"/>
          <w:numId w:val="2"/>
        </w:numPr>
        <w:spacing w:before="240" w:after="240"/>
        <w:ind w:left="720" w:hanging="242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b/>
          <w:bCs/>
        </w:rPr>
        <w:t>步骤 2</w:t>
      </w:r>
      <w:r>
        <w:rPr>
          <w:rFonts w:ascii="Microsoft YaHei" w:eastAsia="Microsoft YaHei" w:hAnsi="Microsoft YaHei" w:cs="Microsoft YaHei"/>
        </w:rPr>
        <w:t>：判断字段是否满足客户需求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 xml:space="preserve">✅ </w:t>
      </w:r>
      <w:r>
        <w:rPr>
          <w:rFonts w:ascii="Microsoft YaHei" w:eastAsia="Microsoft YaHei" w:hAnsi="Microsoft YaHei" w:cs="Microsoft YaHei"/>
          <w:b/>
          <w:bCs/>
        </w:rPr>
        <w:t>满足</w:t>
      </w:r>
      <w:r>
        <w:rPr>
          <w:rFonts w:ascii="Microsoft YaHei" w:eastAsia="Microsoft YaHei" w:hAnsi="Microsoft YaHei" w:cs="Microsoft YaHei"/>
        </w:rPr>
        <w:t>：直接按模板索取 SQL</w:t>
      </w:r>
    </w:p>
    <w:p>
      <w:pPr>
        <w:numPr>
          <w:ilvl w:val="1"/>
          <w:numId w:val="2"/>
        </w:numPr>
        <w:spacing w:before="240" w:after="240"/>
        <w:ind w:left="1440" w:hanging="244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 xml:space="preserve">❌ </w:t>
      </w:r>
      <w:r>
        <w:rPr>
          <w:rFonts w:ascii="Microsoft YaHei" w:eastAsia="Microsoft YaHei" w:hAnsi="Microsoft YaHei" w:cs="Microsoft YaHei"/>
          <w:b/>
          <w:bCs/>
        </w:rPr>
        <w:t>不满足</w:t>
      </w:r>
      <w:r>
        <w:rPr>
          <w:rFonts w:ascii="Microsoft YaHei" w:eastAsia="Microsoft YaHei" w:hAnsi="Microsoft YaHei" w:cs="Microsoft YaHei"/>
        </w:rPr>
        <w:t>：新增字段或数据集 → 更新模板后索取 SQL</w:t>
      </w:r>
    </w:p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2.4 异常处理与治理</w:t>
      </w:r>
    </w:p>
    <w:tbl>
      <w:tblPr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5"/>
        <w:gridCol w:w="4505"/>
      </w:tblGrid>
      <w:tr>
        <w:tblPrEx>
          <w:tblW w:w="5000" w:type="pct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环节</w:t>
            </w:r>
          </w:p>
        </w:tc>
        <w:tc>
          <w:tcPr>
            <w:tcW w:w="2500" w:type="pct"/>
            <w:tcBorders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处理方式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1. 字段不足 / 新业务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现有字段无法满足或新增业务需求时，触发治理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2. 新增字段或数据集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补充采集数据，定义新字段或新增数据集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3. 更新模板与表结构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完成表结构变更，更新模板并生成 SQL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4. 数据质量与运维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离线定时 / 直读 / 实时；监控告警；SLA P0/P1</w:t>
            </w:r>
          </w:p>
        </w:tc>
      </w:tr>
    </w:tbl>
    <w:p/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2.5 核心原则</w:t>
      </w:r>
    </w:p>
    <w:p>
      <w:pPr>
        <w:spacing w:before="240" w:after="240"/>
        <w:ind w:left="600" w:right="600"/>
        <w:jc w:val="center"/>
        <w:rPr>
          <w:rFonts w:ascii="Microsoft YaHei" w:eastAsia="Microsoft YaHei" w:hAnsi="Microsoft YaHei" w:cs="Microsoft YaHei"/>
          <w:i/>
          <w:iCs/>
          <w:color w:val="404040"/>
        </w:rPr>
      </w:pPr>
      <w:r>
        <w:rPr>
          <w:rFonts w:ascii="Microsoft YaHei" w:eastAsia="Microsoft YaHei" w:hAnsi="Microsoft YaHei" w:cs="Microsoft YaHei"/>
          <w:b/>
          <w:bCs/>
          <w:i/>
          <w:iCs/>
          <w:color w:val="404040"/>
        </w:rPr>
        <w:t>标准数据集 + 原始表口径 + 按厂商模板复用</w:t>
      </w:r>
    </w:p>
    <w:p>
      <w:r>
        <w:pict>
          <v:rect id="_x0000_i1027" style="width:468pt;height:1.5pt" o:hrpct="1000" o:hralign="center" o:hrstd="t" o:hr="t" filled="t" fillcolor="gray" stroked="f">
            <v:path strokeok="f"/>
          </v:rect>
        </w:pict>
      </w:r>
    </w:p>
    <w:p>
      <w:pPr>
        <w:pStyle w:val="Heading2"/>
        <w:keepNext w:val="0"/>
        <w:keepLines w:val="0"/>
        <w:spacing w:before="299" w:after="299"/>
        <w:rPr>
          <w:rFonts w:ascii="Microsoft YaHei" w:eastAsia="Microsoft YaHei" w:hAnsi="Microsoft YaHei" w:cs="Microsoft YaHei"/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第三部分：产品经理在 SDR 的角色职责</w:t>
      </w:r>
    </w:p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3.1 职责定位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产品经理在 SDR 中承担「</w:t>
      </w:r>
      <w:r>
        <w:rPr>
          <w:rFonts w:ascii="Microsoft YaHei" w:eastAsia="Microsoft YaHei" w:hAnsi="Microsoft YaHei" w:cs="Microsoft YaHei"/>
          <w:b/>
          <w:bCs/>
        </w:rPr>
        <w:t>数据产品设计</w:t>
      </w:r>
      <w:r>
        <w:rPr>
          <w:rFonts w:ascii="Microsoft YaHei" w:eastAsia="Microsoft YaHei" w:hAnsi="Microsoft YaHei" w:cs="Microsoft YaHei"/>
        </w:rPr>
        <w:t>」核心角色，负责把医院/客户的需求转化为</w:t>
      </w:r>
      <w:r>
        <w:rPr>
          <w:rFonts w:ascii="Microsoft YaHei" w:eastAsia="Microsoft YaHei" w:hAnsi="Microsoft YaHei" w:cs="Microsoft YaHei"/>
          <w:b/>
          <w:bCs/>
        </w:rPr>
        <w:t>可复用的标准数据集</w:t>
      </w:r>
      <w:r>
        <w:rPr>
          <w:rFonts w:ascii="Microsoft YaHei" w:eastAsia="Microsoft YaHei" w:hAnsi="Microsoft YaHei" w:cs="Microsoft YaHei"/>
        </w:rPr>
        <w:t>，是平台"标品化"的关键推动者。</w:t>
      </w:r>
    </w:p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3.2 关键职责清单</w:t>
      </w:r>
    </w:p>
    <w:tbl>
      <w:tblPr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9"/>
        <w:gridCol w:w="6621"/>
      </w:tblGrid>
      <w:tr>
        <w:tblPrEx>
          <w:tblW w:w="5000" w:type="pct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职责</w:t>
            </w:r>
          </w:p>
        </w:tc>
        <w:tc>
          <w:tcPr>
            <w:tcW w:w="2500" w:type="pct"/>
            <w:tcBorders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说明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数据集与字段设计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主导标准数据集、表结构、输出字段、原子指标、更新频率的设计、推动院方生成每个数据集的SQL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需求梳理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多客户沟通，沉淀共同需求，抽象共性字段与原子指标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模板沉淀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推动厂商 + 业务系统模板的沉淀与迭代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需求判断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评估现有字段是否满足客户需求，决定"直接复用模板"或"新增字段/数据集"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2500" w:type="pct"/>
            <w:tcBorders>
              <w:top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质量治理</w:t>
            </w:r>
          </w:p>
        </w:tc>
        <w:tc>
          <w:tcPr>
            <w:tcW w:w="2500" w:type="pct"/>
            <w:tcBorders>
              <w:top w:val="inset" w:sz="6" w:space="0" w:color="808080"/>
              <w:lef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关注字段不足/新业务场景，推动数据质量、运维与 SLA 保障</w:t>
            </w:r>
          </w:p>
        </w:tc>
      </w:tr>
    </w:tbl>
    <w:p/>
    <w:p>
      <w:pPr>
        <w:pStyle w:val="Heading3"/>
        <w:keepNext w:val="0"/>
        <w:keepLines w:val="0"/>
        <w:spacing w:before="281" w:after="281"/>
        <w:rPr>
          <w:rFonts w:ascii="Microsoft YaHei" w:eastAsia="Microsoft YaHei" w:hAnsi="Microsoft YaHei" w:cs="Microsoft YaHei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i w:val="0"/>
          <w:color w:val="auto"/>
        </w:rPr>
        <w:t>3.3 产品经理与医院负责人分工</w:t>
      </w:r>
    </w:p>
    <w:tbl>
      <w:tblPr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3"/>
        <w:gridCol w:w="3003"/>
        <w:gridCol w:w="3004"/>
      </w:tblGrid>
      <w:tr>
        <w:tblPrEx>
          <w:tblW w:w="5000" w:type="pct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650" w:type="pct"/>
            <w:tcBorders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环节</w:t>
            </w:r>
          </w:p>
        </w:tc>
        <w:tc>
          <w:tcPr>
            <w:tcW w:w="1650" w:type="pct"/>
            <w:tcBorders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产品经理</w:t>
            </w:r>
          </w:p>
        </w:tc>
        <w:tc>
          <w:tcPr>
            <w:tcW w:w="1650" w:type="pct"/>
            <w:tcBorders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医院负责人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6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标准数据集设计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✅ 主责（表结构、输出字段、原子指标）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—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6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SQL 落地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推动院方生成SQL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✅ 主责（一个数据集一段 SQL）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6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需求判断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✅ 判断字段是否满足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—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/>
        </w:trPr>
        <w:tc>
          <w:tcPr>
            <w:tcW w:w="1650" w:type="pct"/>
            <w:tcBorders>
              <w:top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模板更新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  <w:righ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✅ 更新模[板与表结构</w:t>
            </w:r>
          </w:p>
        </w:tc>
        <w:tc>
          <w:tcPr>
            <w:tcW w:w="1650" w:type="pct"/>
            <w:tcBorders>
              <w:top w:val="inset" w:sz="6" w:space="0" w:color="808080"/>
              <w:left w:val="inset" w:sz="6" w:space="0" w:color="808080"/>
            </w:tcBorders>
            <w:noWrap w:val="0"/>
            <w:tcMar>
              <w:top w:w="68" w:type="dxa"/>
              <w:left w:w="128" w:type="dxa"/>
              <w:bottom w:w="68" w:type="dxa"/>
              <w:right w:w="128" w:type="dxa"/>
            </w:tcMar>
            <w:vAlign w:val="center"/>
            <w:hideMark/>
          </w:tcPr>
          <w:p>
            <w:pPr>
              <w:spacing w:line="288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—</w:t>
            </w:r>
          </w:p>
        </w:tc>
      </w:tr>
    </w:tbl>
    <w:p/>
    <w:p>
      <w:r>
        <w:pict>
          <v:rect id="_x0000_i1028" style="width:468pt;height:1.5pt" o:hrpct="1000" o:hralign="center" o:hrstd="t" o:hr="t" filled="t" fillcolor="gray" stroked="f">
            <v:path strokeok="f"/>
          </v:rect>
        </w:pic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i/>
          <w:iCs/>
        </w:rPr>
        <w:t>文档说明：本规范第一部分基于对 SDR 数据管理平台的实机浏览（管理员 + 代理商双工作台）整理；第二部分依据产品经理工作规范图片整理。</w: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pms.ba.qihoo.net/reports/data_platform/" TargetMode="Externa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