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0" w:before="120"/>
        <w:ind w:firstLine="720" w:left="1440"/>
        <w:jc w:val="left"/>
        <w:rPr>
          <w:rFonts w:ascii="Calibri" w:hAnsi="Calibri" w:eastAsia="微软雅黑"/>
          <w:b/>
          <w:color w:val="0721a8"/>
          <w:sz w:val="36"/>
        </w:rPr>
      </w:pPr>
      <w:r>
        <w:rPr>
          <w:rFonts w:ascii="Calibri" w:hAnsi="Calibri" w:eastAsia="微软雅黑"/>
          <w:b/>
          <w:color w:val="0721a8"/>
          <w:sz w:val="36"/>
        </w:rPr>
        <w:t xml:space="preserve">重庆永川医院体检报告解读智能体 </w:t>
      </w:r>
      <w:r>
        <w:rPr>
          <w:rFonts w:ascii="Calibri" w:hAnsi="Calibri" w:eastAsia="微软雅黑"/>
          <w:b/>
          <w:color w:val="0721a8"/>
          <w:sz w:val="36"/>
        </w:rPr>
      </w:r>
      <w:r>
        <w:rPr>
          <w:rFonts w:ascii="Calibri" w:hAnsi="Calibri" w:eastAsia="微软雅黑"/>
          <w:b/>
          <w:color w:val="0721a8"/>
          <w:sz w:val="36"/>
        </w:rPr>
      </w:r>
    </w:p>
    <w:p>
      <w:pPr>
        <w:pBdr/>
        <w:spacing w:after="200" w:before="120"/>
        <w:ind/>
        <w:jc w:val="center"/>
        <w:rPr>
          <w:color w:val="0721a8"/>
        </w:rPr>
      </w:pPr>
      <w:r>
        <w:rPr>
          <w:rFonts w:ascii="Calibri" w:hAnsi="Calibri" w:eastAsia="微软雅黑"/>
          <w:b/>
          <w:color w:val="0721a8"/>
          <w:sz w:val="36"/>
        </w:rPr>
        <w:t xml:space="preserve"> </w:t>
      </w:r>
      <w:r>
        <w:rPr>
          <w:rFonts w:ascii="Calibri" w:hAnsi="Calibri" w:eastAsia="微软雅黑"/>
          <w:b/>
          <w:color w:val="0721a8"/>
          <w:sz w:val="36"/>
        </w:rPr>
        <w:t xml:space="preserve">需求</w:t>
      </w:r>
      <w:r>
        <w:rPr>
          <w:rFonts w:ascii="Calibri" w:hAnsi="Calibri" w:eastAsia="微软雅黑"/>
          <w:b/>
          <w:color w:val="0721a8"/>
          <w:sz w:val="36"/>
        </w:rPr>
        <w:t xml:space="preserve">确认表</w:t>
      </w:r>
      <w:r>
        <w:rPr>
          <w:color w:val="0721a8"/>
        </w:rPr>
      </w:r>
      <w:r>
        <w:rPr>
          <w:color w:val="0721a8"/>
        </w:rPr>
      </w:r>
    </w:p>
    <w:p>
      <w:pPr>
        <w:pBdr/>
        <w:spacing/>
        <w:ind/>
        <w:rPr>
          <w:color w:val="0721a8"/>
        </w:rPr>
      </w:pPr>
      <w:r>
        <w:rPr>
          <w:color w:val="0721a8"/>
        </w:rPr>
      </w:r>
      <w:r>
        <w:rPr>
          <w:rFonts w:ascii="微软雅黑" w:hAnsi="微软雅黑" w:eastAsia="微软雅黑" w:cs="微软雅黑"/>
          <w:b/>
          <w:color w:val="0721a8"/>
          <w:sz w:val="28"/>
        </w:rPr>
        <w:t xml:space="preserve">一、项目概述</w:t>
      </w:r>
      <w:r>
        <w:rPr>
          <w:color w:val="0721a8"/>
        </w:rPr>
      </w:r>
      <w:r>
        <w:rPr>
          <w:color w:val="0721a8"/>
        </w:rPr>
      </w:r>
    </w:p>
    <w:p>
      <w:pPr>
        <w:keepNext w:val="false"/>
        <w:pageBreakBefore w:val="false"/>
        <w:pBdr/>
        <w:spacing w:after="100" w:line="270" w:lineRule="auto"/>
        <w:ind/>
        <w:rPr/>
      </w:pPr>
      <w:r>
        <w:rPr>
          <w:rFonts w:ascii="宋体" w:hAnsi="宋体" w:eastAsia="宋体"/>
          <w:sz w:val="21"/>
        </w:rPr>
        <w:t xml:space="preserve">本项目面向本院体检客户，建设体检报告疑点解释服务。患者完成身份校验后读取本人报告，通过文字、语音按需了解报告已有结论和异常指标，并可进入真人医生会话或获取院内就医指引。医院通过审核、标注和审计控制服务质量。</w:t>
      </w:r>
      <w:r/>
    </w:p>
    <w:tbl>
      <w:tblPr>
        <w:tblStyle w:val="874"/>
        <w:tblW w:w="97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90" w:type="dxa"/>
          <w:top w:w="95" w:type="dxa"/>
          <w:right w:w="90" w:type="dxa"/>
          <w:bottom w:w="95" w:type="dxa"/>
        </w:tblCellMar>
        <w:tblLook w:val="04A0" w:firstRow="1" w:lastRow="0" w:firstColumn="1" w:lastColumn="0" w:noHBand="0" w:noVBand="1"/>
      </w:tblPr>
      <w:tblGrid>
        <w:gridCol w:w="2000"/>
        <w:gridCol w:w="7700"/>
      </w:tblGrid>
      <w:tr>
        <w:trPr>
          <w:cantSplit/>
          <w:tblHeader/>
        </w:trPr>
        <w:tc>
          <w:tcPr>
            <w:shd w:val="clear" w:color="auto" w:fill="1f4e78"/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tabs>
                <w:tab w:val="right" w:leader="none" w:pos="1820"/>
              </w:tabs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 xml:space="preserve">项目内容</w:t>
            </w:r>
            <w:r>
              <w:tab/>
            </w:r>
            <w:r/>
          </w:p>
        </w:tc>
        <w:tc>
          <w:tcPr>
            <w:shd w:val="clear" w:color="auto" w:fill="1f4e78"/>
            <w:tcBorders/>
            <w:tcW w:w="77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 xml:space="preserve">说明</w:t>
            </w:r>
            <w:r/>
          </w:p>
        </w:tc>
      </w:tr>
      <w:tr>
        <w:trPr>
          <w:cantSplit/>
        </w:trPr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项目名称</w:t>
            </w:r>
            <w:r/>
          </w:p>
        </w:tc>
        <w:tc>
          <w:tcPr>
            <w:tcBorders/>
            <w:tcW w:w="77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重庆永川医院体检报告解读智能体</w:t>
            </w:r>
            <w:r/>
          </w:p>
        </w:tc>
      </w:tr>
      <w:tr>
        <w:trPr>
          <w:cantSplit/>
        </w:trPr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目标用户</w:t>
            </w:r>
            <w:r/>
          </w:p>
        </w:tc>
        <w:tc>
          <w:tcPr>
            <w:tcBorders/>
            <w:tcW w:w="77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体检患者、总检医生、医院管理员、系统运维、数据管理员、安全审计人员</w:t>
            </w:r>
            <w:r/>
          </w:p>
        </w:tc>
      </w:tr>
      <w:tr>
        <w:trPr>
          <w:cantSplit/>
        </w:trPr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核心目标</w:t>
            </w:r>
            <w:r/>
          </w:p>
        </w:tc>
        <w:tc>
          <w:tcPr>
            <w:tcBorders/>
            <w:tcW w:w="77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提供7×24小时报告疑点辅助解释；统一院内回答口径，降低重复咨询工作量，支持医生审核与问题追溯。真人医生及热线服务按医院实际服务时段提供。</w:t>
            </w:r>
            <w:r/>
          </w:p>
        </w:tc>
      </w:tr>
      <w:tr>
        <w:trPr>
          <w:cantSplit/>
        </w:trPr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本期范围</w:t>
            </w:r>
            <w:r/>
          </w:p>
        </w:tc>
        <w:tc>
          <w:tcPr>
            <w:tcBorders/>
            <w:tcW w:w="77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本人报告查询、报告摘要及异常结果、异常详情解释、文字问答、普通话及重庆话语音输入与播报、真人服务分流、医生标注、资源配置、数据底座与审计。</w:t>
            </w:r>
            <w:r/>
          </w:p>
        </w:tc>
      </w:tr>
      <w:tr>
        <w:trPr>
          <w:cantSplit/>
        </w:trPr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解释边界</w:t>
            </w:r>
            <w:r/>
          </w:p>
        </w:tc>
        <w:tc>
          <w:tcPr>
            <w:tcBorders/>
            <w:tcW w:w="77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不新增诊断、风险等级、用药或治疗方案；检查建议须有报告原文、医生结论或院内审核规则依据；饮食、运动仅提供医院审核后的低风险通用建议。</w:t>
            </w:r>
            <w:r/>
          </w:p>
        </w:tc>
      </w:tr>
    </w:tbl>
    <w:p>
      <w:pPr>
        <w:keepNext w:val="false"/>
        <w:pageBreakBefore w:val="false"/>
        <w:pBdr/>
        <w:spacing w:after="100" w:line="270" w:lineRule="auto"/>
        <w:ind/>
        <w:rPr/>
      </w:pPr>
      <w:r/>
      <w:r/>
    </w:p>
    <w:p>
      <w:pPr>
        <w:pStyle w:val="842"/>
        <w:keepNext w:val="true"/>
        <w:pageBreakBefore w:val="false"/>
        <w:pBdr/>
        <w:spacing w:after="100" w:before="200" w:line="270" w:lineRule="auto"/>
        <w:ind/>
        <w:rPr>
          <w14:ligatures w14:val="none"/>
        </w:rPr>
      </w:pPr>
      <w:r>
        <w:t xml:space="preserve">二、核心痛点</w:t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874"/>
        <w:tblW w:w="97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90" w:type="dxa"/>
          <w:top w:w="95" w:type="dxa"/>
          <w:right w:w="90" w:type="dxa"/>
          <w:bottom w:w="95" w:type="dxa"/>
        </w:tblCellMar>
        <w:tblLook w:val="04A0" w:firstRow="1" w:lastRow="0" w:firstColumn="1" w:lastColumn="0" w:noHBand="0" w:noVBand="1"/>
      </w:tblPr>
      <w:tblGrid>
        <w:gridCol w:w="850"/>
        <w:gridCol w:w="6750"/>
        <w:gridCol w:w="2100"/>
      </w:tblGrid>
      <w:tr>
        <w:trPr>
          <w:cantSplit/>
          <w:tblHeader/>
        </w:trPr>
        <w:tc>
          <w:tcPr>
            <w:shd w:val="clear" w:color="auto" w:fill="1f4e78"/>
            <w:tcBorders/>
            <w:tcW w:w="8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 xml:space="preserve">优先级</w:t>
            </w:r>
            <w:r/>
          </w:p>
        </w:tc>
        <w:tc>
          <w:tcPr>
            <w:shd w:val="clear" w:color="auto" w:fill="1f4e78"/>
            <w:tcBorders/>
            <w:tcW w:w="67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 xml:space="preserve">痛点描述</w:t>
            </w:r>
            <w:r/>
          </w:p>
        </w:tc>
        <w:tc>
          <w:tcPr>
            <w:shd w:val="clear" w:color="auto" w:fill="1f4e78"/>
            <w:tcBorders/>
            <w:tcW w:w="21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 xml:space="preserve">影响面</w:t>
            </w:r>
            <w:r/>
          </w:p>
        </w:tc>
      </w:tr>
      <w:tr>
        <w:trPr>
          <w:cantSplit/>
        </w:trPr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P0</w:t>
            </w:r>
            <w:r/>
          </w:p>
        </w:tc>
        <w:tc>
          <w:tcPr>
            <w:tcBorders/>
            <w:tcW w:w="67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线下解读受时间和地点限制，患者缺少随时咨询具体报告疑点的渠道。</w:t>
            </w:r>
            <w:r/>
          </w:p>
        </w:tc>
        <w:tc>
          <w:tcPr>
            <w:tcBorders/>
            <w:tcW w:w="21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体检患者</w:t>
            </w:r>
            <w:r/>
          </w:p>
        </w:tc>
      </w:tr>
      <w:tr>
        <w:trPr>
          <w:cantSplit/>
        </w:trPr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P0</w:t>
            </w:r>
            <w:r/>
          </w:p>
        </w:tc>
        <w:tc>
          <w:tcPr>
            <w:tcBorders/>
            <w:tcW w:w="67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专职解读人力不足，重复解释难以覆盖持续增长的体检人群。</w:t>
            </w:r>
            <w:r/>
          </w:p>
        </w:tc>
        <w:tc>
          <w:tcPr>
            <w:tcBorders/>
            <w:tcW w:w="21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总检医生、体检服务团队</w:t>
            </w:r>
            <w:r/>
          </w:p>
        </w:tc>
      </w:tr>
      <w:tr>
        <w:trPr>
          <w:cantSplit/>
        </w:trPr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P0</w:t>
            </w:r>
            <w:r/>
          </w:p>
        </w:tc>
        <w:tc>
          <w:tcPr>
            <w:tcBorders/>
            <w:tcW w:w="67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报告模板文字专业且缺少互动，老年患者使用门槛较高。</w:t>
            </w:r>
            <w:r/>
          </w:p>
        </w:tc>
        <w:tc>
          <w:tcPr>
            <w:tcBorders/>
            <w:tcW w:w="21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老年患者、团检职工</w:t>
            </w:r>
            <w:r/>
          </w:p>
        </w:tc>
      </w:tr>
      <w:tr>
        <w:trPr>
          <w:cantSplit/>
        </w:trPr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P0</w:t>
            </w:r>
            <w:r/>
          </w:p>
        </w:tc>
        <w:tc>
          <w:tcPr>
            <w:tcBorders/>
            <w:tcW w:w="67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第三方工具的数据管控与医学口径难以同本院保持一致。</w:t>
            </w:r>
            <w:r/>
          </w:p>
        </w:tc>
        <w:tc>
          <w:tcPr>
            <w:tcBorders/>
            <w:tcW w:w="21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医院、患者</w:t>
            </w:r>
            <w:r/>
          </w:p>
        </w:tc>
      </w:tr>
      <w:tr>
        <w:trPr>
          <w:cantSplit/>
        </w:trPr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P1</w:t>
            </w:r>
            <w:r/>
          </w:p>
        </w:tc>
        <w:tc>
          <w:tcPr>
            <w:tcBorders/>
            <w:tcW w:w="67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回答质量、患者反馈及人工分流效果缺少统一统计和追溯。</w:t>
            </w:r>
            <w:r/>
          </w:p>
        </w:tc>
        <w:tc>
          <w:tcPr>
            <w:tcBorders/>
            <w:tcW w:w="21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医院管理与审计人员</w:t>
            </w:r>
            <w:r/>
          </w:p>
        </w:tc>
      </w:tr>
    </w:tbl>
    <w:p>
      <w:pPr>
        <w:keepNext w:val="false"/>
        <w:pageBreakBefore w:val="false"/>
        <w:pBdr/>
        <w:spacing w:after="100" w:line="270" w:lineRule="auto"/>
        <w:ind/>
        <w:rPr/>
      </w:pPr>
      <w:r/>
      <w:r/>
    </w:p>
    <w:p>
      <w:pPr>
        <w:pStyle w:val="842"/>
        <w:keepNext w:val="true"/>
        <w:pageBreakBefore w:val="false"/>
        <w:pBdr/>
        <w:spacing w:after="100" w:before="200" w:line="270" w:lineRule="auto"/>
        <w:ind/>
        <w:rPr>
          <w:color w:val="1f4e79"/>
        </w:rPr>
      </w:pPr>
      <w:r>
        <w:rPr>
          <w:rFonts w:ascii="微软雅黑" w:hAnsi="微软雅黑" w:eastAsia="微软雅黑" w:cs="微软雅黑"/>
          <w:b/>
          <w:color w:val="1f4e79"/>
          <w:sz w:val="28"/>
        </w:rPr>
        <w:t xml:space="preserve">三、目标场景</w:t>
      </w:r>
      <w:r>
        <w:rPr>
          <w:color w:val="1f4e79"/>
        </w:rPr>
      </w:r>
      <w:r>
        <w:rPr>
          <w:color w:val="1f4e79"/>
        </w:rPr>
      </w:r>
    </w:p>
    <w:tbl>
      <w:tblPr>
        <w:tblStyle w:val="874"/>
        <w:tblW w:w="97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90" w:type="dxa"/>
          <w:top w:w="95" w:type="dxa"/>
          <w:right w:w="90" w:type="dxa"/>
          <w:bottom w:w="95" w:type="dxa"/>
        </w:tblCellMar>
        <w:tblLook w:val="04A0" w:firstRow="1" w:lastRow="0" w:firstColumn="1" w:lastColumn="0" w:noHBand="0" w:noVBand="1"/>
      </w:tblPr>
      <w:tblGrid>
        <w:gridCol w:w="850"/>
        <w:gridCol w:w="2200"/>
        <w:gridCol w:w="2000"/>
        <w:gridCol w:w="4650"/>
      </w:tblGrid>
      <w:tr>
        <w:trPr>
          <w:cantSplit/>
          <w:tblHeader/>
        </w:trPr>
        <w:tc>
          <w:tcPr>
            <w:shd w:val="clear" w:color="auto" w:fill="1f4e78"/>
            <w:tcBorders/>
            <w:tcW w:w="8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 xml:space="preserve">场景ID</w:t>
            </w:r>
            <w:r/>
          </w:p>
        </w:tc>
        <w:tc>
          <w:tcPr>
            <w:shd w:val="clear" w:color="auto" w:fill="1f4e78"/>
            <w:tcBorders/>
            <w:tcW w:w="2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 xml:space="preserve">场景名称</w:t>
            </w:r>
            <w:r/>
          </w:p>
        </w:tc>
        <w:tc>
          <w:tcPr>
            <w:shd w:val="clear" w:color="auto" w:fill="1f4e78"/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 xml:space="preserve">使用角色</w:t>
            </w:r>
            <w:r/>
          </w:p>
        </w:tc>
        <w:tc>
          <w:tcPr>
            <w:shd w:val="clear" w:color="auto" w:fill="1f4e78"/>
            <w:tcBorders/>
            <w:tcW w:w="46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 xml:space="preserve">期望结果</w:t>
            </w:r>
            <w:r/>
          </w:p>
        </w:tc>
      </w:tr>
      <w:tr>
        <w:trPr>
          <w:cantSplit/>
        </w:trPr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S01</w:t>
            </w:r>
            <w:r/>
          </w:p>
        </w:tc>
        <w:tc>
          <w:tcPr>
            <w:tcBorders/>
            <w:tcW w:w="2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查询与查看本人报告</w:t>
            </w:r>
            <w:r/>
          </w:p>
        </w:tc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体检患者</w:t>
            </w:r>
            <w:r/>
          </w:p>
        </w:tc>
        <w:tc>
          <w:tcPr>
            <w:tcBorders/>
            <w:tcW w:w="46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身份校验后选择报告，切换异常结果与完整报告摘要。</w:t>
            </w:r>
            <w:r/>
          </w:p>
        </w:tc>
      </w:tr>
      <w:tr>
        <w:trPr>
          <w:cantSplit/>
        </w:trPr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S02</w:t>
            </w:r>
            <w:r/>
          </w:p>
        </w:tc>
        <w:tc>
          <w:tcPr>
            <w:tcBorders/>
            <w:tcW w:w="2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报告疑点解释与追问</w:t>
            </w:r>
            <w:r/>
          </w:p>
        </w:tc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体检患者、团检职工</w:t>
            </w:r>
            <w:r/>
          </w:p>
        </w:tc>
        <w:tc>
          <w:tcPr>
            <w:tcBorders/>
            <w:tcW w:w="46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针对具体异常项获得有依据的通俗解释，连续追问。</w:t>
            </w:r>
            <w:r/>
          </w:p>
        </w:tc>
      </w:tr>
      <w:tr>
        <w:trPr>
          <w:cantSplit/>
        </w:trPr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S03</w:t>
            </w:r>
            <w:r/>
          </w:p>
        </w:tc>
        <w:tc>
          <w:tcPr>
            <w:tcBorders/>
            <w:tcW w:w="2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语音输入与播报</w:t>
            </w:r>
            <w:r/>
          </w:p>
        </w:tc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老年患者及有语音需求的患者</w:t>
            </w:r>
            <w:r/>
          </w:p>
        </w:tc>
        <w:tc>
          <w:tcPr>
            <w:tcBorders/>
            <w:tcW w:w="46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使用普通话、重庆话提问，按需播报已生成内容。</w:t>
            </w:r>
            <w:r/>
          </w:p>
        </w:tc>
      </w:tr>
      <w:tr>
        <w:trPr>
          <w:cantSplit/>
        </w:trPr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S04</w:t>
            </w:r>
            <w:r/>
          </w:p>
        </w:tc>
        <w:tc>
          <w:tcPr>
            <w:tcBorders/>
            <w:tcW w:w="2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宋体" w:hAnsi="宋体" w:eastAsia="宋体"/>
                <w:sz w:val="21"/>
              </w:rPr>
              <w:t xml:space="preserve">真人医生与智能导诊</w:t>
            </w:r>
            <w:r/>
          </w:p>
        </w:tc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体检患者</w:t>
            </w:r>
            <w:r/>
          </w:p>
        </w:tc>
        <w:tc>
          <w:tcPr>
            <w:tcBorders/>
            <w:tcW w:w="46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宋体" w:hAnsi="宋体" w:eastAsia="宋体"/>
                <w:sz w:val="21"/>
              </w:rPr>
              <w:t xml:space="preserve">确认后进入真人医生会话，或依据报告已有建议获取院内科室及就医入口；不可用时得到替代指引。</w:t>
            </w:r>
            <w:r/>
          </w:p>
        </w:tc>
      </w:tr>
      <w:tr>
        <w:trPr>
          <w:cantSplit/>
        </w:trPr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S05</w:t>
            </w:r>
            <w:r/>
          </w:p>
        </w:tc>
        <w:tc>
          <w:tcPr>
            <w:tcBorders/>
            <w:tcW w:w="2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医学审核与纠错</w:t>
            </w:r>
            <w:r/>
          </w:p>
        </w:tc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总检医生、医院管理员</w:t>
            </w:r>
            <w:r/>
          </w:p>
        </w:tc>
        <w:tc>
          <w:tcPr>
            <w:tcBorders/>
            <w:tcW w:w="46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试用、标注回答及依据，审核知识和规则后发布。</w:t>
            </w:r>
            <w:r/>
          </w:p>
        </w:tc>
      </w:tr>
      <w:tr>
        <w:trPr>
          <w:cantSplit/>
        </w:trPr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S06</w:t>
            </w:r>
            <w:r/>
          </w:p>
        </w:tc>
        <w:tc>
          <w:tcPr>
            <w:tcBorders/>
            <w:tcW w:w="2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接口、资源与数据维护</w:t>
            </w:r>
            <w:r/>
          </w:p>
        </w:tc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运维、数据管理员、医院管理员</w:t>
            </w:r>
            <w:r/>
          </w:p>
        </w:tc>
        <w:tc>
          <w:tcPr>
            <w:tcBorders/>
            <w:tcW w:w="46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维护报告链路、服务时段、权限和同步状态。</w:t>
            </w:r>
            <w:r/>
          </w:p>
        </w:tc>
      </w:tr>
      <w:tr>
        <w:trPr>
          <w:cantSplit/>
        </w:trPr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S07</w:t>
            </w:r>
            <w:r/>
          </w:p>
        </w:tc>
        <w:tc>
          <w:tcPr>
            <w:tcBorders/>
            <w:tcW w:w="2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质量评估与审计</w:t>
            </w:r>
            <w:r/>
          </w:p>
        </w:tc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医院管理员、安全审计</w:t>
            </w:r>
            <w:r/>
          </w:p>
        </w:tc>
        <w:tc>
          <w:tcPr>
            <w:tcBorders/>
            <w:tcW w:w="46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追溯会话、依据及配置变更，评估问题解决与服务分流效果。</w:t>
            </w:r>
            <w:r/>
          </w:p>
        </w:tc>
      </w:tr>
    </w:tbl>
    <w:p>
      <w:pPr>
        <w:keepNext w:val="false"/>
        <w:pageBreakBefore w:val="false"/>
        <w:pBdr/>
        <w:spacing w:after="100" w:line="270" w:lineRule="auto"/>
        <w:ind/>
        <w:rPr/>
      </w:pPr>
      <w:r/>
      <w:r/>
    </w:p>
    <w:p>
      <w:pPr>
        <w:keepNext w:val="false"/>
        <w:pageBreakBefore w:val="false"/>
        <w:pBdr/>
        <w:spacing w:after="100" w:line="270" w:lineRule="auto"/>
        <w:ind/>
        <w:rPr/>
      </w:pPr>
      <w:r>
        <w:rPr>
          <w:rFonts w:ascii="微软雅黑" w:hAnsi="微软雅黑" w:eastAsia="微软雅黑" w:cs="微软雅黑"/>
          <w:b w:val="0"/>
          <w:sz w:val="20"/>
        </w:rPr>
        <w:t xml:space="preserve">服务效果在试点阶段评估：入口可达率、身份校验成功率、患者满意度、问答解决率、人工咨询量变化、转介准确率及错误引导率。使用率、满意度和人工咨询量下降比例不预设，试点后由双方确认。</w:t>
      </w:r>
      <w:r/>
    </w:p>
    <w:p>
      <w:pPr>
        <w:pStyle w:val="842"/>
        <w:keepNext w:val="true"/>
        <w:pageBreakBefore w:val="false"/>
        <w:pBdr/>
        <w:spacing w:after="100" w:before="200" w:line="270" w:lineRule="auto"/>
        <w:ind/>
        <w:rPr>
          <w:color w:val="1f4e79"/>
        </w:rPr>
      </w:pPr>
      <w:r>
        <w:rPr>
          <w:rFonts w:ascii="微软雅黑" w:hAnsi="微软雅黑" w:eastAsia="微软雅黑" w:cs="微软雅黑"/>
          <w:b/>
          <w:color w:val="1f4e79"/>
          <w:sz w:val="28"/>
        </w:rPr>
        <w:t xml:space="preserve">四、AI赋能方案</w:t>
      </w:r>
      <w:r>
        <w:rPr>
          <w:color w:val="1f4e79"/>
        </w:rPr>
      </w:r>
      <w:r>
        <w:rPr>
          <w:color w:val="1f4e79"/>
        </w:rPr>
      </w:r>
    </w:p>
    <w:p>
      <w:pPr>
        <w:keepNext w:val="false"/>
        <w:pageBreakBefore w:val="false"/>
        <w:pBdr/>
        <w:spacing w:after="100" w:line="270" w:lineRule="auto"/>
        <w:ind/>
        <w:rPr/>
      </w:pPr>
      <w:r>
        <w:rPr>
          <w:rFonts w:ascii="宋体" w:hAnsi="宋体" w:eastAsia="宋体"/>
          <w:sz w:val="21"/>
        </w:rPr>
        <w:t xml:space="preserve">AI基于本人报告、院内审核知识与规则提供通俗解释和连续问答，并支持普通话、重庆话语音交互。报告查询、身份校验、在线问诊服务接入、资源配置与数据同步属于系统基础功能，不作为AI能力。</w:t>
      </w:r>
      <w:r/>
    </w:p>
    <w:p>
      <w:pPr>
        <w:pStyle w:val="843"/>
        <w:keepNext w:val="true"/>
        <w:pageBreakBefore w:val="false"/>
        <w:pBdr/>
        <w:spacing w:after="100" w:before="160" w:line="270" w:lineRule="auto"/>
        <w:ind/>
        <w:rPr>
          <w:color w:val="1f4e79"/>
        </w:rPr>
      </w:pPr>
      <w:r>
        <w:rPr>
          <w:rFonts w:ascii="微软雅黑" w:hAnsi="微软雅黑" w:eastAsia="微软雅黑" w:cs="微软雅黑"/>
          <w:b/>
          <w:color w:val="1f4e79"/>
          <w:sz w:val="24"/>
        </w:rPr>
        <w:t xml:space="preserve">4.1 流程对比（AI介入前与AI介入后）</w:t>
      </w:r>
      <w:r>
        <w:rPr>
          <w:color w:val="1f4e79"/>
        </w:rPr>
      </w:r>
      <w:r>
        <w:rPr>
          <w:color w:val="1f4e79"/>
        </w:rPr>
      </w:r>
    </w:p>
    <w:tbl>
      <w:tblPr>
        <w:tblStyle w:val="874"/>
        <w:tblW w:w="97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90" w:type="dxa"/>
          <w:top w:w="95" w:type="dxa"/>
          <w:right w:w="90" w:type="dxa"/>
          <w:bottom w:w="95" w:type="dxa"/>
        </w:tblCellMar>
        <w:tblLook w:val="04A0" w:firstRow="1" w:lastRow="0" w:firstColumn="1" w:lastColumn="0" w:noHBand="0" w:noVBand="1"/>
      </w:tblPr>
      <w:tblGrid>
        <w:gridCol w:w="1550"/>
        <w:gridCol w:w="2100"/>
        <w:gridCol w:w="2900"/>
        <w:gridCol w:w="1350"/>
        <w:gridCol w:w="1800"/>
      </w:tblGrid>
      <w:tr>
        <w:trPr>
          <w:cantSplit/>
          <w:tblHeader/>
        </w:trPr>
        <w:tc>
          <w:tcPr>
            <w:shd w:val="clear" w:color="auto" w:fill="1f4e78"/>
            <w:tcBorders/>
            <w:tcW w:w="15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业务环节</w:t>
            </w:r>
            <w:r/>
          </w:p>
        </w:tc>
        <w:tc>
          <w:tcPr>
            <w:shd w:val="clear" w:color="auto" w:fill="1f4e78"/>
            <w:tcBorders/>
            <w:tcW w:w="21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AI介入前</w:t>
            </w:r>
            <w:r/>
          </w:p>
        </w:tc>
        <w:tc>
          <w:tcPr>
            <w:shd w:val="clear" w:color="auto" w:fill="1f4e78"/>
            <w:tcBorders/>
            <w:tcW w:w="2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AI介入后</w:t>
            </w:r>
            <w:r/>
          </w:p>
        </w:tc>
        <w:tc>
          <w:tcPr>
            <w:shd w:val="clear" w:color="auto" w:fill="1f4e78"/>
            <w:tcBorders/>
            <w:tcW w:w="13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AI承担角色</w:t>
            </w:r>
            <w:r/>
          </w:p>
        </w:tc>
        <w:tc>
          <w:tcPr>
            <w:shd w:val="clear" w:color="auto" w:fill="1f4e78"/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成果</w:t>
            </w:r>
            <w:r/>
          </w:p>
        </w:tc>
      </w:tr>
      <w:tr>
        <w:trPr>
          <w:cantSplit/>
        </w:trPr>
        <w:tc>
          <w:tcPr>
            <w:tcBorders/>
            <w:tcW w:w="15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报告疑点解释</w:t>
            </w:r>
            <w:r/>
          </w:p>
        </w:tc>
        <w:tc>
          <w:tcPr>
            <w:tcBorders/>
            <w:tcW w:w="21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患者阅读专业报告，疑点需向医生咨询。</w:t>
            </w:r>
            <w:r/>
          </w:p>
        </w:tc>
        <w:tc>
          <w:tcPr>
            <w:tcBorders/>
            <w:tcW w:w="2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患者选择本人报告及异常项，获取有依据的通俗解释；超范围问题转真人。</w:t>
            </w:r>
            <w:r/>
          </w:p>
        </w:tc>
        <w:tc>
          <w:tcPr>
            <w:tcBorders/>
            <w:tcW w:w="13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报告内容理解与解释生成</w:t>
            </w:r>
            <w:r/>
          </w:p>
        </w:tc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提供随时可用的疑点解释渠道；医学判断由医生负责。</w:t>
            </w:r>
            <w:r/>
          </w:p>
        </w:tc>
      </w:tr>
      <w:tr>
        <w:trPr>
          <w:cantSplit/>
        </w:trPr>
        <w:tc>
          <w:tcPr>
            <w:tcBorders/>
            <w:tcW w:w="15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连续追问</w:t>
            </w:r>
            <w:r/>
          </w:p>
        </w:tc>
        <w:tc>
          <w:tcPr>
            <w:tcBorders/>
            <w:tcW w:w="21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患者通过现场或电话补充问题，重复沟通报告背景。</w:t>
            </w:r>
            <w:r/>
          </w:p>
        </w:tc>
        <w:tc>
          <w:tcPr>
            <w:tcBorders/>
            <w:tcW w:w="2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问答绑定当前报告，支持围绕已有结论连续追问，展示回答依据。</w:t>
            </w:r>
            <w:r/>
          </w:p>
        </w:tc>
        <w:tc>
          <w:tcPr>
            <w:tcBorders/>
            <w:tcW w:w="13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问题理解与上下文问答</w:t>
            </w:r>
            <w:r/>
          </w:p>
        </w:tc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减少重复说明；解决率和满意度在试点评估。</w:t>
            </w:r>
            <w:r/>
          </w:p>
        </w:tc>
      </w:tr>
      <w:tr>
        <w:trPr>
          <w:cantSplit/>
        </w:trPr>
        <w:tc>
          <w:tcPr>
            <w:tcBorders/>
            <w:tcW w:w="15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语音交互</w:t>
            </w:r>
            <w:r/>
          </w:p>
        </w:tc>
        <w:tc>
          <w:tcPr>
            <w:tcBorders/>
            <w:tcW w:w="21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患者阅读或打字提问，对老年患者存在使用门槛。</w:t>
            </w:r>
            <w:r/>
          </w:p>
        </w:tc>
        <w:tc>
          <w:tcPr>
            <w:tcBorders/>
            <w:tcW w:w="2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患者用普通话或重庆话提问，选择已生成内容并触发播报。</w:t>
            </w:r>
            <w:r/>
          </w:p>
        </w:tc>
        <w:tc>
          <w:tcPr>
            <w:tcBorders/>
            <w:tcW w:w="13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语音识别与合成</w:t>
            </w:r>
            <w:r/>
          </w:p>
        </w:tc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降低阅读和输入门槛；方言效果及响应阈值在POC确认。</w:t>
            </w:r>
            <w:r/>
          </w:p>
        </w:tc>
      </w:tr>
      <w:tr>
        <w:trPr>
          <w:cantSplit/>
        </w:trPr>
        <w:tc>
          <w:tcPr>
            <w:tcBorders/>
            <w:tcW w:w="15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安全识别与分流</w:t>
            </w:r>
            <w:r/>
          </w:p>
        </w:tc>
        <w:tc>
          <w:tcPr>
            <w:tcBorders/>
            <w:tcW w:w="21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医生在咨询过程中判断问题是否超出报告解释范围。</w:t>
            </w:r>
            <w:r/>
          </w:p>
        </w:tc>
        <w:tc>
          <w:tcPr>
            <w:tcBorders/>
            <w:tcW w:w="2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识别诊断、用药、高风险症状及低置信问题，停止自由生成并给出院方确认的指引。</w:t>
            </w:r>
            <w:r/>
          </w:p>
        </w:tc>
        <w:tc>
          <w:tcPr>
            <w:tcBorders/>
            <w:tcW w:w="135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问法识别与安全兜底</w:t>
            </w:r>
            <w:r/>
          </w:p>
        </w:tc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维持解释边界；由院方测试集验证分流效果。</w:t>
            </w:r>
            <w:r/>
          </w:p>
        </w:tc>
      </w:tr>
    </w:tbl>
    <w:p>
      <w:pPr>
        <w:keepNext w:val="false"/>
        <w:pageBreakBefore w:val="false"/>
        <w:pBdr/>
        <w:spacing w:after="100" w:line="270" w:lineRule="auto"/>
        <w:ind/>
        <w:rPr/>
      </w:pPr>
      <w:r/>
      <w:r/>
    </w:p>
    <w:p>
      <w:pPr>
        <w:pStyle w:val="843"/>
        <w:keepNext w:val="true"/>
        <w:pageBreakBefore w:val="false"/>
        <w:pBdr/>
        <w:spacing w:after="100" w:before="160" w:line="270" w:lineRule="auto"/>
        <w:ind/>
        <w:rPr>
          <w:color w:val="1f4e79"/>
        </w:rPr>
      </w:pPr>
      <w:r>
        <w:rPr>
          <w:rFonts w:ascii="微软雅黑" w:hAnsi="微软雅黑" w:eastAsia="微软雅黑" w:cs="微软雅黑"/>
          <w:b/>
          <w:color w:val="1f4e79"/>
          <w:sz w:val="24"/>
        </w:rPr>
        <w:t xml:space="preserve">4.2 AI能力清单</w:t>
      </w:r>
      <w:r>
        <w:rPr>
          <w:color w:val="1f4e79"/>
        </w:rPr>
      </w:r>
      <w:r>
        <w:rPr>
          <w:color w:val="1f4e79"/>
        </w:rPr>
      </w:r>
    </w:p>
    <w:tbl>
      <w:tblPr>
        <w:tblStyle w:val="874"/>
        <w:tblW w:w="97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90" w:type="dxa"/>
          <w:top w:w="95" w:type="dxa"/>
          <w:right w:w="90" w:type="dxa"/>
          <w:bottom w:w="95" w:type="dxa"/>
        </w:tblCellMar>
        <w:tblLook w:val="04A0" w:firstRow="1" w:lastRow="0" w:firstColumn="1" w:lastColumn="0" w:noHBand="0" w:noVBand="1"/>
      </w:tblPr>
      <w:tblGrid>
        <w:gridCol w:w="1900"/>
        <w:gridCol w:w="3600"/>
        <w:gridCol w:w="2000"/>
        <w:gridCol w:w="2200"/>
      </w:tblGrid>
      <w:tr>
        <w:trPr>
          <w:cantSplit/>
          <w:tblHeader/>
        </w:trPr>
        <w:tc>
          <w:tcPr>
            <w:shd w:val="clear" w:color="auto" w:fill="1f4e78"/>
            <w:tcBorders/>
            <w:tcW w:w="1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AI能力</w:t>
            </w:r>
            <w:r/>
          </w:p>
        </w:tc>
        <w:tc>
          <w:tcPr>
            <w:shd w:val="clear" w:color="auto" w:fill="1f4e78"/>
            <w:tcBorders/>
            <w:tcW w:w="36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做什么</w:t>
            </w:r>
            <w:r/>
          </w:p>
        </w:tc>
        <w:tc>
          <w:tcPr>
            <w:shd w:val="clear" w:color="auto" w:fill="1f4e78"/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关联模块</w:t>
            </w:r>
            <w:r/>
          </w:p>
        </w:tc>
        <w:tc>
          <w:tcPr>
            <w:shd w:val="clear" w:color="auto" w:fill="1f4e78"/>
            <w:tcBorders/>
            <w:tcW w:w="2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效果指标</w:t>
            </w:r>
            <w:r/>
          </w:p>
        </w:tc>
      </w:tr>
      <w:tr>
        <w:trPr>
          <w:cantSplit/>
        </w:trPr>
        <w:tc>
          <w:tcPr>
            <w:tcBorders/>
            <w:tcW w:w="1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报告疑点解释</w:t>
            </w:r>
            <w:r/>
          </w:p>
        </w:tc>
        <w:tc>
          <w:tcPr>
            <w:tcBorders/>
            <w:tcW w:w="36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解释报告已有结论与异常指标；检查建议须具备原文、医生结论或审核规则依据。</w:t>
            </w:r>
            <w:r/>
          </w:p>
        </w:tc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宋体" w:hAnsi="宋体" w:eastAsia="宋体"/>
                <w:sz w:val="21"/>
              </w:rPr>
              <w:t xml:space="preserve">C 异常项目单项解读</w:t>
            </w:r>
            <w:r/>
          </w:p>
        </w:tc>
        <w:tc>
          <w:tcPr>
            <w:tcBorders/>
            <w:tcW w:w="2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关键解释可追溯依据；不新增诊断、风险等级及治疗方案。</w:t>
            </w:r>
            <w:r/>
          </w:p>
        </w:tc>
      </w:tr>
      <w:tr>
        <w:trPr>
          <w:cantSplit/>
        </w:trPr>
        <w:tc>
          <w:tcPr>
            <w:tcBorders/>
            <w:tcW w:w="1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报告上下文问答</w:t>
            </w:r>
            <w:r/>
          </w:p>
        </w:tc>
        <w:tc>
          <w:tcPr>
            <w:tcBorders/>
            <w:tcW w:w="36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理解患者问题，围绕当前报告连续追问；切换报告清理不适用上下文。</w:t>
            </w:r>
            <w:r/>
          </w:p>
        </w:tc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宋体" w:hAnsi="宋体" w:eastAsia="宋体"/>
                <w:sz w:val="21"/>
              </w:rPr>
              <w:t xml:space="preserve">D 安心问 文字与语音问答</w:t>
            </w:r>
            <w:r/>
          </w:p>
        </w:tc>
        <w:tc>
          <w:tcPr>
            <w:tcBorders/>
            <w:tcW w:w="2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上下文正确；问答解决率与满意度试点评估。</w:t>
            </w:r>
            <w:r/>
          </w:p>
        </w:tc>
      </w:tr>
      <w:tr>
        <w:trPr>
          <w:cantSplit/>
        </w:trPr>
        <w:tc>
          <w:tcPr>
            <w:tcBorders/>
            <w:tcW w:w="1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语音识别与播报</w:t>
            </w:r>
            <w:r/>
          </w:p>
        </w:tc>
        <w:tc>
          <w:tcPr>
            <w:tcBorders/>
            <w:tcW w:w="36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普通话、重庆话语音输入；患者按需播报已生成内容。</w:t>
            </w:r>
            <w:r/>
          </w:p>
        </w:tc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宋体" w:hAnsi="宋体" w:eastAsia="宋体"/>
                <w:sz w:val="21"/>
              </w:rPr>
              <w:t xml:space="preserve">D 安心问 文字与语音问答</w:t>
            </w:r>
            <w:r/>
          </w:p>
        </w:tc>
        <w:tc>
          <w:tcPr>
            <w:tcBorders/>
            <w:tcW w:w="2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识别、方言效果、播报长度及响应阈值在POC后确认。</w:t>
            </w:r>
            <w:r/>
          </w:p>
        </w:tc>
      </w:tr>
      <w:tr>
        <w:trPr>
          <w:cantSplit/>
        </w:trPr>
        <w:tc>
          <w:tcPr>
            <w:tcBorders/>
            <w:tcW w:w="1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敏感问法识别</w:t>
            </w:r>
            <w:r/>
          </w:p>
        </w:tc>
        <w:tc>
          <w:tcPr>
            <w:tcBorders/>
            <w:tcW w:w="36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识别越界、高风险及低置信问题，执行院方审核的固定提示和分流。</w:t>
            </w:r>
            <w:r/>
          </w:p>
        </w:tc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宋体" w:hAnsi="宋体" w:eastAsia="宋体"/>
                <w:sz w:val="21"/>
              </w:rPr>
              <w:t xml:space="preserve">E 服务分流；G 解读管理</w:t>
            </w:r>
            <w:r/>
          </w:p>
        </w:tc>
        <w:tc>
          <w:tcPr>
            <w:tcBorders/>
            <w:tcW w:w="2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通过院方安全测试集；命中后停止自由生成并执行兜底。</w:t>
            </w:r>
            <w:r/>
          </w:p>
        </w:tc>
      </w:tr>
    </w:tbl>
    <w:p>
      <w:pPr>
        <w:keepNext w:val="false"/>
        <w:pageBreakBefore w:val="false"/>
        <w:pBdr/>
        <w:spacing w:after="100" w:line="270" w:lineRule="auto"/>
        <w:ind/>
        <w:rPr/>
      </w:pPr>
      <w:r/>
      <w:r/>
    </w:p>
    <w:p>
      <w:pPr>
        <w:pStyle w:val="842"/>
        <w:keepNext w:val="true"/>
        <w:pageBreakBefore w:val="false"/>
        <w:pBdr/>
        <w:spacing w:after="100" w:before="200" w:line="270" w:lineRule="auto"/>
        <w:ind/>
        <w:rPr>
          <w:color w:val="1f4e79"/>
        </w:rPr>
      </w:pPr>
      <w:r>
        <w:rPr>
          <w:rFonts w:ascii="微软雅黑" w:hAnsi="微软雅黑" w:eastAsia="微软雅黑" w:cs="微软雅黑"/>
          <w:b/>
          <w:color w:val="1f4e79"/>
          <w:sz w:val="28"/>
        </w:rPr>
        <w:t xml:space="preserve">五、功能需求</w:t>
      </w:r>
      <w:r>
        <w:rPr>
          <w:color w:val="1f4e79"/>
        </w:rPr>
      </w:r>
      <w:r>
        <w:rPr>
          <w:color w:val="1f4e79"/>
        </w:rPr>
      </w:r>
    </w:p>
    <w:p>
      <w:pPr>
        <w:pStyle w:val="843"/>
        <w:keepNext w:val="true"/>
        <w:pageBreakBefore w:val="false"/>
        <w:pBdr/>
        <w:spacing w:after="100" w:before="160" w:line="270" w:lineRule="auto"/>
        <w:ind/>
        <w:rPr>
          <w:color w:val="1f4e79"/>
        </w:rPr>
      </w:pPr>
      <w:r>
        <w:rPr>
          <w:rFonts w:ascii="微软雅黑" w:hAnsi="微软雅黑" w:eastAsia="微软雅黑" w:cs="微软雅黑"/>
          <w:b/>
          <w:color w:val="1f4e79"/>
          <w:sz w:val="24"/>
        </w:rPr>
        <w:t xml:space="preserve">5.1 核心需求模块</w:t>
      </w:r>
      <w:r>
        <w:rPr>
          <w:color w:val="1f4e79"/>
        </w:rPr>
      </w:r>
      <w:r>
        <w:rPr>
          <w:color w:val="1f4e79"/>
        </w:rPr>
      </w:r>
    </w:p>
    <w:p>
      <w:pPr>
        <w:pStyle w:val="843"/>
        <w:keepNext w:val="true"/>
        <w:pBdr/>
        <w:spacing w:after="100" w:before="280"/>
        <w:ind/>
        <w:rPr/>
      </w:pPr>
      <w:r>
        <w:rPr>
          <w:rFonts w:ascii="黑体" w:hAnsi="黑体" w:eastAsia="黑体"/>
          <w:sz w:val="26"/>
        </w:rPr>
        <w:t xml:space="preserve">A 报告查询 上传与双报告对比（患者端） · 优先级 P0</w:t>
      </w:r>
      <w:r/>
    </w:p>
    <w:p>
      <w:pPr>
        <w:pBdr/>
        <w:spacing w:after="120" w:line="300" w:lineRule="auto"/>
        <w:ind/>
        <w:rPr/>
      </w:pPr>
      <w:r>
        <w:rPr>
          <w:rFonts w:ascii="黑体" w:hAnsi="黑体" w:eastAsia="黑体"/>
          <w:b/>
        </w:rPr>
        <w:t xml:space="preserve">核心功能：</w:t>
      </w:r>
      <w:r>
        <w:rPr>
          <w:rFonts w:ascii="宋体" w:hAnsi="宋体" w:eastAsia="宋体"/>
        </w:rPr>
        <w:t xml:space="preserve">身份校验后仅展示本人报告，按出具状态、重要异常和异常数量呈现报告列表；支持图片、拍照或 PDF 格式的第三方体检报告上传、校验与解析；支持同类型、近两年内最多两份已出报告进行客观对比，展示新出现、仍需关注、恢复正常、数值变化和暂不可比。</w:t>
      </w:r>
      <w:r/>
    </w:p>
    <w:p>
      <w:pPr>
        <w:pBdr/>
        <w:spacing w:after="60" w:before="60"/>
        <w:ind/>
        <w:rPr/>
      </w:pPr>
      <w:r>
        <w:rPr>
          <w:rFonts w:ascii="黑体" w:hAnsi="黑体" w:eastAsia="黑体"/>
          <w:b/>
        </w:rPr>
        <w:t xml:space="preserve">功能示意图片</w:t>
      </w:r>
      <w:r/>
    </w:p>
    <w:p>
      <w:pPr>
        <w:pBdr/>
        <w:spacing w:after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8840" cy="4463374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148840" cy="4463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9.20pt;height:351.4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t xml:space="preserve">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8840" cy="4524961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148840" cy="45249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69.20pt;height:356.3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843"/>
        <w:keepNext w:val="true"/>
        <w:pBdr/>
        <w:spacing w:after="100" w:before="280"/>
        <w:ind/>
        <w:rPr/>
      </w:pPr>
      <w:r>
        <w:rPr>
          <w:rFonts w:ascii="黑体" w:hAnsi="黑体" w:eastAsia="黑体"/>
          <w:sz w:val="26"/>
        </w:rPr>
        <w:t xml:space="preserve">B 报告摘要与异常总览（患者端） · 优先级 P0</w:t>
      </w:r>
      <w:r/>
    </w:p>
    <w:p>
      <w:pPr>
        <w:pBdr/>
        <w:spacing w:after="120" w:line="300" w:lineRule="auto"/>
        <w:ind/>
        <w:rPr/>
      </w:pPr>
      <w:r>
        <w:rPr>
          <w:rFonts w:ascii="黑体" w:hAnsi="黑体" w:eastAsia="黑体"/>
          <w:b/>
        </w:rPr>
        <w:t xml:space="preserve">核心功能：</w:t>
      </w:r>
      <w:r>
        <w:rPr>
          <w:rFonts w:ascii="宋体" w:hAnsi="宋体" w:eastAsia="宋体"/>
        </w:rPr>
        <w:t xml:space="preserve">提供异常结果与报告摘要双视图，默认展示异常结果；按报告原文分组重要异常、其他异常和正常项，展示计数、数值及原始意见；摘要展示 AI 总体摘要、医生建议原文和检查项目卡片，不替代完整原始报告。</w:t>
      </w:r>
      <w:r/>
    </w:p>
    <w:p>
      <w:pPr>
        <w:pBdr/>
        <w:spacing w:after="60" w:before="60"/>
        <w:ind/>
        <w:rPr/>
      </w:pPr>
      <w:r>
        <w:rPr>
          <w:rFonts w:ascii="黑体" w:hAnsi="黑体" w:eastAsia="黑体"/>
          <w:b/>
        </w:rPr>
        <w:t xml:space="preserve">功能示意图片</w:t>
      </w:r>
      <w:r/>
    </w:p>
    <w:p>
      <w:pPr>
        <w:pBdr/>
        <w:spacing w:after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8840" cy="454163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148840" cy="4541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69.20pt;height:357.6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t xml:space="preserve">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8840" cy="4478038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148840" cy="44780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69.20pt;height:352.6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843"/>
        <w:keepNext w:val="true"/>
        <w:pBdr/>
        <w:spacing w:after="100" w:before="280"/>
        <w:ind/>
        <w:rPr/>
      </w:pPr>
      <w:r>
        <w:rPr>
          <w:rFonts w:ascii="黑体" w:hAnsi="黑体" w:eastAsia="黑体"/>
          <w:sz w:val="26"/>
        </w:rPr>
        <w:t xml:space="preserve">C 异常项目单项解读（患者端） · 优先级 P0</w:t>
      </w:r>
      <w:r/>
    </w:p>
    <w:p>
      <w:pPr>
        <w:pBdr/>
        <w:spacing w:after="120" w:line="300" w:lineRule="auto"/>
        <w:ind/>
        <w:rPr/>
      </w:pPr>
      <w:r>
        <w:rPr>
          <w:rFonts w:ascii="黑体" w:hAnsi="黑体" w:eastAsia="黑体"/>
          <w:b/>
        </w:rPr>
        <w:t xml:space="preserve">核心功能：</w:t>
      </w:r>
      <w:r>
        <w:rPr>
          <w:rFonts w:ascii="宋体" w:hAnsi="宋体" w:eastAsia="宋体"/>
        </w:rPr>
        <w:t xml:space="preserve">围绕单个异常项目展示数值、单位、参考范围和医生意见，按概述、症状分析、综合建议三段式解释；治疗参考与检查建议仅转述报告原文、医生结论或审核规则，并可查看依据；生活建议仅提供已审核的低风险通用建议。</w:t>
      </w:r>
      <w:r/>
    </w:p>
    <w:p>
      <w:pPr>
        <w:pBdr/>
        <w:spacing w:after="60" w:before="60"/>
        <w:ind/>
        <w:rPr/>
      </w:pPr>
      <w:r>
        <w:rPr>
          <w:rFonts w:ascii="黑体" w:hAnsi="黑体" w:eastAsia="黑体"/>
          <w:b/>
        </w:rPr>
        <w:t xml:space="preserve">功能示意图片</w:t>
      </w:r>
      <w:r/>
    </w:p>
    <w:p>
      <w:pPr>
        <w:pBdr/>
        <w:spacing w:after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8840" cy="4503804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148840" cy="45038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69.20pt;height:354.6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843"/>
        <w:keepNext w:val="true"/>
        <w:pBdr/>
        <w:spacing w:after="100" w:before="280"/>
        <w:ind/>
        <w:rPr/>
      </w:pPr>
      <w:r>
        <w:rPr>
          <w:rFonts w:ascii="黑体" w:hAnsi="黑体" w:eastAsia="黑体"/>
          <w:sz w:val="26"/>
        </w:rPr>
        <w:t xml:space="preserve">D 安心问 文字与语音问答（患者端） · 优先级 P0</w:t>
      </w:r>
      <w:r/>
    </w:p>
    <w:p>
      <w:pPr>
        <w:pBdr/>
        <w:spacing w:after="120" w:line="300" w:lineRule="auto"/>
        <w:ind/>
        <w:rPr/>
      </w:pPr>
      <w:r>
        <w:rPr>
          <w:rFonts w:ascii="黑体" w:hAnsi="黑体" w:eastAsia="黑体"/>
          <w:b/>
        </w:rPr>
        <w:t xml:space="preserve">核心功能：</w:t>
      </w:r>
      <w:r>
        <w:rPr>
          <w:rFonts w:ascii="宋体" w:hAnsi="宋体" w:eastAsia="宋体"/>
        </w:rPr>
        <w:t xml:space="preserve">基于当前报告和异常项上下文支持文字、语音输入、推荐问题、多轮追问和换种说法；支持普通话和重庆话的按需播报、停止与重播；会话按报告隔离，支持回答反馈与问题上报。</w:t>
      </w:r>
      <w:r/>
    </w:p>
    <w:p>
      <w:pPr>
        <w:pBdr/>
        <w:spacing w:after="60" w:before="60"/>
        <w:ind/>
        <w:rPr/>
      </w:pPr>
      <w:r>
        <w:rPr>
          <w:rFonts w:ascii="黑体" w:hAnsi="黑体" w:eastAsia="黑体"/>
          <w:b/>
        </w:rPr>
        <w:t xml:space="preserve">功能示意图片</w:t>
      </w:r>
      <w:r/>
    </w:p>
    <w:p>
      <w:pPr>
        <w:pBdr/>
        <w:spacing w:after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8840" cy="4498651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148840" cy="4498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69.20pt;height:354.2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t xml:space="preserve">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8840" cy="4471221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148840" cy="44712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69.20pt;height:352.0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843"/>
        <w:keepNext w:val="true"/>
        <w:pBdr/>
        <w:spacing w:after="100" w:before="280"/>
        <w:ind/>
        <w:rPr/>
      </w:pPr>
      <w:r>
        <w:rPr>
          <w:rFonts w:ascii="黑体" w:hAnsi="黑体" w:eastAsia="黑体"/>
          <w:sz w:val="26"/>
        </w:rPr>
        <w:t xml:space="preserve">E 服务分流 在线问诊 智能导诊 健康咨询（患者端） · 优先级 P0</w:t>
      </w:r>
      <w:r/>
    </w:p>
    <w:p>
      <w:pPr>
        <w:pBdr/>
        <w:spacing w:after="120" w:line="300" w:lineRule="auto"/>
        <w:ind/>
        <w:rPr/>
      </w:pPr>
      <w:r>
        <w:rPr>
          <w:rFonts w:ascii="黑体" w:hAnsi="黑体" w:eastAsia="黑体"/>
          <w:b/>
        </w:rPr>
        <w:t xml:space="preserve">核心功能：</w:t>
      </w:r>
      <w:r>
        <w:rPr>
          <w:rFonts w:ascii="宋体" w:hAnsi="宋体" w:eastAsia="宋体"/>
        </w:rPr>
        <w:t xml:space="preserve">提供医生在线问诊、智能导诊和健康咨询入口；在线问诊经患者确认后同步当前报告与问题并进入认证医生队列；智能导诊仅依据报告已有就医建议匹配院内科室；诊断、用药、明显症状、急症或低置信问题停止自由生成并执行安全分流。</w:t>
      </w:r>
      <w:r/>
    </w:p>
    <w:p>
      <w:pPr>
        <w:pBdr/>
        <w:spacing w:after="60" w:before="60"/>
        <w:ind/>
        <w:rPr/>
      </w:pPr>
      <w:r>
        <w:rPr>
          <w:rFonts w:ascii="黑体" w:hAnsi="黑体" w:eastAsia="黑体"/>
          <w:b/>
        </w:rPr>
        <w:t xml:space="preserve">功能示意图片</w:t>
      </w:r>
      <w:r/>
    </w:p>
    <w:p>
      <w:pPr>
        <w:pBdr/>
        <w:spacing w:after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8840" cy="453644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148840" cy="4536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69.20pt;height:357.2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t xml:space="preserve">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8840" cy="4455908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148840" cy="4455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69.20pt;height:350.8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Style w:val="843"/>
        <w:keepNext w:val="true"/>
        <w:pBdr/>
        <w:spacing w:after="100" w:before="280"/>
        <w:ind/>
        <w:rPr/>
      </w:pPr>
      <w:r>
        <w:rPr>
          <w:rFonts w:ascii="黑体" w:hAnsi="黑体" w:eastAsia="黑体"/>
          <w:sz w:val="26"/>
        </w:rPr>
        <w:t xml:space="preserve">F 患者信息与个人中心（患者端） · 优先级 P1</w:t>
      </w:r>
      <w:r/>
    </w:p>
    <w:p>
      <w:pPr>
        <w:pBdr/>
        <w:spacing w:after="120" w:line="300" w:lineRule="auto"/>
        <w:ind/>
        <w:rPr/>
      </w:pPr>
      <w:r>
        <w:rPr>
          <w:rFonts w:ascii="黑体" w:hAnsi="黑体" w:eastAsia="黑体"/>
          <w:b/>
        </w:rPr>
        <w:t xml:space="preserve">核心功能：</w:t>
      </w:r>
      <w:r>
        <w:rPr>
          <w:rFonts w:ascii="宋体" w:hAnsi="宋体" w:eastAsia="宋体"/>
        </w:rPr>
        <w:t xml:space="preserve">维护允许编辑的基础资料、病史、家族史和生活习惯，身高体重齐备时计算 BMI；展示本人报告、服务入口与隐私留存说明，并提供安全退出登录入口。患者补充资料仅辅助解释，不用于疾病预测或覆盖原始报告。</w:t>
      </w:r>
      <w:r/>
    </w:p>
    <w:p>
      <w:pPr>
        <w:pBdr/>
        <w:spacing w:after="60" w:before="60"/>
        <w:ind/>
        <w:rPr/>
      </w:pPr>
      <w:r>
        <w:rPr>
          <w:rFonts w:ascii="黑体" w:hAnsi="黑体" w:eastAsia="黑体"/>
          <w:b/>
        </w:rPr>
        <w:t xml:space="preserve">功能示意图片</w:t>
      </w:r>
      <w:r/>
    </w:p>
    <w:p>
      <w:pPr>
        <w:pBdr/>
        <w:spacing w:after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8840" cy="4561754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148840" cy="45617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69.20pt;height:359.1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843"/>
        <w:keepNext w:val="true"/>
        <w:pBdr/>
        <w:spacing w:after="100" w:before="280"/>
        <w:ind/>
        <w:rPr/>
      </w:pPr>
      <w:r>
        <w:rPr>
          <w:rFonts w:ascii="黑体" w:hAnsi="黑体" w:eastAsia="黑体"/>
          <w:sz w:val="26"/>
        </w:rPr>
        <w:t xml:space="preserve">G 解读管理（医院管理端） · 优先级 P0</w:t>
      </w:r>
      <w:r/>
    </w:p>
    <w:p>
      <w:pPr>
        <w:pBdr/>
        <w:spacing w:after="120" w:line="300" w:lineRule="auto"/>
        <w:ind/>
        <w:rPr/>
      </w:pPr>
      <w:r>
        <w:rPr>
          <w:rFonts w:ascii="黑体" w:hAnsi="黑体" w:eastAsia="黑体"/>
          <w:b/>
        </w:rPr>
        <w:t xml:space="preserve">核心功能：</w:t>
      </w:r>
      <w:r>
        <w:rPr>
          <w:rFonts w:ascii="宋体" w:hAnsi="宋体" w:eastAsia="宋体"/>
        </w:rPr>
        <w:t xml:space="preserve">沉淀患者问答案例，按审核状态、置信度、科室和时间筛选，查看原文、回答和依据后完成标注、评分、纠错与审核；维护术语库及通俗解释，支持审核发布、灰度与回滚，形成医学质量闭环。</w:t>
      </w:r>
      <w:r/>
    </w:p>
    <w:p>
      <w:pPr>
        <w:pBdr/>
        <w:spacing w:after="60" w:before="60"/>
        <w:ind/>
        <w:rPr/>
      </w:pPr>
      <w:r>
        <w:rPr>
          <w:rFonts w:ascii="黑体" w:hAnsi="黑体" w:eastAsia="黑体"/>
          <w:b/>
        </w:rPr>
        <w:t xml:space="preserve">功能示意图片</w:t>
      </w:r>
      <w:r/>
    </w:p>
    <w:p>
      <w:pPr>
        <w:pBdr/>
        <w:spacing w:after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9240" cy="2847862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349240" cy="2847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21.20pt;height:224.2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t xml:space="preserve">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9240" cy="2639727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349240" cy="26397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21.20pt;height:207.8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Style w:val="843"/>
        <w:keepNext w:val="true"/>
        <w:pBdr/>
        <w:spacing w:after="100" w:before="280"/>
        <w:ind/>
        <w:rPr/>
      </w:pPr>
      <w:r>
        <w:rPr>
          <w:rFonts w:ascii="黑体" w:hAnsi="黑体" w:eastAsia="黑体"/>
          <w:sz w:val="26"/>
        </w:rPr>
        <w:t xml:space="preserve">H 运营与安全（医院管理端） · 优先级 P0</w:t>
      </w:r>
      <w:r/>
    </w:p>
    <w:p>
      <w:pPr>
        <w:pBdr/>
        <w:spacing w:after="120" w:line="300" w:lineRule="auto"/>
        <w:ind/>
        <w:rPr/>
      </w:pPr>
      <w:r>
        <w:rPr>
          <w:rFonts w:ascii="黑体" w:hAnsi="黑体" w:eastAsia="黑体"/>
          <w:b/>
        </w:rPr>
        <w:t xml:space="preserve">核心功能：</w:t>
      </w:r>
      <w:r>
        <w:rPr>
          <w:rFonts w:ascii="宋体" w:hAnsi="宋体" w:eastAsia="宋体"/>
        </w:rPr>
        <w:t xml:space="preserve">提供会话与安全审计，追溯身份校验、报告读取、问答、反馈、标注、配置和越权事件；提供运营看板、趋势与明细下钻；监控报告、模型、语音、数据库和同步状态，支持受控排障与重试留痕。</w:t>
      </w:r>
      <w:r/>
    </w:p>
    <w:p>
      <w:pPr>
        <w:pBdr/>
        <w:spacing w:after="60" w:before="60"/>
        <w:ind/>
        <w:rPr/>
      </w:pPr>
      <w:r>
        <w:rPr>
          <w:rFonts w:ascii="黑体" w:hAnsi="黑体" w:eastAsia="黑体"/>
          <w:b/>
        </w:rPr>
        <w:t xml:space="preserve">功能示意图片</w:t>
      </w:r>
      <w:r/>
    </w:p>
    <w:p>
      <w:pPr>
        <w:pBdr/>
        <w:spacing w:after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9240" cy="2846636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349240" cy="2846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1.20pt;height:224.1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Style w:val="843"/>
        <w:keepNext w:val="true"/>
        <w:pBdr/>
        <w:spacing w:after="100" w:before="280"/>
        <w:ind/>
        <w:rPr/>
      </w:pPr>
      <w:r>
        <w:rPr>
          <w:rFonts w:ascii="黑体" w:hAnsi="黑体" w:eastAsia="黑体"/>
          <w:sz w:val="26"/>
        </w:rPr>
        <w:t xml:space="preserve">I 配置中心（医院管理端） · 优先级 P0</w:t>
      </w:r>
      <w:r/>
    </w:p>
    <w:p>
      <w:pPr>
        <w:pBdr/>
        <w:spacing w:after="120" w:line="300" w:lineRule="auto"/>
        <w:ind/>
        <w:rPr/>
      </w:pPr>
      <w:r>
        <w:rPr>
          <w:rFonts w:ascii="黑体" w:hAnsi="黑体" w:eastAsia="黑体"/>
          <w:b/>
        </w:rPr>
        <w:t xml:space="preserve">核心功能：</w:t>
      </w:r>
      <w:r>
        <w:rPr>
          <w:rFonts w:ascii="宋体" w:hAnsi="宋体" w:eastAsia="宋体"/>
        </w:rPr>
        <w:t xml:space="preserve">维护医生团队、接诊状态、服务时段、路由策略、排队上限和入口开关；维护科室、就医指引及报告建议映射；按院方确认方式配置预约就诊资源，并联动患者端服务入口。</w:t>
      </w:r>
      <w:r/>
    </w:p>
    <w:p>
      <w:pPr>
        <w:pBdr/>
        <w:spacing w:after="60" w:before="60"/>
        <w:ind/>
        <w:rPr/>
      </w:pPr>
      <w:r>
        <w:rPr>
          <w:rFonts w:ascii="黑体" w:hAnsi="黑体" w:eastAsia="黑体"/>
          <w:b/>
        </w:rPr>
        <w:t xml:space="preserve">功能示意图片</w:t>
      </w:r>
      <w:r/>
    </w:p>
    <w:p>
      <w:pPr>
        <w:pBdr/>
        <w:spacing w:after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9240" cy="2621522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349240" cy="2621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1.20pt;height:206.4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Style w:val="843"/>
        <w:keepNext w:val="true"/>
        <w:pBdr/>
        <w:spacing w:after="100" w:before="280"/>
        <w:ind/>
        <w:rPr/>
      </w:pPr>
      <w:r>
        <w:rPr>
          <w:rFonts w:ascii="黑体" w:hAnsi="黑体" w:eastAsia="黑体"/>
          <w:sz w:val="26"/>
        </w:rPr>
        <w:t xml:space="preserve">J 智能体工具（医院管理端） · 优先级 P1</w:t>
      </w:r>
      <w:r/>
    </w:p>
    <w:p>
      <w:pPr>
        <w:pBdr/>
        <w:spacing w:after="120" w:line="300" w:lineRule="auto"/>
        <w:ind/>
        <w:rPr/>
      </w:pPr>
      <w:r>
        <w:rPr>
          <w:rFonts w:ascii="黑体" w:hAnsi="黑体" w:eastAsia="黑体"/>
          <w:b/>
        </w:rPr>
        <w:t xml:space="preserve">核心功能：</w:t>
      </w:r>
      <w:r>
        <w:rPr>
          <w:rFonts w:ascii="宋体" w:hAnsi="宋体" w:eastAsia="宋体"/>
        </w:rPr>
        <w:t xml:space="preserve">供授权内部人员查看和试用报告解读、交互陪护、安全边界及质控运营能力，复用摘要、问答、一致性校验和标注能力；试用产出仅为内部草稿，不直接面向患者发布。</w:t>
      </w:r>
      <w:r/>
    </w:p>
    <w:p>
      <w:pPr>
        <w:pBdr/>
        <w:spacing w:after="60" w:before="60"/>
        <w:ind/>
        <w:rPr/>
      </w:pPr>
      <w:r>
        <w:rPr>
          <w:rFonts w:ascii="黑体" w:hAnsi="黑体" w:eastAsia="黑体"/>
          <w:b/>
        </w:rPr>
        <w:t xml:space="preserve">功能示意图片</w:t>
      </w:r>
      <w:r/>
    </w:p>
    <w:p>
      <w:pPr>
        <w:pBdr/>
        <w:spacing w:after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9240" cy="2837817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349240" cy="28378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21.20pt;height:223.4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Style w:val="842"/>
        <w:keepNext w:val="true"/>
        <w:pageBreakBefore w:val="false"/>
        <w:pBdr/>
        <w:spacing w:after="100" w:before="200" w:line="270" w:lineRule="auto"/>
        <w:ind/>
        <w:rPr>
          <w:color w:val="1f4e79"/>
        </w:rPr>
      </w:pPr>
      <w:r>
        <w:rPr>
          <w:rFonts w:ascii="微软雅黑" w:hAnsi="微软雅黑" w:eastAsia="微软雅黑" w:cs="微软雅黑"/>
          <w:b/>
          <w:color w:val="1f4e79"/>
          <w:sz w:val="28"/>
        </w:rPr>
        <w:t xml:space="preserve">六、约束条件</w:t>
      </w:r>
      <w:r>
        <w:rPr>
          <w:color w:val="1f4e79"/>
        </w:rPr>
      </w:r>
      <w:r>
        <w:rPr>
          <w:color w:val="1f4e79"/>
        </w:rPr>
      </w:r>
    </w:p>
    <w:p>
      <w:pPr>
        <w:pStyle w:val="843"/>
        <w:keepNext w:val="true"/>
        <w:pageBreakBefore w:val="false"/>
        <w:pBdr/>
        <w:spacing w:after="100" w:before="160" w:line="270" w:lineRule="auto"/>
        <w:ind/>
        <w:rPr>
          <w:color w:val="1f4e79"/>
        </w:rPr>
      </w:pPr>
      <w:r>
        <w:rPr>
          <w:rFonts w:ascii="微软雅黑" w:hAnsi="微软雅黑" w:eastAsia="微软雅黑" w:cs="微软雅黑"/>
          <w:b/>
          <w:color w:val="1f4e79"/>
          <w:sz w:val="24"/>
        </w:rPr>
        <w:t xml:space="preserve">6.1 业务与安全边界</w:t>
      </w:r>
      <w:r>
        <w:rPr>
          <w:color w:val="1f4e79"/>
        </w:rPr>
      </w:r>
      <w:r>
        <w:rPr>
          <w:color w:val="1f4e79"/>
        </w:rPr>
      </w:r>
    </w:p>
    <w:tbl>
      <w:tblPr>
        <w:tblStyle w:val="874"/>
        <w:tblW w:w="97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90" w:type="dxa"/>
          <w:top w:w="95" w:type="dxa"/>
          <w:right w:w="90" w:type="dxa"/>
          <w:bottom w:w="95" w:type="dxa"/>
        </w:tblCellMar>
        <w:tblLook w:val="04A0" w:firstRow="1" w:lastRow="0" w:firstColumn="1" w:lastColumn="0" w:noHBand="0" w:noVBand="1"/>
      </w:tblPr>
      <w:tblGrid>
        <w:gridCol w:w="1800"/>
        <w:gridCol w:w="7900"/>
      </w:tblGrid>
      <w:tr>
        <w:trPr>
          <w:cantSplit/>
          <w:tblHeader/>
        </w:trPr>
        <w:tc>
          <w:tcPr>
            <w:shd w:val="clear" w:color="auto" w:fill="1f4e78"/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约束类型</w:t>
            </w:r>
            <w:r/>
          </w:p>
        </w:tc>
        <w:tc>
          <w:tcPr>
            <w:shd w:val="clear" w:color="auto" w:fill="1f4e78"/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具体约束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报告来源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宋体" w:hAnsi="宋体" w:eastAsia="宋体"/>
                <w:sz w:val="21"/>
              </w:rPr>
              <w:t xml:space="preserve">一期默认对接院内体检系统读取本人报告，同时支持患者主动上传图片、拍照或 PDF 格式的第三方体检报告。上传文件须通过格式、文件安全、清晰度和内容完整性校验后解析；无法识别、非体检报告或内容不完整时不进入解读。身份校验接口由医院认可的身份平台提供。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医学边界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解释报告已有结论与异常指标，不新增诊断、风险等级、用药或治疗方案。每条关键解读可追溯报告字段、知识／规则版本及生成时间。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建议依据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进一步检查须来自报告原文、医生结论或审核规则；饮食及运动建议仅为审核后的低风险通用建议。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安全兜底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急症、高风险症状、诊断、用药、超报告范围或低置信问题停止自由生成，提供院方确认的人工／就医指引。显著提示“AI仅用于解释报告，医学判断以具备资质的医生意见为准”。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身份与权限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患者仅访问本人报告；总检医生按授权查看与标注；医院管理员不默认获得患者原始报告权限；运维按脱敏排障权限处理；数据管理员维护逻辑模型与授权；安全审计只读。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数据安全与留存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身份信息与模型上下文分离；最小必要字段、统一脱敏、HTTPS/TLS及访问审计。报告、问答与音频按医院制度留存，期限与删除策略由院方确认。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语音范围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支持普通话和重庆话输入及播报；先生成回答，再由患者选择语言、内容并触发播报，不实时生成播报内容，不默认通读全报告。播报长度、语速及方言效果阈值待确认。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电话范围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宋体" w:hAnsi="宋体" w:eastAsia="宋体"/>
                <w:sz w:val="21"/>
              </w:rPr>
              <w:t xml:space="preserve">不建设流程式电话交互，不包含 SIP、DTMF 按键、AI 实时电话解读及自动预约电话解读。患者服务分流以在线问诊、智能导诊和健康咨询为准。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暂缓范围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连续历史趋势、检后转诊、英语正式能力、其他方言、第三方挂号、影像图像解读、专病慢病及全病程管理不列入一期确定交付。历史报告查询不等同趋势分析；最新demo的双报告对比作为新增待确认项，不默认解除原暂缓范围。</w:t>
            </w:r>
            <w:r/>
          </w:p>
        </w:tc>
      </w:tr>
    </w:tbl>
    <w:p>
      <w:pPr>
        <w:keepNext w:val="false"/>
        <w:pageBreakBefore w:val="false"/>
        <w:pBdr/>
        <w:spacing w:after="100" w:line="270" w:lineRule="auto"/>
        <w:ind/>
        <w:rPr/>
      </w:pPr>
      <w:r/>
      <w:r/>
    </w:p>
    <w:p>
      <w:pPr>
        <w:pStyle w:val="843"/>
        <w:keepNext w:val="true"/>
        <w:pageBreakBefore w:val="false"/>
        <w:pBdr/>
        <w:spacing w:after="100" w:before="160" w:line="270" w:lineRule="auto"/>
        <w:ind/>
        <w:rPr>
          <w:color w:val="1f4e79"/>
        </w:rPr>
      </w:pPr>
      <w:r>
        <w:rPr>
          <w:rFonts w:ascii="微软雅黑" w:hAnsi="微软雅黑" w:eastAsia="微软雅黑" w:cs="微软雅黑"/>
          <w:b/>
          <w:color w:val="1f4e79"/>
          <w:sz w:val="24"/>
        </w:rPr>
        <w:t xml:space="preserve">6.2 数据对接与部署</w:t>
      </w:r>
      <w:r>
        <w:rPr>
          <w:color w:val="1f4e79"/>
        </w:rPr>
      </w:r>
      <w:r>
        <w:rPr>
          <w:color w:val="1f4e79"/>
        </w:rPr>
      </w:r>
    </w:p>
    <w:tbl>
      <w:tblPr>
        <w:tblStyle w:val="874"/>
        <w:tblW w:w="97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90" w:type="dxa"/>
          <w:top w:w="95" w:type="dxa"/>
          <w:right w:w="90" w:type="dxa"/>
          <w:bottom w:w="95" w:type="dxa"/>
        </w:tblCellMar>
        <w:tblLook w:val="04A0" w:firstRow="1" w:lastRow="0" w:firstColumn="1" w:lastColumn="0" w:noHBand="0" w:noVBand="1"/>
      </w:tblPr>
      <w:tblGrid>
        <w:gridCol w:w="1800"/>
        <w:gridCol w:w="7900"/>
      </w:tblGrid>
      <w:tr>
        <w:trPr>
          <w:cantSplit/>
          <w:tblHeader/>
        </w:trPr>
        <w:tc>
          <w:tcPr>
            <w:shd w:val="clear" w:color="auto" w:fill="1f4e78"/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约束类型</w:t>
            </w:r>
            <w:r/>
          </w:p>
        </w:tc>
        <w:tc>
          <w:tcPr>
            <w:shd w:val="clear" w:color="auto" w:fill="1f4e78"/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具体约束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报告数据链路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SeaTunnel将体检报告全量初始化后按日期增量同步至Doris；SDR／sdr-one封装逻辑模型，执行鉴权、授权、字段脱敏、限流与审计，智能体经统一服务获取报告。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同步与一致性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同步低峰窗口、T+1／小时级时效由双方确认；按左闭右开时间窗口补数、重跑；完成数据量比对、关键字段抽样校验和失败重试，保留校验报告。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故障降级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Doris不可用时明确提示、告警并以服务不可用兜底；不默认回查源库。受控降级链路如需建设另行确认。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接口配合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医院提供身份校验、报告源字段与视图、查询、真人会话、热线及日志文档和联调环境；院内预约接口是否接入待确认。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院内部署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业务应用、模型、知识库、数据底座及日志原则上在院内或批准的本地资源池部署；云模型／云语音仅为另行审批的可选方案，不作为一期验收前提。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POC资源建议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3台虚拟机，每台8 vCPU、32GB内存、500GB SSD；验证功能、数据一致性及性能基线。模型POC单卡48GB GPU；不作为正式高可用配置。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生产资源建议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5台院内虚拟机：3台Doris数据节点（每台16 vCPU、64GB、1TB SSD），2台服务节点（每台8 vCPU、32GB、300GB SSD）；另加本地GPU模型机。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模型机资源建议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24核CPU、256GB内存、2TB NVMe、2×48GB GPU；正式模型7B—14B为原文建议。设备、模型及资源以真实报告长度、体检量、并发和POC压测后双方确认为准。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虚拟化要求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生产数据节点分布在不同物理宿主机；CPU／内存预留、存储IOPS、固定IP及NTP；建议10Gb网络，数据节点支持AVX2。</w:t>
            </w:r>
            <w:r/>
          </w:p>
        </w:tc>
      </w:tr>
      <w:tr>
        <w:trPr>
          <w:cantSplit/>
        </w:trPr>
        <w:tc>
          <w:tcPr>
            <w:tcBorders/>
            <w:tcW w:w="1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性能与可用性</w:t>
            </w:r>
            <w:r/>
          </w:p>
        </w:tc>
        <w:tc>
          <w:tcPr>
            <w:tcBorders/>
            <w:tcW w:w="79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报告首屏、异常详情、语音响应、人工转接及底座查询指标，POC测试后冻结；具备监控、告警、降级和恢复机制，不沿用调研案例的响应时长作为合同指标。</w:t>
            </w:r>
            <w:r/>
          </w:p>
        </w:tc>
      </w:tr>
    </w:tbl>
    <w:p>
      <w:pPr>
        <w:keepNext w:val="false"/>
        <w:pageBreakBefore w:val="false"/>
        <w:pBdr/>
        <w:spacing w:after="100" w:line="270" w:lineRule="auto"/>
        <w:ind/>
        <w:rPr>
          <w:color w:val="1f4e79"/>
        </w:rPr>
      </w:pPr>
      <w:r>
        <w:rPr>
          <w:color w:val="1f4e79"/>
        </w:rPr>
      </w:r>
      <w:r>
        <w:rPr>
          <w:color w:val="1f4e79"/>
        </w:rPr>
      </w:r>
      <w:r>
        <w:rPr>
          <w:color w:val="1f4e79"/>
        </w:rPr>
      </w:r>
    </w:p>
    <w:p>
      <w:pPr>
        <w:pStyle w:val="843"/>
        <w:keepNext w:val="true"/>
        <w:pageBreakBefore w:val="false"/>
        <w:pBdr/>
        <w:spacing w:after="100" w:before="160" w:line="270" w:lineRule="auto"/>
        <w:ind/>
        <w:rPr>
          <w:color w:val="1f4e79"/>
        </w:rPr>
      </w:pPr>
      <w:r>
        <w:rPr>
          <w:rFonts w:ascii="微软雅黑" w:hAnsi="微软雅黑" w:eastAsia="微软雅黑" w:cs="微软雅黑"/>
          <w:b/>
          <w:color w:val="1f4e79"/>
          <w:sz w:val="24"/>
        </w:rPr>
        <w:t xml:space="preserve">6.3 实施与配合事项</w:t>
      </w:r>
      <w:r>
        <w:rPr>
          <w:color w:val="1f4e79"/>
        </w:rPr>
      </w:r>
      <w:r>
        <w:rPr>
          <w:color w:val="1f4e79"/>
        </w:rPr>
      </w:r>
    </w:p>
    <w:tbl>
      <w:tblPr>
        <w:tblStyle w:val="874"/>
        <w:tblW w:w="97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90" w:type="dxa"/>
          <w:top w:w="95" w:type="dxa"/>
          <w:right w:w="90" w:type="dxa"/>
          <w:bottom w:w="95" w:type="dxa"/>
        </w:tblCellMar>
        <w:tblLook w:val="04A0" w:firstRow="1" w:lastRow="0" w:firstColumn="1" w:lastColumn="0" w:noHBand="0" w:noVBand="1"/>
      </w:tblPr>
      <w:tblGrid>
        <w:gridCol w:w="1500"/>
        <w:gridCol w:w="5600"/>
        <w:gridCol w:w="2600"/>
      </w:tblGrid>
      <w:tr>
        <w:trPr>
          <w:cantSplit/>
          <w:tblHeader/>
        </w:trPr>
        <w:tc>
          <w:tcPr>
            <w:shd w:val="clear" w:color="auto" w:fill="1f4e78"/>
            <w:tcBorders/>
            <w:tcW w:w="15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阶段</w:t>
            </w:r>
            <w:r/>
          </w:p>
        </w:tc>
        <w:tc>
          <w:tcPr>
            <w:shd w:val="clear" w:color="auto" w:fill="1f4e78"/>
            <w:tcBorders/>
            <w:tcW w:w="56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交付与配合内容</w:t>
            </w:r>
            <w:r/>
          </w:p>
        </w:tc>
        <w:tc>
          <w:tcPr>
            <w:shd w:val="clear" w:color="auto" w:fill="1f4e78"/>
            <w:tcBorders/>
            <w:tcW w:w="26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确认要求</w:t>
            </w:r>
            <w:r/>
          </w:p>
        </w:tc>
      </w:tr>
      <w:tr>
        <w:trPr>
          <w:cantSplit/>
        </w:trPr>
        <w:tc>
          <w:tcPr>
            <w:tcBorders/>
            <w:tcW w:w="15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POC验证</w:t>
            </w:r>
            <w:r/>
          </w:p>
        </w:tc>
        <w:tc>
          <w:tcPr>
            <w:tcBorders/>
            <w:tcW w:w="56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可运行Demo；报告数据链路；数据一致性校验报告；解读及语音效果、性能基线验证。医院提供环境、脱敏报告样例与QA、医学审核人员。</w:t>
            </w:r>
            <w:r/>
          </w:p>
        </w:tc>
        <w:tc>
          <w:tcPr>
            <w:tcBorders/>
            <w:tcW w:w="26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原文预估1—2个月；实际排期另行确认。</w:t>
            </w:r>
            <w:r/>
          </w:p>
        </w:tc>
      </w:tr>
      <w:tr>
        <w:trPr>
          <w:cantSplit/>
        </w:trPr>
        <w:tc>
          <w:tcPr>
            <w:tcBorders/>
            <w:tcW w:w="15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试点上线</w:t>
            </w:r>
            <w:r/>
          </w:p>
        </w:tc>
        <w:tc>
          <w:tcPr>
            <w:tcBorders/>
            <w:tcW w:w="56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生产环境、患者入口及服务分流、语音、医生标注、反馈与监控；100—200名患者灰度测试。</w:t>
            </w:r>
            <w:r/>
          </w:p>
        </w:tc>
        <w:tc>
          <w:tcPr>
            <w:tcBorders/>
            <w:tcW w:w="26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原文预估2—3个月；试点人数、终端和开放条件待确认。</w:t>
            </w:r>
            <w:r/>
          </w:p>
        </w:tc>
      </w:tr>
      <w:tr>
        <w:trPr>
          <w:cantSplit/>
        </w:trPr>
        <w:tc>
          <w:tcPr>
            <w:tcBorders/>
            <w:tcW w:w="15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全面推广</w:t>
            </w:r>
            <w:r/>
          </w:p>
        </w:tc>
        <w:tc>
          <w:tcPr>
            <w:tcBorders/>
            <w:tcW w:w="56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通过医学、安全及性能验收后开放约定范围；后台管理、运营与运维文档交付。</w:t>
            </w:r>
            <w:r/>
          </w:p>
        </w:tc>
        <w:tc>
          <w:tcPr>
            <w:tcBorders/>
            <w:tcW w:w="26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原文预估1—2个月；以双方验收及上线计划为准。</w:t>
            </w:r>
            <w:r/>
          </w:p>
        </w:tc>
      </w:tr>
      <w:tr>
        <w:trPr>
          <w:cantSplit/>
        </w:trPr>
        <w:tc>
          <w:tcPr>
            <w:tcBorders/>
            <w:tcW w:w="15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持续优化</w:t>
            </w:r>
            <w:r/>
          </w:p>
        </w:tc>
        <w:tc>
          <w:tcPr>
            <w:tcBorders/>
            <w:tcW w:w="56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依据患者反馈、医生标注更新知识、话术及资源配置；扩展需求另行确认。</w:t>
            </w:r>
            <w:r/>
          </w:p>
        </w:tc>
        <w:tc>
          <w:tcPr>
            <w:tcBorders/>
            <w:tcW w:w="26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不自动纳入一期新增功能。</w:t>
            </w:r>
            <w:r/>
          </w:p>
        </w:tc>
      </w:tr>
    </w:tbl>
    <w:p>
      <w:pPr>
        <w:keepNext w:val="false"/>
        <w:pageBreakBefore w:val="false"/>
        <w:pBdr/>
        <w:spacing w:after="100" w:line="270" w:lineRule="auto"/>
        <w:ind/>
        <w:rPr/>
      </w:pPr>
      <w:r/>
      <w:r/>
    </w:p>
    <w:tbl>
      <w:tblPr>
        <w:tblStyle w:val="874"/>
        <w:tblW w:w="97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90" w:type="dxa"/>
          <w:top w:w="95" w:type="dxa"/>
          <w:right w:w="90" w:type="dxa"/>
          <w:bottom w:w="95" w:type="dxa"/>
        </w:tblCellMar>
        <w:tblLook w:val="04A0" w:firstRow="1" w:lastRow="0" w:firstColumn="1" w:lastColumn="0" w:noHBand="0" w:noVBand="1"/>
      </w:tblPr>
      <w:tblGrid>
        <w:gridCol w:w="2000"/>
        <w:gridCol w:w="7700"/>
      </w:tblGrid>
      <w:tr>
        <w:trPr>
          <w:cantSplit/>
          <w:tblHeader/>
        </w:trPr>
        <w:tc>
          <w:tcPr>
            <w:shd w:val="clear" w:color="auto" w:fill="1f4e78"/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院方配合类别</w:t>
            </w:r>
            <w:r/>
          </w:p>
        </w:tc>
        <w:tc>
          <w:tcPr>
            <w:shd w:val="clear" w:color="auto" w:fill="1f4e78"/>
            <w:tcBorders/>
            <w:tcW w:w="77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 xml:space="preserve">需提供或确认的内容</w:t>
            </w:r>
            <w:r/>
          </w:p>
        </w:tc>
      </w:tr>
      <w:tr>
        <w:trPr>
          <w:cantSplit/>
        </w:trPr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业务与医学</w:t>
            </w:r>
            <w:r/>
          </w:p>
        </w:tc>
        <w:tc>
          <w:tcPr>
            <w:tcBorders/>
            <w:tcW w:w="77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原始报告结论、字段和异常模板、审核知识库与术语库、进一步检查及生活建议规则、总检医生审核责任人。</w:t>
            </w:r>
            <w:r/>
          </w:p>
        </w:tc>
      </w:tr>
      <w:tr>
        <w:trPr>
          <w:cantSplit/>
        </w:trPr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数据与接口</w:t>
            </w:r>
            <w:r/>
          </w:p>
        </w:tc>
        <w:tc>
          <w:tcPr>
            <w:tcBorders/>
            <w:tcW w:w="77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身份要素、源库只读账号、报告表／视图字典、同步窗口、联调环境、真人会话入口、热线及日志能力。</w:t>
            </w:r>
            <w:r/>
          </w:p>
        </w:tc>
      </w:tr>
      <w:tr>
        <w:trPr>
          <w:cantSplit/>
        </w:trPr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服务与运营</w:t>
            </w:r>
            <w:r/>
          </w:p>
        </w:tc>
        <w:tc>
          <w:tcPr>
            <w:tcBorders/>
            <w:tcW w:w="77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医生团队、接诊范围、服务时段、热线用途、不可用提示、紧急情况指引、投诉与问题处理流程。</w:t>
            </w:r>
            <w:r/>
          </w:p>
        </w:tc>
      </w:tr>
      <w:tr>
        <w:trPr>
          <w:cantSplit/>
        </w:trPr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环境与制度</w:t>
            </w:r>
            <w:r/>
          </w:p>
        </w:tc>
        <w:tc>
          <w:tcPr>
            <w:tcBorders/>
            <w:tcW w:w="77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服务器及GPU、网络安全域、域名证书、备份、隐私授权、留存期限、审计及音频策略。</w:t>
            </w:r>
            <w:r/>
          </w:p>
        </w:tc>
      </w:tr>
      <w:tr>
        <w:trPr>
          <w:cantSplit/>
        </w:trPr>
        <w:tc>
          <w:tcPr>
            <w:tcBorders/>
            <w:tcW w:w="20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验收资源</w:t>
            </w:r>
            <w:r/>
          </w:p>
        </w:tc>
        <w:tc>
          <w:tcPr>
            <w:tcBorders/>
            <w:tcW w:w="77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业务负责人、总检医生、信息科、安全审计人员、脱敏样例和患者试点样本；提供评估测试集与指标口径。</w:t>
            </w:r>
            <w:r/>
          </w:p>
        </w:tc>
      </w:tr>
    </w:tbl>
    <w:p>
      <w:pPr>
        <w:keepNext w:val="false"/>
        <w:pageBreakBefore w:val="false"/>
        <w:pBdr/>
        <w:spacing w:after="100" w:line="270" w:lineRule="auto"/>
        <w:ind/>
        <w:rPr/>
      </w:pPr>
      <w:r/>
      <w:r/>
    </w:p>
    <w:p>
      <w:pPr>
        <w:pStyle w:val="843"/>
        <w:keepNext w:val="true"/>
        <w:pageBreakBefore w:val="false"/>
        <w:pBdr/>
        <w:spacing w:after="100" w:before="160" w:line="270" w:lineRule="auto"/>
        <w:ind/>
        <w:rPr>
          <w:color w:val="1f4e79"/>
        </w:rPr>
      </w:pPr>
      <w:r>
        <w:rPr>
          <w:rFonts w:ascii="微软雅黑" w:hAnsi="微软雅黑" w:eastAsia="微软雅黑" w:cs="微软雅黑"/>
          <w:b/>
          <w:color w:val="1f4e79"/>
          <w:sz w:val="24"/>
        </w:rPr>
        <w:t xml:space="preserve">6.4 签字前待确认事项</w:t>
      </w:r>
      <w:r>
        <w:rPr>
          <w:color w:val="1f4e79"/>
        </w:rPr>
      </w:r>
      <w:r>
        <w:rPr>
          <w:color w:val="1f4e79"/>
        </w:rPr>
      </w:r>
    </w:p>
    <w:p>
      <w:pPr>
        <w:keepNext w:val="false"/>
        <w:pageBreakBefore w:val="false"/>
        <w:pBdr/>
        <w:spacing w:after="100" w:line="270" w:lineRule="auto"/>
        <w:ind/>
        <w:rPr/>
      </w:pPr>
      <w:r>
        <w:rPr>
          <w:rFonts w:ascii="宋体" w:hAnsi="宋体" w:eastAsia="宋体"/>
          <w:sz w:val="21"/>
        </w:rPr>
        <w:t xml:space="preserve">待确认项：患者资料维护及写回规则、置信度免审与抽检、内部工具开放范围、院内预约就诊接口方式；普通话和重庆话的识别、播报长度、语速与效果阈值由 POC 确认。</w:t>
      </w:r>
      <w:r/>
    </w:p>
    <w:p>
      <w:pPr>
        <w:keepNext w:val="false"/>
        <w:pageBreakBefore w:val="false"/>
        <w:pBdr/>
        <w:spacing w:after="100" w:line="270" w:lineRule="auto"/>
        <w:ind/>
        <w:rPr/>
      </w:pPr>
      <w:r>
        <w:rPr>
          <w:rFonts w:ascii="微软雅黑" w:hAnsi="微软雅黑" w:eastAsia="微软雅黑" w:cs="微软雅黑"/>
          <w:b w:val="0"/>
          <w:sz w:val="18"/>
        </w:rPr>
        <w:t xml:space="preserve">① 页面内流程式语音导航是否保留及意图范围；流程式电话交互不做。</w:t>
        <w:br/>
        <w:t xml:space="preserve">② 院内预约就诊仅跳转还是接口提交；检后转诊暂缓与预约入口的交付边界。</w:t>
        <w:br/>
        <w:t xml:space="preserve">③ </w:t>
      </w:r>
      <w:r>
        <w:rPr>
          <w:rFonts w:ascii="微软雅黑" w:hAnsi="微软雅黑" w:eastAsia="微软雅黑" w:cs="微软雅黑"/>
          <w:b w:val="0"/>
          <w:sz w:val="18"/>
        </w:rPr>
        <w:t xml:space="preserve">异常详情按最新demo“概述、症状分析、综合建议”展示；治疗参考仅转述原文，不新增方案。</w:t>
        <w:br/>
        <w:t xml:space="preserve">④ 播报仅总检建议还是患者选中回答／异常项；1000字上限、方言效果、语速和识别阈值。</w:t>
        <w:br/>
        <w:t xml:space="preserve">⑤ 留存期限、音频是否存储、隐私授权及删除策略；不默认24小时自动删除。</w:t>
        <w:br/>
        <w:t xml:space="preserve">⑥ 患者端实际入口与终端范围，是否包含小程序、App、Web三端。</w:t>
        <w:br/>
        <w:t xml:space="preserve">⑦ 医生服务团队、热线及非服务时段兜底；7×24小时仅指辅助解释能力。</w:t>
        <w:br/>
        <w:t xml:space="preserve">⑧ 同步时效、节点与GPU配置、本地模型及性能指标、里程碑日期。</w:t>
        <w:br/>
        <w:t xml:space="preserve">⑨ 灰度医学验收测试集、通过标准及患者开放审批责任人。</w:t>
      </w:r>
      <w:r/>
    </w:p>
    <w:p>
      <w:pPr>
        <w:pStyle w:val="842"/>
        <w:keepNext w:val="true"/>
        <w:pageBreakBefore w:val="false"/>
        <w:pBdr/>
        <w:spacing w:after="100" w:before="200" w:line="270" w:lineRule="auto"/>
        <w:ind/>
        <w:rPr>
          <w:color w:val="1f4e79"/>
        </w:rPr>
      </w:pPr>
      <w:r>
        <w:rPr>
          <w:rFonts w:ascii="微软雅黑" w:hAnsi="微软雅黑" w:eastAsia="微软雅黑" w:cs="微软雅黑"/>
          <w:b/>
          <w:color w:val="1f4e79"/>
          <w:sz w:val="28"/>
        </w:rPr>
        <w:t xml:space="preserve">七、签字确认</w:t>
      </w:r>
      <w:r>
        <w:rPr>
          <w:color w:val="1f4e79"/>
        </w:rPr>
      </w:r>
      <w:r>
        <w:rPr>
          <w:color w:val="1f4e79"/>
        </w:rPr>
      </w:r>
    </w:p>
    <w:p>
      <w:pPr>
        <w:keepNext w:val="false"/>
        <w:pageBreakBefore w:val="false"/>
        <w:pBdr/>
        <w:spacing w:after="100" w:line="270" w:lineRule="auto"/>
        <w:ind/>
        <w:rPr/>
      </w:pPr>
      <w:r>
        <w:rPr>
          <w:rFonts w:ascii="微软雅黑" w:hAnsi="微软雅黑" w:eastAsia="微软雅黑" w:cs="微软雅黑"/>
          <w:b w:val="0"/>
          <w:sz w:val="20"/>
        </w:rPr>
        <w:t xml:space="preserve">双方完成第六章待确认事项并明确范围、口径、资源及排期后签字。本表与双方书面补充约定作为开发和验收依据；后续需求变更另行书面确认，待确认项不视为已承诺交付。</w:t>
      </w:r>
      <w:r/>
    </w:p>
    <w:p>
      <w:pPr>
        <w:keepNext w:val="false"/>
        <w:pageBreakBefore w:val="false"/>
        <w:pBdr/>
        <w:spacing w:after="100" w:line="270" w:lineRule="auto"/>
        <w:ind/>
        <w:rPr/>
      </w:pPr>
      <w:r>
        <w:rPr>
          <w:rFonts w:ascii="微软雅黑" w:hAnsi="微软雅黑" w:eastAsia="微软雅黑" w:cs="微软雅黑"/>
          <w:b w:val="0"/>
          <w:sz w:val="20"/>
        </w:rPr>
        <w:t xml:space="preserve">项目／医院名称：________________________________________________</w:t>
      </w:r>
      <w:r/>
    </w:p>
    <w:p>
      <w:pPr>
        <w:keepNext w:val="false"/>
        <w:pageBreakBefore w:val="false"/>
        <w:pBdr/>
        <w:spacing w:after="100" w:line="270" w:lineRule="auto"/>
        <w:ind/>
        <w:rPr/>
      </w:pPr>
      <w:r>
        <w:rPr>
          <w:rFonts w:ascii="微软雅黑" w:hAnsi="微软雅黑" w:eastAsia="微软雅黑" w:cs="微软雅黑"/>
          <w:b w:val="0"/>
          <w:sz w:val="20"/>
        </w:rPr>
        <w:t xml:space="preserve">需求确认日期：________________________________________________</w:t>
      </w:r>
      <w:r/>
    </w:p>
    <w:p>
      <w:pPr>
        <w:keepNext w:val="false"/>
        <w:pageBreakBefore w:val="false"/>
        <w:pBdr/>
        <w:spacing w:after="100" w:line="270" w:lineRule="auto"/>
        <w:ind/>
        <w:rPr/>
      </w:pPr>
      <w:r>
        <w:rPr>
          <w:rFonts w:ascii="微软雅黑" w:hAnsi="微软雅黑" w:eastAsia="微软雅黑" w:cs="微软雅黑"/>
          <w:b w:val="0"/>
          <w:sz w:val="20"/>
        </w:rPr>
        <w:t xml:space="preserve">计划交付日期：________________________________________________</w:t>
      </w:r>
      <w:r/>
    </w:p>
    <w:p>
      <w:pPr>
        <w:keepNext w:val="false"/>
        <w:pageBreakBefore w:val="false"/>
        <w:pBdr/>
        <w:spacing w:after="100" w:line="270" w:lineRule="auto"/>
        <w:ind/>
        <w:rPr/>
      </w:pPr>
      <w:r>
        <w:rPr>
          <w:rFonts w:ascii="微软雅黑" w:hAnsi="微软雅黑" w:eastAsia="微软雅黑" w:cs="微软雅黑"/>
          <w:b w:val="0"/>
          <w:sz w:val="20"/>
        </w:rPr>
        <w:t xml:space="preserve">确认意见及补充约定：________________________________________________</w:t>
      </w:r>
      <w:r/>
    </w:p>
    <w:p>
      <w:pPr>
        <w:keepNext w:val="false"/>
        <w:pageBreakBefore w:val="false"/>
        <w:pBdr/>
        <w:spacing w:after="100" w:line="270" w:lineRule="auto"/>
        <w:ind/>
        <w:rPr/>
      </w:pPr>
      <w:r>
        <w:rPr>
          <w:rFonts w:ascii="微软雅黑" w:hAnsi="微软雅黑" w:eastAsia="微软雅黑" w:cs="微软雅黑"/>
          <w:b w:val="0"/>
          <w:sz w:val="20"/>
        </w:rPr>
        <w:t xml:space="preserve">________________________________________________________________</w:t>
      </w:r>
      <w:r/>
    </w:p>
    <w:p>
      <w:pPr>
        <w:keepNext w:val="false"/>
        <w:pageBreakBefore w:val="false"/>
        <w:pBdr/>
        <w:spacing w:after="100" w:line="270" w:lineRule="auto"/>
        <w:ind/>
        <w:rPr/>
      </w:pPr>
      <w:r>
        <w:rPr>
          <w:rFonts w:ascii="微软雅黑" w:hAnsi="微软雅黑" w:eastAsia="微软雅黑" w:cs="微软雅黑"/>
          <w:b w:val="0"/>
          <w:sz w:val="20"/>
        </w:rPr>
        <w:t xml:space="preserve">________________________________________________________________</w:t>
      </w:r>
      <w:r/>
    </w:p>
    <w:p>
      <w:pPr>
        <w:keepNext w:val="false"/>
        <w:pageBreakBefore w:val="false"/>
        <w:pBdr/>
        <w:spacing w:after="100" w:line="270" w:lineRule="auto"/>
        <w:ind/>
        <w:rPr/>
      </w:pPr>
      <w:r>
        <w:rPr>
          <w:rFonts w:ascii="微软雅黑" w:hAnsi="微软雅黑" w:eastAsia="微软雅黑" w:cs="微软雅黑"/>
          <w:b w:val="0"/>
          <w:sz w:val="20"/>
        </w:rPr>
        <w:t xml:space="preserve">________________________________________________________________</w:t>
      </w:r>
      <w:r/>
    </w:p>
    <w:p>
      <w:pPr>
        <w:keepNext w:val="false"/>
        <w:pageBreakBefore w:val="false"/>
        <w:pBdr/>
        <w:spacing w:after="100" w:line="270" w:lineRule="auto"/>
        <w:ind/>
        <w:rPr/>
      </w:pPr>
      <w:r>
        <w:rPr>
          <w:rFonts w:ascii="微软雅黑" w:hAnsi="微软雅黑" w:eastAsia="微软雅黑" w:cs="微软雅黑"/>
          <w:b w:val="0"/>
          <w:sz w:val="20"/>
        </w:rPr>
        <w:t xml:space="preserve">________________________________________________________________</w:t>
      </w:r>
      <w:r/>
    </w:p>
    <w:tbl>
      <w:tblPr>
        <w:tblStyle w:val="874"/>
        <w:tblW w:w="97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90" w:type="dxa"/>
          <w:top w:w="95" w:type="dxa"/>
          <w:right w:w="90" w:type="dxa"/>
          <w:bottom w:w="95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700"/>
      </w:tblGrid>
      <w:tr>
        <w:trPr>
          <w:cantSplit/>
          <w:tblHeader/>
        </w:trPr>
        <w:tc>
          <w:tcPr>
            <w:shd w:val="clear" w:color="auto" w:fill="1f4e78"/>
            <w:tcBorders/>
            <w:tcW w:w="3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 xml:space="preserve">角色</w:t>
            </w:r>
            <w:r/>
          </w:p>
        </w:tc>
        <w:tc>
          <w:tcPr>
            <w:shd w:val="clear" w:color="auto" w:fill="1f4e78"/>
            <w:tcBorders/>
            <w:tcW w:w="2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 xml:space="preserve">姓名</w:t>
            </w:r>
            <w:r/>
          </w:p>
        </w:tc>
        <w:tc>
          <w:tcPr>
            <w:shd w:val="clear" w:color="auto" w:fill="1f4e78"/>
            <w:tcBorders/>
            <w:tcW w:w="37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 xml:space="preserve">签字</w:t>
            </w:r>
            <w:r/>
          </w:p>
        </w:tc>
      </w:tr>
      <w:tr>
        <w:trPr>
          <w:cantSplit/>
          <w:trHeight w:val="605"/>
        </w:trPr>
        <w:tc>
          <w:tcPr>
            <w:tcBorders/>
            <w:tcW w:w="3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甲方业务负责人</w:t>
            </w:r>
            <w:r/>
          </w:p>
        </w:tc>
        <w:tc>
          <w:tcPr>
            <w:tcBorders/>
            <w:tcW w:w="2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</w:r>
            <w:r/>
          </w:p>
        </w:tc>
        <w:tc>
          <w:tcPr>
            <w:tcBorders/>
            <w:tcW w:w="37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</w:r>
            <w:r/>
          </w:p>
        </w:tc>
      </w:tr>
      <w:tr>
        <w:trPr>
          <w:cantSplit/>
          <w:trHeight w:val="605"/>
        </w:trPr>
        <w:tc>
          <w:tcPr>
            <w:tcBorders/>
            <w:tcW w:w="3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甲方信息科负责人</w:t>
            </w:r>
            <w:r/>
          </w:p>
        </w:tc>
        <w:tc>
          <w:tcPr>
            <w:tcBorders/>
            <w:tcW w:w="2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</w:r>
            <w:r/>
          </w:p>
        </w:tc>
        <w:tc>
          <w:tcPr>
            <w:tcBorders/>
            <w:tcW w:w="37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</w:r>
            <w:r/>
          </w:p>
        </w:tc>
      </w:tr>
      <w:tr>
        <w:trPr>
          <w:cantSplit/>
          <w:trHeight w:val="605"/>
        </w:trPr>
        <w:tc>
          <w:tcPr>
            <w:tcBorders/>
            <w:tcW w:w="3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乙方项目经理</w:t>
            </w:r>
            <w:r/>
          </w:p>
        </w:tc>
        <w:tc>
          <w:tcPr>
            <w:tcBorders/>
            <w:tcW w:w="2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</w:r>
            <w:r/>
          </w:p>
        </w:tc>
        <w:tc>
          <w:tcPr>
            <w:tcBorders/>
            <w:tcW w:w="37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</w:r>
            <w:r/>
          </w:p>
        </w:tc>
      </w:tr>
      <w:tr>
        <w:trPr>
          <w:cantSplit/>
          <w:trHeight w:val="605"/>
        </w:trPr>
        <w:tc>
          <w:tcPr>
            <w:tcBorders/>
            <w:tcW w:w="32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 xml:space="preserve">乙方FDE实施</w:t>
            </w:r>
            <w:r/>
          </w:p>
        </w:tc>
        <w:tc>
          <w:tcPr>
            <w:tcBorders/>
            <w:tcW w:w="28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</w:r>
            <w:r/>
          </w:p>
        </w:tc>
        <w:tc>
          <w:tcPr>
            <w:tcBorders/>
            <w:tcW w:w="3700" w:type="dxa"/>
            <w:vAlign w:val="center"/>
            <w:textDirection w:val="lrTb"/>
            <w:noWrap w:val="false"/>
          </w:tcPr>
          <w:p>
            <w:pPr>
              <w:keepNext w:val="false"/>
              <w:pageBreakBefore w:val="false"/>
              <w:pBdr/>
              <w:spacing w:after="0" w:line="270" w:lineRule="auto"/>
              <w:ind/>
              <w:rPr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</w:r>
            <w:r/>
          </w:p>
        </w:tc>
      </w:tr>
    </w:tbl>
    <w:p>
      <w:pPr>
        <w:keepNext w:val="false"/>
        <w:pageBreakBefore w:val="false"/>
        <w:pBdr/>
        <w:spacing w:after="100" w:line="270" w:lineRule="auto"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247" w:right="1247" w:bottom="1134" w:left="124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黑体">
    <w:panose1 w:val="02010609060101010101"/>
  </w:font>
  <w:font w:name="Symbol">
    <w:panose1 w:val="05050102010706020507"/>
  </w:font>
  <w:font w:name="Courier">
    <w:panose1 w:val="02070309020205020404"/>
  </w:font>
  <w:font w:name="Calibri">
    <w:panose1 w:val="020F0502020204030204"/>
  </w:font>
  <w:font w:name="微软雅黑">
    <w:panose1 w:val="020B0503020204020204"/>
  </w:font>
  <w:font w:name="Arial">
    <w:panose1 w:val="020B0604020202020204"/>
  </w:font>
  <w:font w:name="宋体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6"/>
      <w:pBdr/>
      <w:spacing/>
      <w:ind/>
      <w:jc w:val="center"/>
      <w:rPr/>
    </w:pPr>
    <w:r>
      <w:rPr>
        <w:rFonts w:ascii="微软雅黑" w:hAnsi="微软雅黑" w:eastAsia="微软雅黑" w:cs="微软雅黑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Fonts w:ascii="微软雅黑" w:hAnsi="微软雅黑" w:eastAsia="微软雅黑" w:cs="微软雅黑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、"/>
      <w:numFmt w:val="chineseCounting"/>
      <w:pPr>
        <w:pBdr/>
        <w:spacing/>
        <w:ind/>
      </w:pPr>
      <w:rPr>
        <w:rFonts w:hint="eastAsia"/>
      </w:rPr>
      <w:start w:val="4"/>
      <w:suff w:val="nothing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86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55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6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65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56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58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6">
    <w:name w:val="Table Grid Light"/>
    <w:basedOn w:val="85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5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5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1" w:default="1">
    <w:name w:val="No List"/>
    <w:uiPriority w:val="99"/>
    <w:semiHidden/>
    <w:unhideWhenUsed/>
    <w:pPr>
      <w:pBdr/>
      <w:spacing/>
      <w:ind/>
    </w:pPr>
  </w:style>
  <w:style w:type="paragraph" w:styleId="832">
    <w:name w:val="footnote text"/>
    <w:basedOn w:val="841"/>
    <w:link w:val="8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3">
    <w:name w:val="Footnote Text Char"/>
    <w:basedOn w:val="851"/>
    <w:link w:val="832"/>
    <w:uiPriority w:val="99"/>
    <w:semiHidden/>
    <w:pPr>
      <w:pBdr/>
      <w:spacing/>
      <w:ind/>
    </w:pPr>
    <w:rPr>
      <w:sz w:val="20"/>
      <w:szCs w:val="20"/>
    </w:rPr>
  </w:style>
  <w:style w:type="character" w:styleId="834">
    <w:name w:val="footnote reference"/>
    <w:basedOn w:val="851"/>
    <w:uiPriority w:val="99"/>
    <w:semiHidden/>
    <w:unhideWhenUsed/>
    <w:pPr>
      <w:pBdr/>
      <w:spacing/>
      <w:ind/>
    </w:pPr>
    <w:rPr>
      <w:vertAlign w:val="superscript"/>
    </w:rPr>
  </w:style>
  <w:style w:type="paragraph" w:styleId="835">
    <w:name w:val="endnote text"/>
    <w:basedOn w:val="841"/>
    <w:link w:val="8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6">
    <w:name w:val="Endnote Text Char"/>
    <w:basedOn w:val="851"/>
    <w:link w:val="835"/>
    <w:uiPriority w:val="99"/>
    <w:semiHidden/>
    <w:pPr>
      <w:pBdr/>
      <w:spacing/>
      <w:ind/>
    </w:pPr>
    <w:rPr>
      <w:sz w:val="20"/>
      <w:szCs w:val="20"/>
    </w:rPr>
  </w:style>
  <w:style w:type="character" w:styleId="837">
    <w:name w:val="endnote reference"/>
    <w:basedOn w:val="851"/>
    <w:uiPriority w:val="99"/>
    <w:semiHidden/>
    <w:unhideWhenUsed/>
    <w:pPr>
      <w:pBdr/>
      <w:spacing/>
      <w:ind/>
    </w:pPr>
    <w:rPr>
      <w:vertAlign w:val="superscript"/>
    </w:rPr>
  </w:style>
  <w:style w:type="character" w:styleId="838">
    <w:name w:val="Hyperlink"/>
    <w:basedOn w:val="85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39">
    <w:name w:val="FollowedHyperlink"/>
    <w:basedOn w:val="8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0">
    <w:name w:val="table of figures"/>
    <w:basedOn w:val="841"/>
    <w:next w:val="841"/>
    <w:uiPriority w:val="99"/>
    <w:unhideWhenUsed/>
    <w:pPr>
      <w:pBdr/>
      <w:spacing w:after="0" w:afterAutospacing="0"/>
      <w:ind/>
    </w:pPr>
  </w:style>
  <w:style w:type="paragraph" w:styleId="841" w:default="1">
    <w:name w:val="Normal"/>
    <w:uiPriority w:val="0"/>
    <w:qFormat/>
    <w:pPr>
      <w:pBdr/>
      <w:spacing w:after="200" w:line="276" w:lineRule="auto"/>
      <w:ind/>
    </w:pPr>
    <w:rPr>
      <w:rFonts w:ascii="微软雅黑" w:hAnsi="微软雅黑" w:eastAsia="微软雅黑" w:cs="微软雅黑"/>
      <w:color w:val="000000"/>
      <w:sz w:val="20"/>
      <w:szCs w:val="22"/>
      <w:lang w:val="en-US" w:eastAsia="en-US" w:bidi="ar-SA"/>
    </w:rPr>
  </w:style>
  <w:style w:type="paragraph" w:styleId="842">
    <w:name w:val="Heading 1"/>
    <w:basedOn w:val="841"/>
    <w:next w:val="841"/>
    <w:link w:val="97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微软雅黑" w:hAnsi="微软雅黑" w:eastAsia="微软雅黑" w:cs="微软雅黑"/>
      <w:b/>
      <w:bCs/>
      <w:color w:val="000000"/>
      <w:sz w:val="28"/>
      <w:szCs w:val="28"/>
    </w:rPr>
  </w:style>
  <w:style w:type="paragraph" w:styleId="843">
    <w:name w:val="Heading 2"/>
    <w:basedOn w:val="841"/>
    <w:next w:val="841"/>
    <w:link w:val="97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微软雅黑" w:hAnsi="微软雅黑" w:eastAsia="微软雅黑" w:cs="微软雅黑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paragraph" w:styleId="844">
    <w:name w:val="Heading 3"/>
    <w:basedOn w:val="841"/>
    <w:next w:val="841"/>
    <w:link w:val="98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微软雅黑" w:hAnsi="微软雅黑" w:eastAsia="微软雅黑" w:cs="微软雅黑"/>
      <w:b/>
      <w:bCs/>
      <w:color w:val="000000"/>
      <w14:textFill>
        <w14:solidFill>
          <w14:schemeClr w14:val="accent1"/>
        </w14:solidFill>
      </w14:textFill>
    </w:rPr>
  </w:style>
  <w:style w:type="paragraph" w:styleId="845">
    <w:name w:val="Heading 4"/>
    <w:basedOn w:val="841"/>
    <w:next w:val="841"/>
    <w:link w:val="99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="微软雅黑" w:hAnsi="微软雅黑" w:eastAsia="微软雅黑" w:cs="微软雅黑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846">
    <w:name w:val="Heading 5"/>
    <w:basedOn w:val="841"/>
    <w:next w:val="841"/>
    <w:link w:val="99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="微软雅黑" w:hAnsi="微软雅黑" w:eastAsia="微软雅黑" w:cs="微软雅黑"/>
      <w:color w:val="000000"/>
    </w:rPr>
  </w:style>
  <w:style w:type="paragraph" w:styleId="847">
    <w:name w:val="Heading 6"/>
    <w:basedOn w:val="841"/>
    <w:next w:val="841"/>
    <w:link w:val="99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="微软雅黑" w:hAnsi="微软雅黑" w:eastAsia="微软雅黑" w:cs="微软雅黑"/>
      <w:i/>
      <w:iCs/>
      <w:color w:val="000000"/>
    </w:rPr>
  </w:style>
  <w:style w:type="paragraph" w:styleId="848">
    <w:name w:val="Heading 7"/>
    <w:basedOn w:val="841"/>
    <w:next w:val="841"/>
    <w:link w:val="99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="微软雅黑" w:hAnsi="微软雅黑" w:eastAsia="微软雅黑" w:cs="微软雅黑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849">
    <w:name w:val="Heading 8"/>
    <w:basedOn w:val="841"/>
    <w:next w:val="841"/>
    <w:link w:val="99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="微软雅黑" w:hAnsi="微软雅黑" w:eastAsia="微软雅黑" w:cs="微软雅黑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850">
    <w:name w:val="Heading 9"/>
    <w:basedOn w:val="841"/>
    <w:next w:val="841"/>
    <w:link w:val="99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="微软雅黑" w:hAnsi="微软雅黑" w:eastAsia="微软雅黑" w:cs="微软雅黑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851" w:default="1">
    <w:name w:val="Default Paragraph Font"/>
    <w:uiPriority w:val="1"/>
    <w:semiHidden/>
    <w:unhideWhenUsed/>
    <w:pPr>
      <w:pBdr/>
      <w:spacing/>
      <w:ind/>
    </w:pPr>
  </w:style>
  <w:style w:type="table" w:styleId="852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3">
    <w:name w:val="macro"/>
    <w:link w:val="98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="276" w:lineRule="auto"/>
      <w:ind/>
    </w:pPr>
    <w:rPr>
      <w:rFonts w:ascii="微软雅黑" w:hAnsi="微软雅黑" w:eastAsia="微软雅黑" w:cs="微软雅黑"/>
      <w:color w:val="000000"/>
      <w:sz w:val="20"/>
      <w:szCs w:val="20"/>
      <w:lang w:val="en-US" w:eastAsia="en-US" w:bidi="ar-SA"/>
    </w:rPr>
  </w:style>
  <w:style w:type="paragraph" w:styleId="854">
    <w:name w:val="List 3"/>
    <w:basedOn w:val="841"/>
    <w:uiPriority w:val="99"/>
    <w:unhideWhenUsed/>
    <w:pPr>
      <w:pBdr/>
      <w:spacing/>
      <w:ind w:hanging="360" w:left="1080"/>
      <w:contextualSpacing w:val="true"/>
    </w:pPr>
    <w:rPr>
      <w:rFonts w:ascii="微软雅黑" w:hAnsi="微软雅黑" w:eastAsia="微软雅黑" w:cs="微软雅黑"/>
      <w:color w:val="000000"/>
    </w:rPr>
  </w:style>
  <w:style w:type="paragraph" w:styleId="855">
    <w:name w:val="List Number 2"/>
    <w:basedOn w:val="841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rFonts w:ascii="微软雅黑" w:hAnsi="微软雅黑" w:eastAsia="微软雅黑" w:cs="微软雅黑"/>
      <w:color w:val="000000"/>
    </w:rPr>
  </w:style>
  <w:style w:type="paragraph" w:styleId="856">
    <w:name w:val="List Number"/>
    <w:basedOn w:val="841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rFonts w:ascii="微软雅黑" w:hAnsi="微软雅黑" w:eastAsia="微软雅黑" w:cs="微软雅黑"/>
      <w:color w:val="000000"/>
    </w:rPr>
  </w:style>
  <w:style w:type="paragraph" w:styleId="857">
    <w:name w:val="Caption"/>
    <w:basedOn w:val="841"/>
    <w:next w:val="841"/>
    <w:uiPriority w:val="35"/>
    <w:semiHidden/>
    <w:unhideWhenUsed/>
    <w:qFormat/>
    <w:pPr>
      <w:pBdr/>
      <w:spacing w:line="240" w:lineRule="auto"/>
      <w:ind/>
    </w:pPr>
    <w:rPr>
      <w:rFonts w:ascii="微软雅黑" w:hAnsi="微软雅黑" w:eastAsia="微软雅黑" w:cs="微软雅黑"/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858">
    <w:name w:val="List Bullet"/>
    <w:basedOn w:val="841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rFonts w:ascii="微软雅黑" w:hAnsi="微软雅黑" w:eastAsia="微软雅黑" w:cs="微软雅黑"/>
      <w:color w:val="000000"/>
    </w:rPr>
  </w:style>
  <w:style w:type="paragraph" w:styleId="859">
    <w:name w:val="Body Text 3"/>
    <w:basedOn w:val="841"/>
    <w:link w:val="986"/>
    <w:uiPriority w:val="99"/>
    <w:unhideWhenUsed/>
    <w:pPr>
      <w:pBdr/>
      <w:spacing w:after="120"/>
      <w:ind/>
    </w:pPr>
    <w:rPr>
      <w:rFonts w:ascii="微软雅黑" w:hAnsi="微软雅黑" w:eastAsia="微软雅黑" w:cs="微软雅黑"/>
      <w:color w:val="000000"/>
      <w:sz w:val="16"/>
      <w:szCs w:val="16"/>
    </w:rPr>
  </w:style>
  <w:style w:type="paragraph" w:styleId="860">
    <w:name w:val="List Bullet 3"/>
    <w:basedOn w:val="841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rFonts w:ascii="微软雅黑" w:hAnsi="微软雅黑" w:eastAsia="微软雅黑" w:cs="微软雅黑"/>
      <w:color w:val="000000"/>
    </w:rPr>
  </w:style>
  <w:style w:type="paragraph" w:styleId="861">
    <w:name w:val="Body Text"/>
    <w:basedOn w:val="841"/>
    <w:link w:val="984"/>
    <w:uiPriority w:val="99"/>
    <w:unhideWhenUsed/>
    <w:pPr>
      <w:pBdr/>
      <w:spacing w:after="120"/>
      <w:ind/>
    </w:pPr>
    <w:rPr>
      <w:rFonts w:ascii="微软雅黑" w:hAnsi="微软雅黑" w:eastAsia="微软雅黑" w:cs="微软雅黑"/>
      <w:color w:val="000000"/>
    </w:rPr>
  </w:style>
  <w:style w:type="paragraph" w:styleId="862">
    <w:name w:val="List Number 3"/>
    <w:basedOn w:val="841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rFonts w:ascii="微软雅黑" w:hAnsi="微软雅黑" w:eastAsia="微软雅黑" w:cs="微软雅黑"/>
      <w:color w:val="000000"/>
    </w:rPr>
  </w:style>
  <w:style w:type="paragraph" w:styleId="863">
    <w:name w:val="List 2"/>
    <w:basedOn w:val="841"/>
    <w:uiPriority w:val="99"/>
    <w:unhideWhenUsed/>
    <w:pPr>
      <w:pBdr/>
      <w:spacing/>
      <w:ind w:hanging="360" w:left="720"/>
      <w:contextualSpacing w:val="true"/>
    </w:pPr>
    <w:rPr>
      <w:rFonts w:ascii="微软雅黑" w:hAnsi="微软雅黑" w:eastAsia="微软雅黑" w:cs="微软雅黑"/>
      <w:color w:val="000000"/>
    </w:rPr>
  </w:style>
  <w:style w:type="paragraph" w:styleId="864">
    <w:name w:val="List Continue"/>
    <w:basedOn w:val="841"/>
    <w:uiPriority w:val="99"/>
    <w:unhideWhenUsed/>
    <w:pPr>
      <w:pBdr/>
      <w:spacing w:after="120"/>
      <w:ind w:left="360"/>
      <w:contextualSpacing w:val="true"/>
    </w:pPr>
    <w:rPr>
      <w:rFonts w:ascii="微软雅黑" w:hAnsi="微软雅黑" w:eastAsia="微软雅黑" w:cs="微软雅黑"/>
      <w:color w:val="000000"/>
    </w:rPr>
  </w:style>
  <w:style w:type="paragraph" w:styleId="865">
    <w:name w:val="List Bullet 2"/>
    <w:basedOn w:val="841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rFonts w:ascii="微软雅黑" w:hAnsi="微软雅黑" w:eastAsia="微软雅黑" w:cs="微软雅黑"/>
      <w:color w:val="000000"/>
    </w:rPr>
  </w:style>
  <w:style w:type="paragraph" w:styleId="866">
    <w:name w:val="Footer"/>
    <w:basedOn w:val="841"/>
    <w:link w:val="97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rFonts w:ascii="微软雅黑" w:hAnsi="微软雅黑" w:eastAsia="微软雅黑" w:cs="微软雅黑"/>
      <w:color w:val="000000"/>
    </w:rPr>
  </w:style>
  <w:style w:type="paragraph" w:styleId="867">
    <w:name w:val="Header"/>
    <w:basedOn w:val="841"/>
    <w:link w:val="9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rFonts w:ascii="微软雅黑" w:hAnsi="微软雅黑" w:eastAsia="微软雅黑" w:cs="微软雅黑"/>
      <w:color w:val="000000"/>
    </w:rPr>
  </w:style>
  <w:style w:type="paragraph" w:styleId="868">
    <w:name w:val="Subtitle"/>
    <w:basedOn w:val="841"/>
    <w:next w:val="841"/>
    <w:link w:val="982"/>
    <w:uiPriority w:val="11"/>
    <w:qFormat/>
    <w:pPr>
      <w:pBdr/>
      <w:spacing/>
      <w:ind/>
    </w:pPr>
    <w:rPr>
      <w:rFonts w:ascii="微软雅黑" w:hAnsi="微软雅黑" w:eastAsia="微软雅黑" w:cs="微软雅黑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69">
    <w:name w:val="List"/>
    <w:basedOn w:val="841"/>
    <w:uiPriority w:val="99"/>
    <w:unhideWhenUsed/>
    <w:pPr>
      <w:pBdr/>
      <w:spacing/>
      <w:ind w:hanging="360" w:left="360"/>
      <w:contextualSpacing w:val="true"/>
    </w:pPr>
    <w:rPr>
      <w:rFonts w:ascii="微软雅黑" w:hAnsi="微软雅黑" w:eastAsia="微软雅黑" w:cs="微软雅黑"/>
      <w:color w:val="000000"/>
    </w:rPr>
  </w:style>
  <w:style w:type="paragraph" w:styleId="870">
    <w:name w:val="Body Text 2"/>
    <w:basedOn w:val="841"/>
    <w:link w:val="985"/>
    <w:uiPriority w:val="99"/>
    <w:unhideWhenUsed/>
    <w:pPr>
      <w:pBdr/>
      <w:spacing w:after="120" w:line="480" w:lineRule="auto"/>
      <w:ind/>
    </w:pPr>
    <w:rPr>
      <w:rFonts w:ascii="微软雅黑" w:hAnsi="微软雅黑" w:eastAsia="微软雅黑" w:cs="微软雅黑"/>
      <w:color w:val="000000"/>
    </w:rPr>
  </w:style>
  <w:style w:type="paragraph" w:styleId="871">
    <w:name w:val="List Continue 2"/>
    <w:basedOn w:val="841"/>
    <w:uiPriority w:val="99"/>
    <w:unhideWhenUsed/>
    <w:pPr>
      <w:pBdr/>
      <w:spacing w:after="120"/>
      <w:ind w:left="720"/>
      <w:contextualSpacing w:val="true"/>
    </w:pPr>
    <w:rPr>
      <w:rFonts w:ascii="微软雅黑" w:hAnsi="微软雅黑" w:eastAsia="微软雅黑" w:cs="微软雅黑"/>
      <w:color w:val="000000"/>
    </w:rPr>
  </w:style>
  <w:style w:type="paragraph" w:styleId="872">
    <w:name w:val="List Continue 3"/>
    <w:basedOn w:val="841"/>
    <w:uiPriority w:val="99"/>
    <w:unhideWhenUsed/>
    <w:pPr>
      <w:pBdr/>
      <w:spacing w:after="120"/>
      <w:ind w:left="1080"/>
      <w:contextualSpacing w:val="true"/>
    </w:pPr>
    <w:rPr>
      <w:rFonts w:ascii="微软雅黑" w:hAnsi="微软雅黑" w:eastAsia="微软雅黑" w:cs="微软雅黑"/>
      <w:color w:val="000000"/>
    </w:rPr>
  </w:style>
  <w:style w:type="paragraph" w:styleId="873">
    <w:name w:val="Title"/>
    <w:basedOn w:val="841"/>
    <w:next w:val="841"/>
    <w:link w:val="981"/>
    <w:uiPriority w:val="10"/>
    <w:qFormat/>
    <w:pPr>
      <w:pBdr/>
      <w:spacing w:after="300" w:line="240" w:lineRule="auto"/>
      <w:ind/>
      <w:contextualSpacing w:val="true"/>
    </w:pPr>
    <w:rPr>
      <w:rFonts w:ascii="微软雅黑" w:hAnsi="微软雅黑" w:eastAsia="微软雅黑" w:cs="微软雅黑"/>
      <w:color w:val="000000"/>
      <w:spacing w:val="5"/>
      <w:sz w:val="52"/>
      <w:szCs w:val="52"/>
    </w:rPr>
  </w:style>
  <w:style w:type="table" w:styleId="874">
    <w:name w:val="Table Grid"/>
    <w:basedOn w:val="85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Shading"/>
    <w:basedOn w:val="852"/>
    <w:uiPriority w:val="60"/>
    <w:pPr>
      <w:pBdr/>
      <w:spacing w:after="0" w:line="240" w:lineRule="auto"/>
      <w:ind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Shading Accent 1"/>
    <w:basedOn w:val="852"/>
    <w:uiPriority w:val="60"/>
    <w:pPr>
      <w:pBdr/>
      <w:spacing w:after="0" w:line="240" w:lineRule="auto"/>
      <w:ind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Shading Accent 2"/>
    <w:basedOn w:val="852"/>
    <w:uiPriority w:val="60"/>
    <w:pPr>
      <w:pBdr/>
      <w:spacing w:after="0" w:line="240" w:lineRule="auto"/>
      <w:ind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Shading Accent 3"/>
    <w:basedOn w:val="852"/>
    <w:uiPriority w:val="60"/>
    <w:pPr>
      <w:pBdr/>
      <w:spacing w:after="0" w:line="240" w:lineRule="auto"/>
      <w:ind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Shading Accent 4"/>
    <w:basedOn w:val="852"/>
    <w:uiPriority w:val="60"/>
    <w:pPr>
      <w:pBdr/>
      <w:spacing w:after="0" w:line="240" w:lineRule="auto"/>
      <w:ind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Shading Accent 5"/>
    <w:basedOn w:val="852"/>
    <w:uiPriority w:val="60"/>
    <w:pPr>
      <w:pBdr/>
      <w:spacing w:after="0" w:line="240" w:lineRule="auto"/>
      <w:ind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Shading Accent 6"/>
    <w:basedOn w:val="852"/>
    <w:uiPriority w:val="60"/>
    <w:pPr>
      <w:pBdr/>
      <w:spacing w:after="0" w:line="240" w:lineRule="auto"/>
      <w:ind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List"/>
    <w:basedOn w:val="852"/>
    <w:uiPriority w:val="61"/>
    <w:pPr>
      <w:pBdr/>
      <w:spacing w:after="0" w:line="240" w:lineRule="auto"/>
      <w:ind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List Accent 1"/>
    <w:basedOn w:val="852"/>
    <w:uiPriority w:val="61"/>
    <w:pPr>
      <w:pBdr/>
      <w:spacing w:after="0" w:line="240" w:lineRule="auto"/>
      <w:ind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ght List Accent 2"/>
    <w:basedOn w:val="852"/>
    <w:uiPriority w:val="61"/>
    <w:pPr>
      <w:pBdr/>
      <w:spacing w:after="0" w:line="240" w:lineRule="auto"/>
      <w:ind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ght List Accent 3"/>
    <w:basedOn w:val="852"/>
    <w:uiPriority w:val="61"/>
    <w:pPr>
      <w:pBdr/>
      <w:spacing w:after="0" w:line="240" w:lineRule="auto"/>
      <w:ind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ght List Accent 4"/>
    <w:basedOn w:val="852"/>
    <w:uiPriority w:val="61"/>
    <w:pPr>
      <w:pBdr/>
      <w:spacing w:after="0" w:line="240" w:lineRule="auto"/>
      <w:ind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ght List Accent 5"/>
    <w:basedOn w:val="852"/>
    <w:uiPriority w:val="61"/>
    <w:pPr>
      <w:pBdr/>
      <w:spacing w:after="0" w:line="240" w:lineRule="auto"/>
      <w:ind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ght List Accent 6"/>
    <w:basedOn w:val="852"/>
    <w:uiPriority w:val="61"/>
    <w:pPr>
      <w:pBdr/>
      <w:spacing w:after="0" w:line="240" w:lineRule="auto"/>
      <w:ind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ght Grid"/>
    <w:basedOn w:val="852"/>
    <w:uiPriority w:val="62"/>
    <w:pPr>
      <w:pBdr/>
      <w:spacing w:after="0" w:line="240" w:lineRule="auto"/>
      <w:ind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ght Grid Accent 1"/>
    <w:basedOn w:val="852"/>
    <w:uiPriority w:val="62"/>
    <w:pPr>
      <w:pBdr/>
      <w:spacing w:after="0" w:line="240" w:lineRule="auto"/>
      <w:ind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ght Grid Accent 2"/>
    <w:basedOn w:val="852"/>
    <w:uiPriority w:val="62"/>
    <w:pPr>
      <w:pBdr/>
      <w:spacing w:after="0" w:line="240" w:lineRule="auto"/>
      <w:ind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ght Grid Accent 3"/>
    <w:basedOn w:val="852"/>
    <w:uiPriority w:val="62"/>
    <w:pPr>
      <w:pBdr/>
      <w:spacing w:after="0" w:line="240" w:lineRule="auto"/>
      <w:ind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ght Grid Accent 4"/>
    <w:basedOn w:val="852"/>
    <w:uiPriority w:val="62"/>
    <w:pPr>
      <w:pBdr/>
      <w:spacing w:after="0" w:line="240" w:lineRule="auto"/>
      <w:ind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ght Grid Accent 5"/>
    <w:basedOn w:val="852"/>
    <w:uiPriority w:val="62"/>
    <w:pPr>
      <w:pBdr/>
      <w:spacing w:after="0" w:line="240" w:lineRule="auto"/>
      <w:ind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ght Grid Accent 6"/>
    <w:basedOn w:val="852"/>
    <w:uiPriority w:val="62"/>
    <w:pPr>
      <w:pBdr/>
      <w:spacing w:after="0" w:line="240" w:lineRule="auto"/>
      <w:ind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1"/>
    <w:basedOn w:val="852"/>
    <w:uiPriority w:val="63"/>
    <w:pPr>
      <w:pBdr/>
      <w:spacing w:after="0" w:line="240" w:lineRule="auto"/>
      <w:ind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1 Accent 1"/>
    <w:basedOn w:val="852"/>
    <w:uiPriority w:val="63"/>
    <w:pPr>
      <w:pBdr/>
      <w:spacing w:after="0" w:line="240" w:lineRule="auto"/>
      <w:ind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Shading 1 Accent 2"/>
    <w:basedOn w:val="852"/>
    <w:uiPriority w:val="63"/>
    <w:pPr>
      <w:pBdr/>
      <w:spacing w:after="0" w:line="240" w:lineRule="auto"/>
      <w:ind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Shading 1 Accent 3"/>
    <w:basedOn w:val="852"/>
    <w:uiPriority w:val="63"/>
    <w:pPr>
      <w:pBdr/>
      <w:spacing w:after="0" w:line="240" w:lineRule="auto"/>
      <w:ind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Shading 1 Accent 4"/>
    <w:basedOn w:val="852"/>
    <w:uiPriority w:val="63"/>
    <w:pPr>
      <w:pBdr/>
      <w:spacing w:after="0" w:line="240" w:lineRule="auto"/>
      <w:ind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Shading 1 Accent 5"/>
    <w:basedOn w:val="852"/>
    <w:uiPriority w:val="63"/>
    <w:pPr>
      <w:pBdr/>
      <w:spacing w:after="0" w:line="240" w:lineRule="auto"/>
      <w:ind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Shading 1 Accent 6"/>
    <w:basedOn w:val="852"/>
    <w:uiPriority w:val="63"/>
    <w:pPr>
      <w:pBdr/>
      <w:spacing w:after="0" w:line="240" w:lineRule="auto"/>
      <w:ind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Shading 2"/>
    <w:basedOn w:val="852"/>
    <w:uiPriority w:val="64"/>
    <w:pPr>
      <w:pBdr/>
      <w:spacing w:after="0" w:line="240" w:lineRule="auto"/>
      <w:ind/>
    </w:pPr>
    <w:tblPr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Shading 2 Accent 1"/>
    <w:basedOn w:val="852"/>
    <w:uiPriority w:val="64"/>
    <w:pPr>
      <w:pBdr/>
      <w:spacing w:after="0" w:line="240" w:lineRule="auto"/>
      <w:ind/>
    </w:pPr>
    <w:tblPr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Shading 2 Accent 2"/>
    <w:basedOn w:val="852"/>
    <w:uiPriority w:val="64"/>
    <w:pPr>
      <w:pBdr/>
      <w:spacing w:after="0" w:line="240" w:lineRule="auto"/>
      <w:ind/>
    </w:pPr>
    <w:tblPr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Shading 2 Accent 3"/>
    <w:basedOn w:val="852"/>
    <w:uiPriority w:val="64"/>
    <w:pPr>
      <w:pBdr/>
      <w:spacing w:after="0" w:line="240" w:lineRule="auto"/>
      <w:ind/>
    </w:pPr>
    <w:tblPr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Shading 2 Accent 4"/>
    <w:basedOn w:val="852"/>
    <w:uiPriority w:val="64"/>
    <w:pPr>
      <w:pBdr/>
      <w:spacing w:after="0" w:line="240" w:lineRule="auto"/>
      <w:ind/>
    </w:pPr>
    <w:tblPr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Shading 2 Accent 5"/>
    <w:basedOn w:val="852"/>
    <w:uiPriority w:val="64"/>
    <w:pPr>
      <w:pBdr/>
      <w:spacing w:after="0" w:line="240" w:lineRule="auto"/>
      <w:ind/>
    </w:pPr>
    <w:tblPr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Shading 2 Accent 6"/>
    <w:basedOn w:val="852"/>
    <w:uiPriority w:val="64"/>
    <w:pPr>
      <w:pBdr/>
      <w:spacing w:after="0" w:line="240" w:lineRule="auto"/>
      <w:ind/>
    </w:pPr>
    <w:tblPr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1"/>
    <w:basedOn w:val="852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1 Accent 1"/>
    <w:basedOn w:val="852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List 1 Accent 2"/>
    <w:basedOn w:val="852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List 1 Accent 3"/>
    <w:basedOn w:val="852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List 1 Accent 4"/>
    <w:basedOn w:val="852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List 1 Accent 5"/>
    <w:basedOn w:val="852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List 1 Accent 6"/>
    <w:basedOn w:val="852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List 2"/>
    <w:basedOn w:val="85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List 2 Accent 1"/>
    <w:basedOn w:val="85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List 2 Accent 2"/>
    <w:basedOn w:val="85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List 2 Accent 3"/>
    <w:basedOn w:val="85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List 2 Accent 4"/>
    <w:basedOn w:val="85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List 2 Accent 5"/>
    <w:basedOn w:val="85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List 2 Accent 6"/>
    <w:basedOn w:val="85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1"/>
    <w:basedOn w:val="852"/>
    <w:uiPriority w:val="67"/>
    <w:pPr>
      <w:pBdr/>
      <w:spacing w:after="0" w:line="240" w:lineRule="auto"/>
      <w:ind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1 Accent 1"/>
    <w:basedOn w:val="852"/>
    <w:uiPriority w:val="67"/>
    <w:pPr>
      <w:pBdr/>
      <w:spacing w:after="0" w:line="240" w:lineRule="auto"/>
      <w:ind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1 Accent 2"/>
    <w:basedOn w:val="852"/>
    <w:uiPriority w:val="67"/>
    <w:pPr>
      <w:pBdr/>
      <w:spacing w:after="0" w:line="240" w:lineRule="auto"/>
      <w:ind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1 Accent 3"/>
    <w:basedOn w:val="852"/>
    <w:uiPriority w:val="67"/>
    <w:pPr>
      <w:pBdr/>
      <w:spacing w:after="0" w:line="240" w:lineRule="auto"/>
      <w:ind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1 Accent 4"/>
    <w:basedOn w:val="852"/>
    <w:uiPriority w:val="67"/>
    <w:pPr>
      <w:pBdr/>
      <w:spacing w:after="0" w:line="240" w:lineRule="auto"/>
      <w:ind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1 Accent 5"/>
    <w:basedOn w:val="852"/>
    <w:uiPriority w:val="67"/>
    <w:pPr>
      <w:pBdr/>
      <w:spacing w:after="0" w:line="240" w:lineRule="auto"/>
      <w:ind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1 Accent 6"/>
    <w:basedOn w:val="852"/>
    <w:uiPriority w:val="67"/>
    <w:pPr>
      <w:pBdr/>
      <w:spacing w:after="0" w:line="240" w:lineRule="auto"/>
      <w:ind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2"/>
    <w:basedOn w:val="85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2 Accent 1"/>
    <w:basedOn w:val="85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Medium Grid 2 Accent 2"/>
    <w:basedOn w:val="85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Medium Grid 2 Accent 3"/>
    <w:basedOn w:val="85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Medium Grid 2 Accent 4"/>
    <w:basedOn w:val="85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Medium Grid 2 Accent 5"/>
    <w:basedOn w:val="85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Medium Grid 2 Accent 6"/>
    <w:basedOn w:val="85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Medium Grid 3"/>
    <w:basedOn w:val="852"/>
    <w:uiPriority w:val="69"/>
    <w:pPr>
      <w:pBdr/>
      <w:spacing w:after="0" w:line="240" w:lineRule="auto"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Medium Grid 3 Accent 1"/>
    <w:basedOn w:val="852"/>
    <w:uiPriority w:val="69"/>
    <w:pPr>
      <w:pBdr/>
      <w:spacing w:after="0" w:line="240" w:lineRule="auto"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Medium Grid 3 Accent 2"/>
    <w:basedOn w:val="852"/>
    <w:uiPriority w:val="69"/>
    <w:pPr>
      <w:pBdr/>
      <w:spacing w:after="0" w:line="240" w:lineRule="auto"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Medium Grid 3 Accent 3"/>
    <w:basedOn w:val="852"/>
    <w:uiPriority w:val="69"/>
    <w:pPr>
      <w:pBdr/>
      <w:spacing w:after="0" w:line="240" w:lineRule="auto"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Medium Grid 3 Accent 4"/>
    <w:basedOn w:val="852"/>
    <w:uiPriority w:val="69"/>
    <w:pPr>
      <w:pBdr/>
      <w:spacing w:after="0" w:line="240" w:lineRule="auto"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Medium Grid 3 Accent 5"/>
    <w:basedOn w:val="852"/>
    <w:uiPriority w:val="69"/>
    <w:pPr>
      <w:pBdr/>
      <w:spacing w:after="0" w:line="240" w:lineRule="auto"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Medium Grid 3 Accent 6"/>
    <w:basedOn w:val="852"/>
    <w:uiPriority w:val="69"/>
    <w:pPr>
      <w:pBdr/>
      <w:spacing w:after="0" w:line="240" w:lineRule="auto"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Dark List"/>
    <w:basedOn w:val="852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Dark List Accent 1"/>
    <w:basedOn w:val="852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Dark List Accent 2"/>
    <w:basedOn w:val="852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Dark List Accent 3"/>
    <w:basedOn w:val="852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Dark List Accent 4"/>
    <w:basedOn w:val="852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Dark List Accent 5"/>
    <w:basedOn w:val="852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Dark List Accent 6"/>
    <w:basedOn w:val="852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Shading"/>
    <w:basedOn w:val="852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Shading Accent 1"/>
    <w:basedOn w:val="852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Shading Accent 2"/>
    <w:basedOn w:val="852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Shading Accent 3"/>
    <w:basedOn w:val="852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Shading Accent 4"/>
    <w:basedOn w:val="852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Shading Accent 5"/>
    <w:basedOn w:val="852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Shading Accent 6"/>
    <w:basedOn w:val="852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List"/>
    <w:basedOn w:val="852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List Accent 1"/>
    <w:basedOn w:val="852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Colorful List Accent 2"/>
    <w:basedOn w:val="852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Colorful List Accent 3"/>
    <w:basedOn w:val="852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Colorful List Accent 4"/>
    <w:basedOn w:val="852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Colorful List Accent 5"/>
    <w:basedOn w:val="852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Colorful List Accent 6"/>
    <w:basedOn w:val="852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Colorful Grid"/>
    <w:basedOn w:val="852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Colorful Grid Accent 1"/>
    <w:basedOn w:val="852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Colorful Grid Accent 2"/>
    <w:basedOn w:val="852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Colorful Grid Accent 3"/>
    <w:basedOn w:val="852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Colorful Grid Accent 4"/>
    <w:basedOn w:val="852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Colorful Grid Accent 5"/>
    <w:basedOn w:val="852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Colorful Grid Accent 6"/>
    <w:basedOn w:val="852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3">
    <w:name w:val="Strong"/>
    <w:basedOn w:val="851"/>
    <w:uiPriority w:val="22"/>
    <w:qFormat/>
    <w:pPr>
      <w:pBdr/>
      <w:spacing/>
      <w:ind/>
    </w:pPr>
    <w:rPr>
      <w:b/>
      <w:bCs/>
    </w:rPr>
  </w:style>
  <w:style w:type="character" w:styleId="974">
    <w:name w:val="Emphasis"/>
    <w:basedOn w:val="851"/>
    <w:uiPriority w:val="20"/>
    <w:qFormat/>
    <w:pPr>
      <w:pBdr/>
      <w:spacing/>
      <w:ind/>
    </w:pPr>
    <w:rPr>
      <w:i/>
      <w:iCs/>
    </w:rPr>
  </w:style>
  <w:style w:type="character" w:styleId="975" w:customStyle="1">
    <w:name w:val="Header Char"/>
    <w:basedOn w:val="851"/>
    <w:link w:val="867"/>
    <w:uiPriority w:val="99"/>
    <w:pPr>
      <w:pBdr/>
      <w:spacing/>
      <w:ind/>
    </w:pPr>
  </w:style>
  <w:style w:type="character" w:styleId="976" w:customStyle="1">
    <w:name w:val="Footer Char"/>
    <w:basedOn w:val="851"/>
    <w:link w:val="866"/>
    <w:uiPriority w:val="99"/>
    <w:pPr>
      <w:pBdr/>
      <w:spacing/>
      <w:ind/>
    </w:pPr>
  </w:style>
  <w:style w:type="paragraph" w:styleId="977">
    <w:name w:val="No Spacing"/>
    <w:uiPriority w:val="1"/>
    <w:qFormat/>
    <w:pPr>
      <w:pBdr/>
      <w:spacing w:after="0" w:line="240" w:lineRule="auto"/>
      <w:ind/>
    </w:pPr>
    <w:rPr>
      <w:rFonts w:ascii="微软雅黑" w:hAnsi="微软雅黑" w:eastAsia="微软雅黑" w:cs="微软雅黑"/>
      <w:color w:val="000000"/>
      <w:sz w:val="22"/>
      <w:szCs w:val="22"/>
      <w:lang w:val="en-US" w:eastAsia="en-US" w:bidi="ar-SA"/>
    </w:rPr>
  </w:style>
  <w:style w:type="character" w:styleId="978" w:customStyle="1">
    <w:name w:val="Heading 1 Char"/>
    <w:basedOn w:val="851"/>
    <w:link w:val="84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979" w:customStyle="1">
    <w:name w:val="Heading 2 Char"/>
    <w:basedOn w:val="851"/>
    <w:link w:val="84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980" w:customStyle="1">
    <w:name w:val="Heading 3 Char"/>
    <w:basedOn w:val="851"/>
    <w:link w:val="84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981" w:customStyle="1">
    <w:name w:val="Title Char"/>
    <w:basedOn w:val="851"/>
    <w:link w:val="873"/>
    <w:uiPriority w:val="10"/>
    <w:pPr>
      <w:pBdr/>
      <w:spacing/>
      <w:ind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styleId="982" w:customStyle="1">
    <w:name w:val="Subtitle Char"/>
    <w:basedOn w:val="851"/>
    <w:link w:val="86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83">
    <w:name w:val="List Paragraph"/>
    <w:basedOn w:val="841"/>
    <w:uiPriority w:val="34"/>
    <w:qFormat/>
    <w:pPr>
      <w:pBdr/>
      <w:spacing/>
      <w:ind w:left="720"/>
      <w:contextualSpacing w:val="true"/>
    </w:pPr>
    <w:rPr>
      <w:rFonts w:ascii="微软雅黑" w:hAnsi="微软雅黑" w:eastAsia="微软雅黑" w:cs="微软雅黑"/>
      <w:color w:val="000000"/>
    </w:rPr>
  </w:style>
  <w:style w:type="character" w:styleId="984" w:customStyle="1">
    <w:name w:val="Body Text Char"/>
    <w:basedOn w:val="851"/>
    <w:link w:val="861"/>
    <w:uiPriority w:val="99"/>
    <w:pPr>
      <w:pBdr/>
      <w:spacing/>
      <w:ind/>
    </w:pPr>
  </w:style>
  <w:style w:type="character" w:styleId="985" w:customStyle="1">
    <w:name w:val="Body Text 2 Char"/>
    <w:basedOn w:val="851"/>
    <w:link w:val="870"/>
    <w:uiPriority w:val="99"/>
    <w:pPr>
      <w:pBdr/>
      <w:spacing/>
      <w:ind/>
    </w:pPr>
  </w:style>
  <w:style w:type="character" w:styleId="986" w:customStyle="1">
    <w:name w:val="Body Text 3 Char"/>
    <w:basedOn w:val="851"/>
    <w:link w:val="859"/>
    <w:uiPriority w:val="99"/>
    <w:pPr>
      <w:pBdr/>
      <w:spacing/>
      <w:ind/>
    </w:pPr>
    <w:rPr>
      <w:sz w:val="16"/>
      <w:szCs w:val="16"/>
    </w:rPr>
  </w:style>
  <w:style w:type="character" w:styleId="987" w:customStyle="1">
    <w:name w:val="Macro Text Char"/>
    <w:basedOn w:val="851"/>
    <w:link w:val="85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88">
    <w:name w:val="Quote"/>
    <w:basedOn w:val="841"/>
    <w:next w:val="841"/>
    <w:link w:val="989"/>
    <w:uiPriority w:val="29"/>
    <w:qFormat/>
    <w:pPr>
      <w:pBdr/>
      <w:spacing/>
      <w:ind/>
    </w:pPr>
    <w:rPr>
      <w:rFonts w:ascii="微软雅黑" w:hAnsi="微软雅黑" w:eastAsia="微软雅黑" w:cs="微软雅黑"/>
      <w:i/>
      <w:iCs/>
      <w:color w:val="000000"/>
      <w14:textFill>
        <w14:solidFill>
          <w14:schemeClr w14:val="tx1"/>
        </w14:solidFill>
      </w14:textFill>
    </w:rPr>
  </w:style>
  <w:style w:type="character" w:styleId="989" w:customStyle="1">
    <w:name w:val="Quote Char"/>
    <w:basedOn w:val="851"/>
    <w:link w:val="988"/>
    <w:uiPriority w:val="29"/>
    <w:pPr>
      <w:pBdr/>
      <w:spacing/>
      <w:ind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990" w:customStyle="1">
    <w:name w:val="Heading 4 Char"/>
    <w:basedOn w:val="851"/>
    <w:link w:val="84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991" w:customStyle="1">
    <w:name w:val="Heading 5 Char"/>
    <w:basedOn w:val="851"/>
    <w:link w:val="84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styleId="992" w:customStyle="1">
    <w:name w:val="Heading 6 Char"/>
    <w:basedOn w:val="851"/>
    <w:link w:val="84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993" w:customStyle="1">
    <w:name w:val="Heading 7 Char"/>
    <w:basedOn w:val="851"/>
    <w:link w:val="84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94" w:customStyle="1">
    <w:name w:val="Heading 8 Char"/>
    <w:basedOn w:val="851"/>
    <w:link w:val="84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995" w:customStyle="1">
    <w:name w:val="Heading 9 Char"/>
    <w:basedOn w:val="851"/>
    <w:link w:val="85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96">
    <w:name w:val="Intense Quote"/>
    <w:basedOn w:val="841"/>
    <w:next w:val="841"/>
    <w:link w:val="997"/>
    <w:uiPriority w:val="30"/>
    <w:qFormat/>
    <w:pPr>
      <w:pBdr/>
      <w:spacing w:after="280" w:before="200"/>
      <w:ind w:right="936" w:left="936"/>
    </w:pPr>
    <w:rPr>
      <w:rFonts w:ascii="微软雅黑" w:hAnsi="微软雅黑" w:eastAsia="微软雅黑" w:cs="微软雅黑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97" w:customStyle="1">
    <w:name w:val="Intense Quote Char"/>
    <w:basedOn w:val="851"/>
    <w:link w:val="996"/>
    <w:uiPriority w:val="30"/>
    <w:pPr>
      <w:pBdr/>
      <w:spacing/>
      <w:ind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998" w:customStyle="1">
    <w:name w:val="Subtle Emphasis"/>
    <w:basedOn w:val="851"/>
    <w:uiPriority w:val="19"/>
    <w:qFormat/>
    <w:pPr>
      <w:pBdr/>
      <w:spacing/>
      <w:ind/>
    </w:pPr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99" w:customStyle="1">
    <w:name w:val="Intense Emphasis"/>
    <w:basedOn w:val="851"/>
    <w:uiPriority w:val="21"/>
    <w:qFormat/>
    <w:pPr>
      <w:pBdr/>
      <w:spacing/>
      <w:ind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000" w:customStyle="1">
    <w:name w:val="Subtle Reference"/>
    <w:basedOn w:val="851"/>
    <w:uiPriority w:val="31"/>
    <w:qFormat/>
    <w:pPr>
      <w:pBdr/>
      <w:spacing/>
      <w:ind/>
    </w:pPr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001" w:customStyle="1">
    <w:name w:val="Intense Reference"/>
    <w:basedOn w:val="85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002" w:customStyle="1">
    <w:name w:val="Book Title"/>
    <w:basedOn w:val="85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1003" w:customStyle="1">
    <w:name w:val="TOC Heading"/>
    <w:basedOn w:val="842"/>
    <w:next w:val="841"/>
    <w:uiPriority w:val="39"/>
    <w:semiHidden/>
    <w:unhideWhenUsed/>
    <w:qFormat/>
    <w:pPr>
      <w:pBdr/>
      <w:spacing/>
      <w:ind/>
      <w:outlineLvl w:val="9"/>
    </w:pPr>
    <w:rPr>
      <w:rFonts w:ascii="微软雅黑" w:hAnsi="微软雅黑" w:eastAsia="微软雅黑" w:cs="微软雅黑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DocSecurity>0</DocSecurity>
  <LinksUpToDate>false</LinksUpToDate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吕亚洲</cp:lastModifiedBy>
  <cp:revision>5</cp:revision>
  <dcterms:created xsi:type="dcterms:W3CDTF">2013-12-25T07:15:00Z</dcterms:created>
  <dcterms:modified xsi:type="dcterms:W3CDTF">2026-09-21T08:33:24Z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2052-12.1.26030.26030</vt:lpwstr>
  </property>
  <property fmtid="{D5CDD505-2E9C-101B-9397-08002B2CF9AE}" pid="3" name="ICV">
    <vt:lpwstr>CF6F7916C15E7408E5AFA76AF4B24C5B_43</vt:lpwstr>
  </property>
</Properties>
</file>