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r>
        <w:rPr>
          <w:rFonts w:hint="eastAsia"/>
          <w:lang w:val="en-US" w:eastAsia="zh-CN"/>
        </w:rPr>
        <w:t>车联网超级终端产品战略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880"/>
        <w:gridCol w:w="1413"/>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shd w:val="clear" w:color="auto" w:fill="E7E6E6" w:themeFill="background2"/>
          </w:tcPr>
          <w:p>
            <w:pPr>
              <w:jc w:val="center"/>
              <w:rPr>
                <w:rFonts w:hint="eastAsia"/>
                <w:vertAlign w:val="baseline"/>
                <w:lang w:val="en-US" w:eastAsia="zh-CN"/>
              </w:rPr>
            </w:pPr>
            <w:r>
              <w:rPr>
                <w:rFonts w:hint="eastAsia"/>
                <w:lang w:val="en-US" w:eastAsia="zh-CN"/>
              </w:rPr>
              <w:t>更改历史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8" w:type="dxa"/>
            <w:shd w:val="clear" w:color="auto" w:fill="E7E6E6" w:themeFill="background2"/>
          </w:tcPr>
          <w:p>
            <w:pPr>
              <w:rPr>
                <w:rFonts w:hint="eastAsia"/>
                <w:vertAlign w:val="baseline"/>
                <w:lang w:val="en-US" w:eastAsia="zh-CN"/>
              </w:rPr>
            </w:pPr>
            <w:r>
              <w:rPr>
                <w:rFonts w:hint="eastAsia"/>
                <w:vertAlign w:val="baseline"/>
                <w:lang w:val="en-US" w:eastAsia="zh-CN"/>
              </w:rPr>
              <w:t>版本</w:t>
            </w:r>
          </w:p>
        </w:tc>
        <w:tc>
          <w:tcPr>
            <w:tcW w:w="880" w:type="dxa"/>
            <w:shd w:val="clear" w:color="auto" w:fill="E7E6E6" w:themeFill="background2"/>
          </w:tcPr>
          <w:p>
            <w:pPr>
              <w:rPr>
                <w:rFonts w:hint="eastAsia"/>
                <w:vertAlign w:val="baseline"/>
                <w:lang w:val="en-US" w:eastAsia="zh-CN"/>
              </w:rPr>
            </w:pPr>
            <w:r>
              <w:rPr>
                <w:rFonts w:hint="eastAsia"/>
                <w:vertAlign w:val="baseline"/>
                <w:lang w:val="en-US" w:eastAsia="zh-CN"/>
              </w:rPr>
              <w:t>作者</w:t>
            </w:r>
          </w:p>
        </w:tc>
        <w:tc>
          <w:tcPr>
            <w:tcW w:w="1413" w:type="dxa"/>
            <w:shd w:val="clear" w:color="auto" w:fill="E7E6E6" w:themeFill="background2"/>
          </w:tcPr>
          <w:p>
            <w:pPr>
              <w:rPr>
                <w:rFonts w:hint="eastAsia"/>
                <w:vertAlign w:val="baseline"/>
                <w:lang w:val="en-US" w:eastAsia="zh-CN"/>
              </w:rPr>
            </w:pPr>
            <w:r>
              <w:rPr>
                <w:rFonts w:hint="eastAsia"/>
                <w:vertAlign w:val="baseline"/>
                <w:lang w:val="en-US" w:eastAsia="zh-CN"/>
              </w:rPr>
              <w:t>时间</w:t>
            </w:r>
          </w:p>
        </w:tc>
        <w:tc>
          <w:tcPr>
            <w:tcW w:w="5531" w:type="dxa"/>
            <w:shd w:val="clear" w:color="auto" w:fill="E7E6E6" w:themeFill="background2"/>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8" w:type="dxa"/>
          </w:tcPr>
          <w:p>
            <w:pPr>
              <w:rPr>
                <w:rFonts w:hint="eastAsia"/>
                <w:vertAlign w:val="baseline"/>
                <w:lang w:val="en-US" w:eastAsia="zh-CN"/>
              </w:rPr>
            </w:pPr>
            <w:r>
              <w:rPr>
                <w:rFonts w:hint="eastAsia"/>
                <w:vertAlign w:val="baseline"/>
                <w:lang w:val="en-US" w:eastAsia="zh-CN"/>
              </w:rPr>
              <w:t>1.0</w:t>
            </w:r>
          </w:p>
        </w:tc>
        <w:tc>
          <w:tcPr>
            <w:tcW w:w="880" w:type="dxa"/>
          </w:tcPr>
          <w:p>
            <w:pPr>
              <w:rPr>
                <w:rFonts w:hint="eastAsia"/>
                <w:vertAlign w:val="baseline"/>
                <w:lang w:val="en-US" w:eastAsia="zh-CN"/>
              </w:rPr>
            </w:pPr>
            <w:r>
              <w:rPr>
                <w:rFonts w:hint="eastAsia"/>
                <w:vertAlign w:val="baseline"/>
                <w:lang w:val="en-US" w:eastAsia="zh-CN"/>
              </w:rPr>
              <w:t>Awen</w:t>
            </w:r>
          </w:p>
        </w:tc>
        <w:tc>
          <w:tcPr>
            <w:tcW w:w="1413" w:type="dxa"/>
          </w:tcPr>
          <w:p>
            <w:pPr>
              <w:rPr>
                <w:rFonts w:hint="eastAsia"/>
                <w:vertAlign w:val="baseline"/>
                <w:lang w:val="en-US" w:eastAsia="zh-CN"/>
              </w:rPr>
            </w:pPr>
            <w:r>
              <w:rPr>
                <w:rFonts w:hint="eastAsia"/>
                <w:vertAlign w:val="baseline"/>
                <w:lang w:val="en-US" w:eastAsia="zh-CN"/>
              </w:rPr>
              <w:t>2017.11.13</w:t>
            </w:r>
          </w:p>
        </w:tc>
        <w:tc>
          <w:tcPr>
            <w:tcW w:w="5531" w:type="dxa"/>
          </w:tcPr>
          <w:p>
            <w:pPr>
              <w:rPr>
                <w:rFonts w:hint="eastAsia"/>
                <w:vertAlign w:val="baseline"/>
                <w:lang w:val="en-US" w:eastAsia="zh-CN"/>
              </w:rPr>
            </w:pPr>
            <w:r>
              <w:rPr>
                <w:rFonts w:hint="eastAsia"/>
                <w:vertAlign w:val="baseline"/>
                <w:lang w:val="en-US" w:eastAsia="zh-CN"/>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8" w:type="dxa"/>
          </w:tcPr>
          <w:p>
            <w:pPr>
              <w:rPr>
                <w:rFonts w:hint="eastAsia"/>
                <w:vertAlign w:val="baseline"/>
                <w:lang w:val="en-US" w:eastAsia="zh-CN"/>
              </w:rPr>
            </w:pPr>
          </w:p>
        </w:tc>
        <w:tc>
          <w:tcPr>
            <w:tcW w:w="880"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553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shd w:val="clear" w:color="auto" w:fill="E7E6E6" w:themeFill="background2"/>
          </w:tcPr>
          <w:p>
            <w:pPr>
              <w:jc w:val="center"/>
              <w:rPr>
                <w:rFonts w:hint="eastAsia"/>
                <w:vertAlign w:val="baseline"/>
                <w:lang w:val="en-US" w:eastAsia="zh-CN"/>
              </w:rPr>
            </w:pPr>
            <w:r>
              <w:rPr>
                <w:rFonts w:hint="eastAsia"/>
                <w:lang w:val="en-US" w:eastAsia="zh-CN"/>
              </w:rPr>
              <w:t>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lang w:val="en-US" w:eastAsia="zh-CN"/>
              </w:rPr>
              <w:t>专用车</w:t>
            </w:r>
          </w:p>
        </w:tc>
        <w:tc>
          <w:tcPr>
            <w:tcW w:w="568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lang w:val="en-US" w:eastAsia="zh-CN"/>
              </w:rPr>
              <w:t>专用车联网超级终端</w:t>
            </w:r>
          </w:p>
        </w:tc>
        <w:tc>
          <w:tcPr>
            <w:tcW w:w="5682"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rPr>
                <w:rFonts w:hint="eastAsia"/>
                <w:vertAlign w:val="baseline"/>
                <w:lang w:val="en-US" w:eastAsia="zh-CN"/>
              </w:rPr>
            </w:pPr>
            <w:r>
              <w:rPr>
                <w:rFonts w:hint="eastAsia"/>
                <w:lang w:val="en-US" w:eastAsia="zh-CN"/>
              </w:rPr>
              <w:t>业务应用领域</w:t>
            </w:r>
          </w:p>
        </w:tc>
        <w:tc>
          <w:tcPr>
            <w:tcW w:w="5682"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一、专用车联网超级终端的需求背景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每个业务应用领域都有其专业的技术知识和商业模式壁垒。在我们深入探讨之前，举出几个业务应用领域的具体例子。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b/>
          <w:bCs/>
          <w:lang w:val="en-US" w:eastAsia="zh-CN"/>
        </w:rPr>
      </w:pPr>
      <w:r>
        <w:rPr>
          <w:rFonts w:hint="eastAsia"/>
          <w:b/>
          <w:bCs/>
          <w:lang w:val="en-US" w:eastAsia="zh-CN"/>
        </w:rPr>
        <w:t>例子之一：驾校车辆需要的车联网超级终端。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我国驾照考试已经实现基于卫星高精度定位技术的考试系统信息化。围绕这个领域，形成一个专业的细分市场和几家上市公司。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驾校车辆包含考试车、模拟车、训练车。而按考试科目，又划分为场考和路考。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以考试业务应用相关的考试车，需要车联网终端不但对车辆数据采集方面具有特别的要求，还对车联网终端的后台软件系统的接口、安全性等方面有专门的规定，并且需要每年通过公安部专业的机构监测和认证。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围绕考试业务应用，又衍生考试模拟、日常驾驶培训训练以及考后试驾培训业务，这些业务又对车联网终端和后台系统提出不同的定制需求。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b/>
          <w:bCs/>
          <w:lang w:val="en-US" w:eastAsia="zh-CN"/>
        </w:rPr>
      </w:pPr>
      <w:r>
        <w:rPr>
          <w:rFonts w:hint="eastAsia"/>
          <w:b/>
          <w:bCs/>
          <w:lang w:val="en-US" w:eastAsia="zh-CN"/>
        </w:rPr>
        <w:t>例子之二：混凝土搅拌运输车辆需要的车联网超级终端。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我国的基础建设方面大量采用各种工程机械和专用车辆。数字化施工以实现这个领域的作业智能化可以大大提高工程施工的效率和质量。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以混凝土搅拌车为例，其使用过程中有诸多的要求。任何预拌混凝土在未添加缓凝剂的情况下，都在1小时左右进入初凝状态，这时再进行混凝土浇注施工将影响混凝土的工程质量，因此搅拌车运送预拌混凝土有其时间控制的输送半径，一般控制在1小时以内。环境温度高于+25摄氏度，从装料、运输、到卸料延续时间不得超过60分钟，环境温度低于+25摄氏度，上述时间不得超过90分钟，且搅拌筒总转数不大于300转。混凝土出料完毕后，应迅速对拌筒内部进行冲洗，不及时冲洗，不仅会造成拌筒内混凝土的粘结，使装载量减少，进料不畅，还会给机构带来故障，是事故的诱发因素。空车行驶时，拌筒应以与搅动行驶同样的转速回转，搅拌停止回转，则拌筒滚道与拌筒托轮上会产生压痕并发生异常噪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围绕商品混凝土业务应用领域，只有将混凝土施工技术领域知识与车载信息技术深度融合，才能创新性的开发出搅拌车的智能辅助作业系统，提高商品混凝土企业的生产力。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以上的个例可以看到：我公司所定位的专用车智能化辅助作业，涉及到的专用车在不同的业务应用领域，有千差万别的需求，而每个业务应用领域如果不能与领域背景知识深度融合，则无法发挥信息技术的优势。</w:t>
      </w:r>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二、专用车联网超级终端的竞争策略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前的专用车联网终端领域的竞争还是在各个专用车领域的内部竞争。最大的专用车联网终端市场是交通运输部、公安部、国家安全监管总局为加强道路运输安全管理工作，以“两客一危”为切入点，之后扩展到所有公路货运车辆的车载终端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终端需要满足的技术标准规范如下。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（一）《道路运输车辆卫星定位系统车载终端技术要求》(JT/T 794)；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（二）《道路运输车辆卫星定位系统终端通讯协议及数据格式》（JT/T 808）；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（三）《机动车运行安全技术条件》（GB7258）；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（四）《汽车行驶记录仪》（GB/T 19056）。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这类终端及对应的平台每隔一段时间将会在政府公网上公布企业符合标准的产品型号和企业名单。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另一个正在逐步形成的大市场是电动汽车远程服务与管理系统。这个市场已经制定出国家标准即：GB/T 32960.1-2016，并确立专业的检测机构。这个标准规范是国家工信部主推。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在其它专用车领域目前还没有形成具备全国性影响力的标准与规范，因此我们判断专用车领域的终端竞争和平台的厂家竞争主要将来自这两个市场的既有企业。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三、易通星云专用车联网超级终端的战略选择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b/>
          <w:bCs/>
          <w:lang w:val="en-US" w:eastAsia="zh-CN"/>
        </w:rPr>
      </w:pPr>
      <w:r>
        <w:rPr>
          <w:rFonts w:hint="eastAsia"/>
          <w:b/>
          <w:bCs/>
          <w:lang w:val="en-US" w:eastAsia="zh-CN"/>
        </w:rPr>
        <w:t>共识一：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专用车涉及不同的业务应用领域，而车联网终端作为信息设备，必须要和业务应用领域深度融合，切实为专用车的使用客户带来生产力的提升，才能让车联网终端成为刚需。这就是易通星云提出的为“车联网终端赋予灵魂”这个说法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b/>
          <w:bCs/>
          <w:lang w:val="en-US" w:eastAsia="zh-CN"/>
        </w:rPr>
      </w:pPr>
      <w:r>
        <w:rPr>
          <w:rFonts w:hint="eastAsia"/>
          <w:b/>
          <w:bCs/>
          <w:lang w:val="en-US" w:eastAsia="zh-CN"/>
        </w:rPr>
        <w:t>共识二：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只有长时间浸淫专业应用领域的人或公司与易通星云车联网相关信息技术的深度融合才能提出有助于生产力提升专用车联网系统解决方案。能否寻找到某业务应用领域的人和团队进行合作共赢，是易通星云是否涉足某个专用车领域的决策依据。这是易通星云提出的“借船出海”这个说法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2" w:firstLineChars="200"/>
        <w:jc w:val="both"/>
        <w:textAlignment w:val="auto"/>
        <w:outlineLvl w:val="9"/>
        <w:rPr>
          <w:rFonts w:hint="eastAsia"/>
          <w:b/>
          <w:bCs/>
          <w:lang w:val="en-US" w:eastAsia="zh-CN"/>
        </w:rPr>
      </w:pPr>
      <w:r>
        <w:rPr>
          <w:rFonts w:hint="eastAsia"/>
          <w:b/>
          <w:bCs/>
          <w:lang w:val="en-US" w:eastAsia="zh-CN"/>
        </w:rPr>
        <w:t>共识三：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进入某个业务应用领域，不可避免的会出现反复的用户化定制工作。如果把有限的技术和市场资源投入的无限的用户化定制工作，将导致易通星云的业务无法实现快速规模化增长。易通星云必须抽取车载关键共性的技术，提炼出标准化的计算平台，让车联网超级终端产品成为比尔盖茨眼中每个书房中的PC，乔布斯眼中每个口袋中的智能手机，让星云宝盒成为每台汽车中的可进行车辆业务应用二次开发的标准化产品。它能为车联网应用开发者提供</w:t>
      </w:r>
      <w:r>
        <w:rPr>
          <w:rFonts w:hint="eastAsia"/>
          <w:b/>
          <w:bCs/>
          <w:lang w:val="en-US" w:eastAsia="zh-CN"/>
        </w:rPr>
        <w:t>低门槛的开发接口、调测环境和稳定运行的底层软硬件平台</w:t>
      </w:r>
      <w:r>
        <w:rPr>
          <w:rFonts w:hint="eastAsia"/>
          <w:lang w:val="en-US" w:eastAsia="zh-CN"/>
        </w:rPr>
        <w:t>。这就是易通星云提出的“产品标准化”的含义。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rPr>
          <w:rFonts w:hint="eastAsia"/>
          <w:lang w:val="en-US" w:eastAsia="zh-CN"/>
        </w:rPr>
      </w:pPr>
      <w:r>
        <w:rPr>
          <w:rFonts w:hint="eastAsia"/>
          <w:lang w:val="en-US" w:eastAsia="zh-CN"/>
        </w:rPr>
        <w:br w:type="page"/>
      </w:r>
    </w:p>
    <w:p>
      <w:pPr>
        <w:pStyle w:val="3"/>
        <w:rPr>
          <w:rFonts w:hint="eastAsia"/>
          <w:lang w:val="en-US" w:eastAsia="zh-CN"/>
        </w:rPr>
      </w:pPr>
      <w:r>
        <w:rPr>
          <w:rFonts w:hint="eastAsia"/>
          <w:lang w:val="en-US" w:eastAsia="zh-CN"/>
        </w:rPr>
        <w:t>四、专用车联网超级终端需求输入</w:t>
      </w:r>
    </w:p>
    <w:p>
      <w:pPr>
        <w:pStyle w:val="3"/>
        <w:rPr>
          <w:rFonts w:hint="eastAsia"/>
          <w:lang w:val="en-US" w:eastAsia="zh-CN"/>
        </w:rPr>
      </w:pPr>
      <w:r>
        <w:rPr>
          <w:rFonts w:hint="eastAsia"/>
          <w:lang w:val="en-US" w:eastAsia="zh-CN"/>
        </w:rPr>
        <w:t>4.1 专用车联网超级终端功能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1）对接不同的网络平台，实现相关的协议：nodejs+模块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2）联接不同的配件，对接其接口及私有协议：dbus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3）实现一定的规则逻辑处理：js开发demo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人机交互</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200" w:right="0" w:rightChars="0" w:firstLine="420" w:firstLineChars="0"/>
        <w:jc w:val="both"/>
        <w:textAlignment w:val="auto"/>
        <w:outlineLvl w:val="9"/>
        <w:rPr>
          <w:rFonts w:hint="eastAsia"/>
          <w:lang w:val="en-US" w:eastAsia="zh-CN"/>
        </w:rPr>
      </w:pPr>
      <w:r>
        <w:rPr>
          <w:rFonts w:hint="eastAsia"/>
          <w:lang w:val="en-US" w:eastAsia="zh-CN"/>
        </w:rPr>
        <w:t>本地显示</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200" w:right="0" w:rightChars="0" w:firstLine="420" w:firstLineChars="0"/>
        <w:jc w:val="both"/>
        <w:textAlignment w:val="auto"/>
        <w:outlineLvl w:val="9"/>
        <w:rPr>
          <w:rFonts w:hint="eastAsia"/>
          <w:lang w:val="en-US" w:eastAsia="zh-CN"/>
        </w:rPr>
      </w:pPr>
      <w:r>
        <w:rPr>
          <w:rFonts w:hint="eastAsia"/>
          <w:lang w:val="en-US" w:eastAsia="zh-CN"/>
        </w:rPr>
        <w:t>语音支持（</w:t>
      </w:r>
      <w:bookmarkStart w:id="0" w:name="_GoBack"/>
      <w:bookmarkEnd w:id="0"/>
      <w:r>
        <w:rPr>
          <w:rFonts w:hint="eastAsia"/>
          <w:lang w:val="en-US" w:eastAsia="zh-CN"/>
        </w:rPr>
        <w:t>人机交互接口）：linux C的深度定制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5）感知类</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a、高精度定位类：已有。</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b、视频分析</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c、MEMS传感</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d、超声波</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200"/>
        <w:jc w:val="both"/>
        <w:textAlignment w:val="auto"/>
        <w:outlineLvl w:val="9"/>
        <w:rPr>
          <w:rFonts w:hint="eastAsia"/>
          <w:lang w:val="en-US" w:eastAsia="zh-CN"/>
        </w:rPr>
      </w:pPr>
      <w:r>
        <w:rPr>
          <w:rFonts w:hint="eastAsia"/>
          <w:lang w:val="en-US" w:eastAsia="zh-CN"/>
        </w:rPr>
        <w:t>e、毫米波</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控制类</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200" w:right="0" w:rightChars="0" w:firstLine="420" w:firstLineChars="0"/>
        <w:jc w:val="both"/>
        <w:textAlignment w:val="auto"/>
        <w:outlineLvl w:val="9"/>
        <w:rPr>
          <w:rFonts w:hint="eastAsia"/>
          <w:lang w:val="en-US" w:eastAsia="zh-CN"/>
        </w:rPr>
      </w:pPr>
      <w:r>
        <w:rPr>
          <w:rFonts w:hint="eastAsia"/>
          <w:lang w:val="en-US" w:eastAsia="zh-CN"/>
        </w:rPr>
        <w:t>a、智能控制</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200" w:right="0" w:rightChars="0" w:firstLine="420" w:firstLineChars="0"/>
        <w:jc w:val="both"/>
        <w:textAlignment w:val="auto"/>
        <w:outlineLvl w:val="9"/>
        <w:rPr>
          <w:rFonts w:hint="eastAsia"/>
          <w:lang w:val="en-US" w:eastAsia="zh-CN"/>
        </w:rPr>
      </w:pPr>
      <w:r>
        <w:rPr>
          <w:rFonts w:hint="eastAsia"/>
          <w:lang w:val="en-US" w:eastAsia="zh-CN"/>
        </w:rPr>
        <w:t>b、人工智能</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Impact">
    <w:panose1 w:val="020B0806030902050204"/>
    <w:charset w:val="00"/>
    <w:family w:val="auto"/>
    <w:pitch w:val="default"/>
    <w:sig w:usb0="00000287" w:usb1="00000000" w:usb2="00000000" w:usb3="00000000" w:csb0="2000009F" w:csb1="DFD70000"/>
  </w:font>
  <w:font w:name="Arial Black">
    <w:panose1 w:val="020B0A04020102020204"/>
    <w:charset w:val="00"/>
    <w:family w:val="auto"/>
    <w:pitch w:val="default"/>
    <w:sig w:usb0="00000287" w:usb1="00000000" w:usb2="00000000" w:usb3="00000000" w:csb0="200000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rial-BoldM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10006FF" w:usb1="4000205B" w:usb2="0000001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40001" w:csb1="00000000"/>
  </w:font>
  <w:font w:name="Hiragino Sans GB W3">
    <w:altName w:val="Segoe Print"/>
    <w:panose1 w:val="00000000000000000000"/>
    <w:charset w:val="00"/>
    <w:family w:val="auto"/>
    <w:pitch w:val="default"/>
    <w:sig w:usb0="00000000" w:usb1="00000000" w:usb2="00000000" w:usb3="00000000" w:csb0="00040001" w:csb1="00000000"/>
  </w:font>
  <w:font w:name="sans-serif">
    <w:altName w:val="Segoe Print"/>
    <w:panose1 w:val="00000000000000000000"/>
    <w:charset w:val="00"/>
    <w:family w:val="auto"/>
    <w:pitch w:val="default"/>
    <w:sig w:usb0="00000000" w:usb1="00000000" w:usb2="00000000" w:usb3="00000000" w:csb0="00040001" w:csb1="00000000"/>
  </w:font>
  <w:font w:name="Trebuchet MS">
    <w:panose1 w:val="020B0603020202020204"/>
    <w:charset w:val="00"/>
    <w:family w:val="auto"/>
    <w:pitch w:val="default"/>
    <w:sig w:usb0="00000287" w:usb1="00000000" w:usb2="00000000" w:usb3="00000000" w:csb0="2000009F" w:csb1="0000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92731"/>
    <w:multiLevelType w:val="multilevel"/>
    <w:tmpl w:val="5A092731"/>
    <w:lvl w:ilvl="0" w:tentative="0">
      <w:start w:val="6"/>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092796"/>
    <w:multiLevelType w:val="singleLevel"/>
    <w:tmpl w:val="5A092796"/>
    <w:lvl w:ilvl="0" w:tentative="0">
      <w:start w:val="4"/>
      <w:numFmt w:val="decimal"/>
      <w:suff w:val="nothing"/>
      <w:lvlText w:val="%1）"/>
      <w:lvlJc w:val="left"/>
    </w:lvl>
  </w:abstractNum>
  <w:abstractNum w:abstractNumId="2">
    <w:nsid w:val="5A0927A5"/>
    <w:multiLevelType w:val="singleLevel"/>
    <w:tmpl w:val="5A0927A5"/>
    <w:lvl w:ilvl="0" w:tentative="0">
      <w:start w:val="1"/>
      <w:numFmt w:val="low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11799"/>
    <w:rsid w:val="023D210B"/>
    <w:rsid w:val="04971327"/>
    <w:rsid w:val="0509410E"/>
    <w:rsid w:val="0BB87277"/>
    <w:rsid w:val="123A511F"/>
    <w:rsid w:val="1405200E"/>
    <w:rsid w:val="18BB7085"/>
    <w:rsid w:val="1D487C49"/>
    <w:rsid w:val="203A3217"/>
    <w:rsid w:val="212F6E2B"/>
    <w:rsid w:val="21CC6863"/>
    <w:rsid w:val="2DD84231"/>
    <w:rsid w:val="37767823"/>
    <w:rsid w:val="3F0703B5"/>
    <w:rsid w:val="3F5E4A62"/>
    <w:rsid w:val="3F7C67DB"/>
    <w:rsid w:val="407E43E5"/>
    <w:rsid w:val="420D2CB4"/>
    <w:rsid w:val="467474DB"/>
    <w:rsid w:val="46F11799"/>
    <w:rsid w:val="492E0CDA"/>
    <w:rsid w:val="49AC2C5D"/>
    <w:rsid w:val="4DDD25D8"/>
    <w:rsid w:val="4FC125E3"/>
    <w:rsid w:val="52D1441D"/>
    <w:rsid w:val="545E17DE"/>
    <w:rsid w:val="54891DC4"/>
    <w:rsid w:val="54F42FEC"/>
    <w:rsid w:val="67D622DF"/>
    <w:rsid w:val="682668DF"/>
    <w:rsid w:val="6F396581"/>
    <w:rsid w:val="7118482A"/>
    <w:rsid w:val="78E13EF4"/>
    <w:rsid w:val="7B296B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unhideWhenUsed/>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1 Char"/>
    <w:basedOn w:val="6"/>
    <w:link w:val="2"/>
    <w:qFormat/>
    <w:uiPriority w:val="9"/>
    <w:rPr>
      <w:rFonts w:cs="微软雅黑" w:asciiTheme="minorAscii" w:hAnsiTheme="minorAscii" w:eastAsiaTheme="minorEastAsia"/>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2017-11-13T02:04:00Z</dcterms:created>
  <dc:creator>lvyu</dc:creator>
  <cp:lastModifiedBy>lvyu</cp:lastModifiedBy>
  <dcterms:modified xsi:type="dcterms:W3CDTF">2017-11-13T04:55:04Z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