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D8F3DA">
      <w:pPr>
        <w:jc w:val="center"/>
        <w:rPr>
          <w:rFonts w:hint="eastAsia" w:ascii="黑体" w:hAnsi="黑体" w:eastAsia="黑体"/>
          <w:sz w:val="48"/>
          <w:szCs w:val="48"/>
        </w:rPr>
      </w:pPr>
    </w:p>
    <w:p w14:paraId="780FC0CB">
      <w:pPr>
        <w:jc w:val="center"/>
        <w:rPr>
          <w:rFonts w:hint="eastAsia" w:ascii="黑体" w:hAnsi="黑体" w:eastAsia="黑体"/>
          <w:sz w:val="48"/>
          <w:szCs w:val="48"/>
        </w:rPr>
      </w:pPr>
      <w:r>
        <w:rPr>
          <w:rFonts w:hint="eastAsia" w:ascii="黑体" w:hAnsi="黑体" w:eastAsia="黑体"/>
          <w:sz w:val="48"/>
          <w:szCs w:val="48"/>
        </w:rPr>
        <w:t>实验报告</w:t>
      </w:r>
    </w:p>
    <w:p w14:paraId="0F641A58">
      <w:pPr>
        <w:rPr>
          <w:rFonts w:hint="eastAsia"/>
        </w:rPr>
      </w:pPr>
    </w:p>
    <w:p w14:paraId="0E535958">
      <w:pPr>
        <w:rPr>
          <w:rFonts w:hint="eastAsia"/>
        </w:rPr>
      </w:pPr>
    </w:p>
    <w:p w14:paraId="2E97415D">
      <w:pPr>
        <w:rPr>
          <w:rFonts w:hint="eastAsia"/>
        </w:rPr>
      </w:pPr>
    </w:p>
    <w:p w14:paraId="7BB34FB1">
      <w:pPr>
        <w:rPr>
          <w:rFonts w:hint="eastAsia"/>
        </w:rPr>
      </w:pPr>
    </w:p>
    <w:tbl>
      <w:tblPr>
        <w:tblStyle w:val="9"/>
        <w:tblW w:w="0" w:type="auto"/>
        <w:tblInd w:w="17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4531"/>
      </w:tblGrid>
      <w:tr w14:paraId="0D835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2905415F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实验名称：</w:t>
            </w:r>
          </w:p>
        </w:tc>
        <w:tc>
          <w:tcPr>
            <w:tcW w:w="4531" w:type="dxa"/>
          </w:tcPr>
          <w:p w14:paraId="1F07ED9D">
            <w:pPr>
              <w:spacing w:line="480" w:lineRule="auto"/>
              <w:rPr>
                <w:rFonts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 xml:space="preserve">实验八 </w:t>
            </w:r>
            <w:r>
              <w:rPr>
                <w:rFonts w:ascii="宋体" w:hAnsi="宋体" w:eastAsia="宋体"/>
                <w:sz w:val="32"/>
                <w:u w:val="single"/>
                <w:lang w:val="en-US" w:eastAsia="zh-CN"/>
              </w:rPr>
              <w:t xml:space="preserve">BGP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实验</w:t>
            </w:r>
          </w:p>
          <w:p w14:paraId="49A9ADF5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</w:p>
        </w:tc>
      </w:tr>
      <w:tr w14:paraId="360C5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3D4086A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课程名称：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78537DC1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网络架构与安全实习</w:t>
            </w:r>
          </w:p>
        </w:tc>
      </w:tr>
      <w:tr w14:paraId="2C12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13964624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姓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名：</w:t>
            </w:r>
          </w:p>
        </w:tc>
        <w:tc>
          <w:tcPr>
            <w:tcW w:w="4531" w:type="dxa"/>
          </w:tcPr>
          <w:p w14:paraId="070D80CA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吕仔贤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</w:t>
            </w:r>
          </w:p>
        </w:tc>
      </w:tr>
      <w:tr w14:paraId="3DE18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5A8E2EC9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学 </w:t>
            </w:r>
            <w:r>
              <w:rPr>
                <w:rFonts w:ascii="宋体" w:hAnsi="宋体" w:eastAsia="宋体"/>
                <w:sz w:val="32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</w:rPr>
              <w:t>号：</w:t>
            </w:r>
          </w:p>
        </w:tc>
        <w:tc>
          <w:tcPr>
            <w:tcW w:w="4531" w:type="dxa"/>
          </w:tcPr>
          <w:p w14:paraId="1BA5ACC3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2311320111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         </w:t>
            </w:r>
          </w:p>
        </w:tc>
      </w:tr>
      <w:tr w14:paraId="0BDB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F73AEAC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专业班级：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6400C03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网安 23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级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</w:t>
            </w:r>
          </w:p>
        </w:tc>
      </w:tr>
      <w:tr w14:paraId="33C67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C81154B">
            <w:pPr>
              <w:spacing w:line="480" w:lineRule="auto"/>
              <w:jc w:val="distribute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院 </w:t>
            </w:r>
            <w:r>
              <w:rPr>
                <w:rFonts w:ascii="宋体" w:hAnsi="宋体" w:eastAsia="宋体"/>
                <w:sz w:val="32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</w:rPr>
              <w:t>系：</w:t>
            </w:r>
            <w:r>
              <w:rPr>
                <w:rFonts w:ascii="宋体" w:hAnsi="宋体" w:eastAsia="宋体"/>
                <w:sz w:val="32"/>
              </w:rPr>
              <w:t xml:space="preserve"> </w:t>
            </w:r>
          </w:p>
        </w:tc>
        <w:tc>
          <w:tcPr>
            <w:tcW w:w="4531" w:type="dxa"/>
          </w:tcPr>
          <w:p w14:paraId="2F1AD768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u w:val="single"/>
              </w:rPr>
              <w:t xml:space="preserve"> </w:t>
            </w:r>
            <w:r>
              <w:rPr>
                <w:rFonts w:ascii="宋体" w:hAnsi="宋体" w:eastAsia="宋体"/>
                <w:u w:val="single"/>
              </w:rPr>
              <w:t xml:space="preserve">     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软件学院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  <w:tr w14:paraId="48E16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611D1A50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>实验日期：</w:t>
            </w:r>
          </w:p>
        </w:tc>
        <w:tc>
          <w:tcPr>
            <w:tcW w:w="4531" w:type="dxa"/>
          </w:tcPr>
          <w:p w14:paraId="348762AE">
            <w:pPr>
              <w:spacing w:line="480" w:lineRule="auto"/>
              <w:rPr>
                <w:rFonts w:hint="eastAsia" w:ascii="宋体" w:hAnsi="宋体" w:eastAsia="宋体"/>
                <w:sz w:val="32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202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>5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年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 xml:space="preserve">4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月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hint="eastAsia" w:ascii="宋体" w:hAnsi="宋体" w:eastAsia="宋体"/>
                <w:sz w:val="32"/>
                <w:u w:val="single"/>
                <w:lang w:val="en-US" w:eastAsia="zh-CN"/>
              </w:rPr>
              <w:t>20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日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</w:t>
            </w:r>
          </w:p>
        </w:tc>
      </w:tr>
      <w:tr w14:paraId="119D2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</w:trPr>
        <w:tc>
          <w:tcPr>
            <w:tcW w:w="1843" w:type="dxa"/>
          </w:tcPr>
          <w:p w14:paraId="0AD69FA3">
            <w:pPr>
              <w:spacing w:line="480" w:lineRule="auto"/>
              <w:rPr>
                <w:rFonts w:hint="eastAsia" w:ascii="宋体" w:hAnsi="宋体" w:eastAsia="宋体"/>
                <w:sz w:val="32"/>
              </w:rPr>
            </w:pPr>
            <w:r>
              <w:rPr>
                <w:rFonts w:hint="eastAsia" w:ascii="宋体" w:hAnsi="宋体" w:eastAsia="宋体"/>
                <w:sz w:val="32"/>
              </w:rPr>
              <w:t xml:space="preserve">指导老师： </w:t>
            </w:r>
          </w:p>
        </w:tc>
        <w:tc>
          <w:tcPr>
            <w:tcW w:w="4531" w:type="dxa"/>
          </w:tcPr>
          <w:p w14:paraId="66B6E5DD">
            <w:pPr>
              <w:spacing w:line="480" w:lineRule="auto"/>
              <w:rPr>
                <w:rFonts w:hint="eastAsia" w:ascii="宋体" w:hAnsi="宋体" w:eastAsia="宋体"/>
                <w:u w:val="single"/>
              </w:rPr>
            </w:pP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</w:t>
            </w:r>
            <w:r>
              <w:rPr>
                <w:rFonts w:hint="eastAsia" w:ascii="宋体" w:hAnsi="宋体" w:eastAsia="宋体"/>
                <w:sz w:val="32"/>
                <w:u w:val="single"/>
              </w:rPr>
              <w:t xml:space="preserve">孙士民 </w:t>
            </w:r>
            <w:r>
              <w:rPr>
                <w:rFonts w:ascii="宋体" w:hAnsi="宋体" w:eastAsia="宋体"/>
                <w:sz w:val="32"/>
                <w:u w:val="single"/>
              </w:rPr>
              <w:t xml:space="preserve">      </w:t>
            </w:r>
          </w:p>
        </w:tc>
      </w:tr>
    </w:tbl>
    <w:p w14:paraId="558FFEAD">
      <w:pPr>
        <w:rPr>
          <w:rFonts w:hint="eastAsia"/>
        </w:rPr>
      </w:pPr>
    </w:p>
    <w:p w14:paraId="102A0BF1">
      <w:pPr>
        <w:rPr>
          <w:rFonts w:hint="eastAsia"/>
        </w:rPr>
      </w:pPr>
    </w:p>
    <w:p w14:paraId="3818CEE7">
      <w:pPr>
        <w:rPr>
          <w:rFonts w:hint="eastAsia"/>
        </w:rPr>
      </w:pPr>
    </w:p>
    <w:p w14:paraId="2AC65028">
      <w:pPr>
        <w:rPr>
          <w:rFonts w:hint="eastAsia"/>
        </w:rPr>
      </w:pPr>
    </w:p>
    <w:p w14:paraId="14FDD903">
      <w:pPr>
        <w:rPr>
          <w:rFonts w:hint="eastAsia"/>
        </w:rPr>
      </w:pPr>
    </w:p>
    <w:p w14:paraId="697B10B1">
      <w:pPr>
        <w:rPr>
          <w:rFonts w:hint="eastAsia"/>
        </w:rPr>
      </w:pPr>
    </w:p>
    <w:p w14:paraId="313C56E1">
      <w:pPr>
        <w:rPr>
          <w:rFonts w:hint="eastAsia"/>
        </w:rPr>
      </w:pPr>
    </w:p>
    <w:p w14:paraId="72DDC3E3">
      <w:pPr>
        <w:rPr>
          <w:rFonts w:hint="eastAsia"/>
        </w:rPr>
      </w:pPr>
    </w:p>
    <w:p w14:paraId="40B0C69D">
      <w:pPr>
        <w:jc w:val="center"/>
        <w:rPr>
          <w:rFonts w:hint="eastAsia"/>
          <w:sz w:val="32"/>
        </w:rPr>
      </w:pPr>
      <w:r>
        <w:rPr>
          <w:rFonts w:hint="eastAsia"/>
          <w:sz w:val="32"/>
        </w:rPr>
        <w:t>天津工业大学</w:t>
      </w:r>
    </w:p>
    <w:p w14:paraId="58C04548">
      <w:pPr>
        <w:rPr>
          <w:rFonts w:hint="eastAsia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B834CF6">
      <w:pPr>
        <w:pStyle w:val="13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ascii="宋体" w:hAnsi="宋体" w:eastAsia="宋体"/>
          <w:b/>
          <w:sz w:val="28"/>
          <w:szCs w:val="28"/>
        </w:rPr>
        <w:t>实验</w:t>
      </w:r>
      <w:r>
        <w:rPr>
          <w:rFonts w:hint="eastAsia" w:ascii="宋体" w:hAnsi="宋体" w:eastAsia="宋体"/>
          <w:b/>
          <w:sz w:val="28"/>
          <w:szCs w:val="28"/>
        </w:rPr>
        <w:t>目的</w:t>
      </w:r>
      <w:r>
        <w:rPr>
          <w:rFonts w:ascii="宋体" w:hAnsi="宋体" w:eastAsia="宋体"/>
          <w:b/>
          <w:sz w:val="28"/>
          <w:szCs w:val="28"/>
        </w:rPr>
        <w:t>：</w:t>
      </w:r>
    </w:p>
    <w:p w14:paraId="3E4F1604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掌握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BGP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的基本工作原理 </w:t>
      </w:r>
    </w:p>
    <w:p w14:paraId="5FAB8B99">
      <w:pPr>
        <w:keepNext w:val="0"/>
        <w:keepLines w:val="0"/>
        <w:widowControl/>
        <w:numPr>
          <w:ilvl w:val="0"/>
          <w:numId w:val="2"/>
        </w:numPr>
        <w:suppressLineNumbers w:val="0"/>
        <w:ind w:left="425" w:leftChars="0" w:hanging="425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掌握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IBGP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 xml:space="preserve">与 </w:t>
      </w:r>
      <w:r>
        <w:rPr>
          <w:rFonts w:hint="default" w:ascii="Times New Roman" w:hAnsi="Times New Roman" w:eastAsia="宋体" w:cs="Times New Roman"/>
          <w:color w:val="000000"/>
          <w:kern w:val="0"/>
          <w:sz w:val="22"/>
          <w:szCs w:val="22"/>
          <w:lang w:val="en-US" w:eastAsia="zh-CN" w:bidi="ar"/>
        </w:rPr>
        <w:t xml:space="preserve">EBGP </w:t>
      </w:r>
      <w:r>
        <w:rPr>
          <w:rFonts w:hint="eastAsia" w:ascii="宋体" w:hAnsi="宋体" w:eastAsia="宋体" w:cs="宋体"/>
          <w:color w:val="000000"/>
          <w:kern w:val="0"/>
          <w:sz w:val="22"/>
          <w:szCs w:val="22"/>
          <w:lang w:val="en-US" w:eastAsia="zh-CN" w:bidi="ar"/>
        </w:rPr>
        <w:t>邻居的基本配置方法</w:t>
      </w:r>
    </w:p>
    <w:p w14:paraId="08C5ED53">
      <w:pPr>
        <w:pStyle w:val="13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实验环境：</w:t>
      </w:r>
    </w:p>
    <w:p w14:paraId="21FBF1E8">
      <w:pPr>
        <w:bidi w:val="0"/>
      </w:pPr>
      <w:r>
        <w:rPr>
          <w:lang w:val="en-US" w:eastAsia="zh-CN"/>
        </w:rPr>
        <w:t>•</w:t>
      </w:r>
      <w:r>
        <w:rPr>
          <w:rFonts w:hint="default"/>
          <w:lang w:val="en-US" w:eastAsia="zh-CN"/>
        </w:rPr>
        <w:t xml:space="preserve">5 </w:t>
      </w:r>
      <w:r>
        <w:rPr>
          <w:rFonts w:hint="eastAsia"/>
          <w:lang w:val="en-US" w:eastAsia="zh-CN"/>
        </w:rPr>
        <w:t>台路由器，见拓扑图中设备</w:t>
      </w:r>
    </w:p>
    <w:p w14:paraId="742035A2">
      <w:pPr>
        <w:pStyle w:val="13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实验需求：</w:t>
      </w:r>
    </w:p>
    <w:p w14:paraId="4D8D88BA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 xml:space="preserve">按照拓扑搭建网络，所有设备均创建 Loopback0 接口，AR1 和 AR2 是 IBGP 邻居关系，IGP协议使用 OSPF。AR3、A4 和 AR5 是 IBGP 邻居关系，IGP 协议使用 RIP。 </w:t>
      </w:r>
    </w:p>
    <w:p w14:paraId="7824EAFB">
      <w:pPr>
        <w:numPr>
          <w:ilvl w:val="0"/>
          <w:numId w:val="3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R2 与 R3 间使用环回接口借助静态路由建立 EBGP 邻居关系。</w:t>
      </w:r>
    </w:p>
    <w:p w14:paraId="3FD71DB3">
      <w:pPr>
        <w:pStyle w:val="13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8"/>
          <w:szCs w:val="28"/>
        </w:rPr>
      </w:pPr>
      <w:r>
        <w:rPr>
          <w:rFonts w:hint="eastAsia" w:ascii="宋体" w:hAnsi="宋体" w:eastAsia="宋体"/>
          <w:b/>
          <w:sz w:val="28"/>
          <w:szCs w:val="28"/>
        </w:rPr>
        <w:t>实验拓扑：</w:t>
      </w:r>
    </w:p>
    <w:p w14:paraId="3EA3AFB2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5259070" cy="1768475"/>
            <wp:effectExtent l="0" t="0" r="1143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69520">
      <w:pPr>
        <w:pStyle w:val="13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b/>
          <w:sz w:val="24"/>
        </w:rPr>
      </w:pPr>
      <w:r>
        <w:rPr>
          <w:rFonts w:hint="eastAsia" w:ascii="宋体" w:hAnsi="宋体" w:eastAsia="宋体"/>
          <w:b/>
          <w:sz w:val="24"/>
        </w:rPr>
        <w:t>实验步骤及结果：</w:t>
      </w:r>
      <w:r>
        <w:rPr>
          <w:rFonts w:ascii="宋体" w:hAnsi="宋体" w:eastAsia="宋体"/>
          <w:b/>
          <w:sz w:val="24"/>
        </w:rPr>
        <w:t xml:space="preserve"> </w:t>
      </w:r>
    </w:p>
    <w:p w14:paraId="7A203621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</w:rPr>
      </w:pPr>
      <w:r>
        <w:rPr>
          <w:rFonts w:hint="eastAsia" w:ascii="宋体" w:hAnsi="宋体" w:eastAsia="宋体"/>
          <w:sz w:val="24"/>
          <w:lang w:val="en-US" w:eastAsia="zh-CN"/>
        </w:rPr>
        <w:t>配置各路由器各接口和环回接口的 IP 地址</w:t>
      </w:r>
      <w:r>
        <w:rPr>
          <w:rFonts w:hint="eastAsia" w:ascii="宋体" w:hAnsi="宋体"/>
          <w:sz w:val="24"/>
          <w:lang w:val="en-US" w:eastAsia="zh-CN"/>
        </w:rPr>
        <w:t>（以R4为例）</w:t>
      </w:r>
    </w:p>
    <w:p w14:paraId="25AED60C">
      <w:pPr>
        <w:spacing w:line="360" w:lineRule="auto"/>
      </w:pPr>
      <w:r>
        <w:drawing>
          <wp:inline distT="0" distB="0" distL="114300" distR="114300">
            <wp:extent cx="3772535" cy="2019300"/>
            <wp:effectExtent l="0" t="0" r="1206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535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0EDC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说明：用dis ip int brief核对配置是否正确</w:t>
      </w:r>
    </w:p>
    <w:p w14:paraId="1617905A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配置 OSPF（</w:t>
      </w:r>
      <w:r>
        <w:rPr>
          <w:rFonts w:hint="default" w:ascii="宋体" w:hAnsi="宋体" w:eastAsia="宋体"/>
          <w:sz w:val="24"/>
          <w:lang w:val="en-US" w:eastAsia="zh-CN"/>
        </w:rPr>
        <w:t xml:space="preserve">AS100 </w:t>
      </w:r>
      <w:r>
        <w:rPr>
          <w:rFonts w:hint="eastAsia" w:ascii="宋体" w:hAnsi="宋体" w:eastAsia="宋体"/>
          <w:sz w:val="24"/>
          <w:lang w:val="en-US" w:eastAsia="zh-CN"/>
        </w:rPr>
        <w:t xml:space="preserve">内部的 </w:t>
      </w:r>
      <w:r>
        <w:rPr>
          <w:rFonts w:hint="default" w:ascii="宋体" w:hAnsi="宋体" w:eastAsia="宋体"/>
          <w:sz w:val="24"/>
          <w:lang w:val="en-US" w:eastAsia="zh-CN"/>
        </w:rPr>
        <w:t xml:space="preserve">AR1 </w:t>
      </w:r>
      <w:r>
        <w:rPr>
          <w:rFonts w:hint="eastAsia" w:ascii="宋体" w:hAnsi="宋体" w:eastAsia="宋体"/>
          <w:sz w:val="24"/>
          <w:lang w:val="en-US" w:eastAsia="zh-CN"/>
        </w:rPr>
        <w:t xml:space="preserve">和 </w:t>
      </w:r>
      <w:r>
        <w:rPr>
          <w:rFonts w:hint="default" w:ascii="宋体" w:hAnsi="宋体" w:eastAsia="宋体"/>
          <w:sz w:val="24"/>
          <w:lang w:val="en-US" w:eastAsia="zh-CN"/>
        </w:rPr>
        <w:t>AR2</w:t>
      </w:r>
      <w:r>
        <w:rPr>
          <w:rFonts w:hint="eastAsia" w:ascii="宋体" w:hAnsi="宋体" w:eastAsia="宋体"/>
          <w:sz w:val="24"/>
          <w:lang w:val="en-US" w:eastAsia="zh-CN"/>
        </w:rPr>
        <w:t xml:space="preserve">），将环回地址和相关网络宣告到 </w:t>
      </w:r>
      <w:r>
        <w:rPr>
          <w:rFonts w:hint="default" w:ascii="宋体" w:hAnsi="宋体" w:eastAsia="宋体"/>
          <w:sz w:val="24"/>
          <w:lang w:val="en-US" w:eastAsia="zh-CN"/>
        </w:rPr>
        <w:t>OSPF</w:t>
      </w:r>
      <w:r>
        <w:rPr>
          <w:rFonts w:hint="eastAsia" w:ascii="宋体" w:hAnsi="宋体"/>
          <w:sz w:val="24"/>
          <w:lang w:val="en-US" w:eastAsia="zh-CN"/>
        </w:rPr>
        <w:t>（以R1为例）</w:t>
      </w:r>
    </w:p>
    <w:p w14:paraId="33334410">
      <w:pPr>
        <w:spacing w:line="360" w:lineRule="auto"/>
      </w:pPr>
      <w:r>
        <w:drawing>
          <wp:inline distT="0" distB="0" distL="114300" distR="114300">
            <wp:extent cx="5273040" cy="113538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34272">
      <w:pPr>
        <w:spacing w:line="360" w:lineRule="auto"/>
      </w:pPr>
      <w:r>
        <w:drawing>
          <wp:inline distT="0" distB="0" distL="114300" distR="114300">
            <wp:extent cx="5274310" cy="1473200"/>
            <wp:effectExtent l="0" t="0" r="889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7E54">
      <w:pPr>
        <w:spacing w:line="360" w:lineRule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说明：查看路由表可知:通过OSPF协议学到了去往2.2.2.的路由，数据会从本地GE接口发出，交给下一跳12.1.1.2处理</w:t>
      </w:r>
    </w:p>
    <w:p w14:paraId="451A3FC0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配置 RIP （</w:t>
      </w:r>
      <w:r>
        <w:rPr>
          <w:rFonts w:hint="default" w:ascii="宋体" w:hAnsi="宋体" w:eastAsia="宋体"/>
          <w:sz w:val="24"/>
          <w:lang w:val="en-US" w:eastAsia="zh-CN"/>
        </w:rPr>
        <w:t>AS200</w:t>
      </w:r>
      <w:r>
        <w:rPr>
          <w:rFonts w:hint="eastAsia" w:ascii="宋体" w:hAnsi="宋体" w:eastAsia="宋体"/>
          <w:sz w:val="24"/>
          <w:lang w:val="en-US" w:eastAsia="zh-CN"/>
        </w:rPr>
        <w:t xml:space="preserve">内部的 </w:t>
      </w:r>
      <w:r>
        <w:rPr>
          <w:rFonts w:hint="default" w:ascii="宋体" w:hAnsi="宋体" w:eastAsia="宋体"/>
          <w:sz w:val="24"/>
          <w:lang w:val="en-US" w:eastAsia="zh-CN"/>
        </w:rPr>
        <w:t xml:space="preserve">AR3, AR4 </w:t>
      </w:r>
      <w:r>
        <w:rPr>
          <w:rFonts w:hint="eastAsia" w:ascii="宋体" w:hAnsi="宋体" w:eastAsia="宋体"/>
          <w:sz w:val="24"/>
          <w:lang w:val="en-US" w:eastAsia="zh-CN"/>
        </w:rPr>
        <w:t xml:space="preserve">和 </w:t>
      </w:r>
      <w:r>
        <w:rPr>
          <w:rFonts w:hint="default" w:ascii="宋体" w:hAnsi="宋体" w:eastAsia="宋体"/>
          <w:sz w:val="24"/>
          <w:lang w:val="en-US" w:eastAsia="zh-CN"/>
        </w:rPr>
        <w:t>AR5</w:t>
      </w:r>
      <w:r>
        <w:rPr>
          <w:rFonts w:hint="eastAsia" w:ascii="宋体" w:hAnsi="宋体" w:eastAsia="宋体"/>
          <w:sz w:val="24"/>
          <w:lang w:val="en-US" w:eastAsia="zh-CN"/>
        </w:rPr>
        <w:t xml:space="preserve">），将环回地址和相关网络宣告到 </w:t>
      </w:r>
      <w:r>
        <w:rPr>
          <w:rFonts w:hint="default" w:ascii="宋体" w:hAnsi="宋体" w:eastAsia="宋体"/>
          <w:sz w:val="24"/>
          <w:lang w:val="en-US" w:eastAsia="zh-CN"/>
        </w:rPr>
        <w:t>OSPF</w:t>
      </w:r>
      <w:r>
        <w:rPr>
          <w:rFonts w:hint="eastAsia" w:ascii="宋体" w:hAnsi="宋体"/>
          <w:sz w:val="24"/>
          <w:lang w:val="en-US" w:eastAsia="zh-CN"/>
        </w:rPr>
        <w:t>（以R4为例）</w:t>
      </w:r>
    </w:p>
    <w:p w14:paraId="11BF5B8E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2581275" cy="2247900"/>
            <wp:effectExtent l="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AFC5">
      <w:pPr>
        <w:spacing w:line="360" w:lineRule="auto"/>
        <w:rPr>
          <w:rFonts w:hint="eastAsia" w:ascii="宋体" w:hAnsi="宋体" w:eastAsia="宋体"/>
          <w:sz w:val="24"/>
        </w:rPr>
      </w:pPr>
      <w:r>
        <w:drawing>
          <wp:inline distT="0" distB="0" distL="114300" distR="114300">
            <wp:extent cx="3829050" cy="2684780"/>
            <wp:effectExtent l="0" t="0" r="635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E0A81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说明：查看路由表可知：</w:t>
      </w:r>
    </w:p>
    <w:p w14:paraId="16D242A2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去往 4.0.0.0/8 的路由</w:t>
      </w:r>
    </w:p>
    <w:p w14:paraId="4B9788C2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通过 RIP协议 学到，数据从本地 GigabitEthernet 接口发出，交给下一跳 34.1.1.2 处理，跳数为 1（直连邻居）。</w:t>
      </w:r>
    </w:p>
    <w:p w14:paraId="0A4FC8F5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去往 5.0.0.0/8 的路由</w:t>
      </w:r>
    </w:p>
    <w:p w14:paraId="0F781EA8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通过 RIP协议 学到，数据从本地 GigabitEthernet 接口发出，交给下一跳 34.1.1.2 处理，跳数为 2（需经过一台中间路由器）。</w:t>
      </w:r>
    </w:p>
    <w:p w14:paraId="13D5C0D2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去往 45.0.0.0/8 的路由</w:t>
      </w:r>
    </w:p>
    <w:p w14:paraId="564F5D7B">
      <w:pPr>
        <w:spacing w:line="360" w:lineRule="auto"/>
        <w:rPr>
          <w:rFonts w:hint="eastAsia" w:ascii="宋体" w:hAnsi="宋体"/>
          <w:sz w:val="24"/>
          <w:lang w:val="en-US" w:eastAsia="zh-CN"/>
        </w:rPr>
      </w:pPr>
      <w:r>
        <w:rPr>
          <w:rFonts w:hint="eastAsia" w:ascii="宋体" w:hAnsi="宋体"/>
          <w:sz w:val="24"/>
          <w:lang w:val="en-US" w:eastAsia="zh-CN"/>
        </w:rPr>
        <w:t>通过 RIP协议 学到，数据从本地 GigabitEthernet 接口发出，交给下一跳 34.1.1.2 处理，跳数为 1（直连邻居）。</w:t>
      </w:r>
    </w:p>
    <w:p w14:paraId="775AA78A">
      <w:p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t>总结</w:t>
      </w:r>
    </w:p>
    <w:p w14:paraId="025A5D32">
      <w:p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t>RIP协议通过 跳数（Cost） 选择路径，自动更新路由表，适用于小型网络。</w:t>
      </w:r>
    </w:p>
    <w:p w14:paraId="49CB0558">
      <w:p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t>跳数=1：目标网络与下一跳路由器直连。</w:t>
      </w:r>
    </w:p>
    <w:p w14:paraId="1BA4B891">
      <w:pPr>
        <w:spacing w:line="360" w:lineRule="auto"/>
        <w:rPr>
          <w:rFonts w:hint="default" w:ascii="宋体" w:hAnsi="宋体" w:eastAsia="宋体"/>
          <w:sz w:val="24"/>
          <w:lang w:val="en-US" w:eastAsia="zh-CN"/>
        </w:rPr>
      </w:pPr>
      <w:r>
        <w:rPr>
          <w:rFonts w:hint="default" w:ascii="宋体" w:hAnsi="宋体" w:eastAsia="宋体"/>
          <w:sz w:val="24"/>
          <w:lang w:val="en-US" w:eastAsia="zh-CN"/>
        </w:rPr>
        <w:t>跳数=2+：数据需经过多个路由器中转。</w:t>
      </w:r>
    </w:p>
    <w:p w14:paraId="3C0681EC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 xml:space="preserve">连通性测试，在 AR5 上分别 </w:t>
      </w:r>
      <w:r>
        <w:rPr>
          <w:rFonts w:hint="default" w:ascii="宋体" w:hAnsi="宋体" w:eastAsia="宋体"/>
          <w:sz w:val="24"/>
          <w:lang w:val="en-US" w:eastAsia="zh-CN"/>
        </w:rPr>
        <w:t xml:space="preserve">ping 2.2.2.2 </w:t>
      </w:r>
      <w:r>
        <w:rPr>
          <w:rFonts w:hint="eastAsia" w:ascii="宋体" w:hAnsi="宋体" w:eastAsia="宋体"/>
          <w:sz w:val="24"/>
          <w:lang w:val="en-US" w:eastAsia="zh-CN"/>
        </w:rPr>
        <w:t xml:space="preserve">和 </w:t>
      </w:r>
      <w:r>
        <w:rPr>
          <w:rFonts w:hint="default" w:ascii="宋体" w:hAnsi="宋体" w:eastAsia="宋体"/>
          <w:sz w:val="24"/>
          <w:lang w:val="en-US" w:eastAsia="zh-CN"/>
        </w:rPr>
        <w:t>3.3.3.3</w:t>
      </w:r>
      <w:r>
        <w:rPr>
          <w:rFonts w:hint="eastAsia" w:ascii="宋体" w:hAnsi="宋体" w:eastAsia="宋体"/>
          <w:sz w:val="24"/>
          <w:lang w:val="en-US" w:eastAsia="zh-CN"/>
        </w:rPr>
        <w:t>，结果如下</w:t>
      </w:r>
    </w:p>
    <w:p w14:paraId="3B4CD802">
      <w:pPr>
        <w:spacing w:line="360" w:lineRule="auto"/>
      </w:pPr>
      <w:r>
        <w:drawing>
          <wp:inline distT="0" distB="0" distL="114300" distR="114300">
            <wp:extent cx="5272405" cy="4418330"/>
            <wp:effectExtent l="0" t="0" r="1079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41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0867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Ping结果说明：</w:t>
      </w:r>
    </w:p>
    <w:p w14:paraId="0E2E677D"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 ping 3.3.3.3 能通的原因</w:t>
      </w:r>
    </w:p>
    <w:p w14:paraId="426D5B2A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同一AS内部（AS200）：</w:t>
      </w:r>
    </w:p>
    <w:p w14:paraId="0F4EA6E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AR5（5.5.5.5）和 AR3（3.3.3.3）均属于 AS200，且通过 RIP协议 动态学习路由。</w:t>
      </w:r>
    </w:p>
    <w:p w14:paraId="1106CFB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RIP已正确宣告了环回接口（3.0.0.0/8 和 5.0.0.0/8），因此AR5的路由表中存在去往 3.3.3.3 的路由条目（下一跳指向AR4）。</w:t>
      </w:r>
    </w:p>
    <w:p w14:paraId="4B8550DF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数据路径：</w:t>
      </w:r>
    </w:p>
    <w:p w14:paraId="38621BBB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AR5 → AR4 → AR3（直接可达，跳数=2）  </w:t>
      </w:r>
    </w:p>
    <w:p w14:paraId="412DDDEE">
      <w:pPr>
        <w:numPr>
          <w:ilvl w:val="0"/>
          <w:numId w:val="6"/>
        </w:numPr>
        <w:spacing w:line="360" w:lineRule="auto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ping 2.2.2.2 不通的原因</w:t>
      </w:r>
    </w:p>
    <w:p w14:paraId="0C4B5CA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跨AS未配置BGP路由传播：2.2.2.2 是 AS100 中AR2的环回地址，而AR5属于 AS200。</w:t>
      </w:r>
    </w:p>
    <w:p w14:paraId="3DB3D565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在边界路由器（BGP 发言人）</w:t>
      </w:r>
      <w:r>
        <w:rPr>
          <w:rFonts w:hint="default" w:ascii="宋体" w:hAnsi="宋体" w:eastAsia="宋体"/>
          <w:sz w:val="24"/>
          <w:lang w:val="en-US" w:eastAsia="zh-CN"/>
        </w:rPr>
        <w:t xml:space="preserve">AR2 </w:t>
      </w:r>
      <w:r>
        <w:rPr>
          <w:rFonts w:hint="eastAsia" w:ascii="宋体" w:hAnsi="宋体" w:eastAsia="宋体"/>
          <w:sz w:val="24"/>
          <w:lang w:val="en-US" w:eastAsia="zh-CN"/>
        </w:rPr>
        <w:t xml:space="preserve">和 </w:t>
      </w:r>
      <w:r>
        <w:rPr>
          <w:rFonts w:hint="default" w:ascii="宋体" w:hAnsi="宋体" w:eastAsia="宋体"/>
          <w:sz w:val="24"/>
          <w:lang w:val="en-US" w:eastAsia="zh-CN"/>
        </w:rPr>
        <w:t xml:space="preserve">AR3 </w:t>
      </w:r>
      <w:r>
        <w:rPr>
          <w:rFonts w:hint="eastAsia" w:ascii="宋体" w:hAnsi="宋体" w:eastAsia="宋体"/>
          <w:sz w:val="24"/>
          <w:lang w:val="en-US" w:eastAsia="zh-CN"/>
        </w:rPr>
        <w:t xml:space="preserve">上，配置 </w:t>
      </w:r>
      <w:r>
        <w:rPr>
          <w:rFonts w:hint="default" w:ascii="宋体" w:hAnsi="宋体" w:eastAsia="宋体"/>
          <w:sz w:val="24"/>
          <w:lang w:val="en-US" w:eastAsia="zh-CN"/>
        </w:rPr>
        <w:t>EBGP</w:t>
      </w:r>
      <w:r>
        <w:rPr>
          <w:rFonts w:hint="eastAsia" w:ascii="宋体" w:hAnsi="宋体" w:eastAsia="宋体"/>
          <w:sz w:val="24"/>
          <w:lang w:val="en-US" w:eastAsia="zh-CN"/>
        </w:rPr>
        <w:t>。</w:t>
      </w:r>
      <w:r>
        <w:rPr>
          <w:rFonts w:hint="default" w:ascii="宋体" w:hAnsi="宋体" w:eastAsia="宋体"/>
          <w:sz w:val="24"/>
          <w:lang w:val="en-US" w:eastAsia="zh-CN"/>
        </w:rPr>
        <w:t xml:space="preserve">AR2 </w:t>
      </w:r>
      <w:r>
        <w:rPr>
          <w:rFonts w:hint="eastAsia" w:ascii="宋体" w:hAnsi="宋体" w:eastAsia="宋体"/>
          <w:sz w:val="24"/>
          <w:lang w:val="en-US" w:eastAsia="zh-CN"/>
        </w:rPr>
        <w:t xml:space="preserve">为 </w:t>
      </w:r>
      <w:r>
        <w:rPr>
          <w:rFonts w:hint="default" w:ascii="宋体" w:hAnsi="宋体" w:eastAsia="宋体"/>
          <w:sz w:val="24"/>
          <w:lang w:val="en-US" w:eastAsia="zh-CN"/>
        </w:rPr>
        <w:t xml:space="preserve">AS100 </w:t>
      </w:r>
      <w:r>
        <w:rPr>
          <w:rFonts w:hint="eastAsia" w:ascii="宋体" w:hAnsi="宋体" w:eastAsia="宋体"/>
          <w:sz w:val="24"/>
          <w:lang w:val="en-US" w:eastAsia="zh-CN"/>
        </w:rPr>
        <w:t>的边界路由器，</w:t>
      </w:r>
      <w:r>
        <w:rPr>
          <w:rFonts w:hint="default" w:ascii="宋体" w:hAnsi="宋体" w:eastAsia="宋体"/>
          <w:sz w:val="24"/>
          <w:lang w:val="en-US" w:eastAsia="zh-CN"/>
        </w:rPr>
        <w:t xml:space="preserve">AR3 </w:t>
      </w:r>
      <w:r>
        <w:rPr>
          <w:rFonts w:hint="eastAsia" w:ascii="宋体" w:hAnsi="宋体" w:eastAsia="宋体"/>
          <w:sz w:val="24"/>
          <w:lang w:val="en-US" w:eastAsia="zh-CN"/>
        </w:rPr>
        <w:t xml:space="preserve">为 </w:t>
      </w:r>
      <w:r>
        <w:rPr>
          <w:rFonts w:hint="default" w:ascii="宋体" w:hAnsi="宋体" w:eastAsia="宋体"/>
          <w:sz w:val="24"/>
          <w:lang w:val="en-US" w:eastAsia="zh-CN"/>
        </w:rPr>
        <w:t xml:space="preserve">AS200 </w:t>
      </w:r>
      <w:r>
        <w:rPr>
          <w:rFonts w:hint="eastAsia" w:ascii="宋体" w:hAnsi="宋体" w:eastAsia="宋体"/>
          <w:sz w:val="24"/>
          <w:lang w:val="en-US" w:eastAsia="zh-CN"/>
        </w:rPr>
        <w:t>的边界路由器</w:t>
      </w:r>
    </w:p>
    <w:p w14:paraId="6F3D89DF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AR2:</w:t>
      </w:r>
    </w:p>
    <w:p w14:paraId="096252F4">
      <w:pPr>
        <w:spacing w:line="360" w:lineRule="auto"/>
      </w:pPr>
      <w:r>
        <w:drawing>
          <wp:inline distT="0" distB="0" distL="114300" distR="114300">
            <wp:extent cx="4225925" cy="2399030"/>
            <wp:effectExtent l="0" t="0" r="317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25925" cy="239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EA1E85">
      <w:pPr>
        <w:spacing w:line="36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15F775B6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[R2]bgp 100</w:t>
      </w:r>
    </w:p>
    <w:p w14:paraId="7C67DE10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 BGP 进程，并指定本地 AS 号为 100（AR2 属于 AS100）。</w:t>
      </w:r>
    </w:p>
    <w:p w14:paraId="60F74939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[R2-bgp]peer 23.1.1.1 as-number 200</w:t>
      </w:r>
    </w:p>
    <w:p w14:paraId="51859C46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 EBGP 邻居：</w:t>
      </w:r>
    </w:p>
    <w:p w14:paraId="153A0A9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邻居 IP 为 23.1.1.1（AR3 的接口地址）。</w:t>
      </w:r>
    </w:p>
    <w:p w14:paraId="03DFC26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对方 AS 号为 200（跨 AS 的 EBGP 邻居）。</w:t>
      </w:r>
    </w:p>
    <w:p w14:paraId="77062293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[R2-bgp]ipv4-family unicast</w:t>
      </w:r>
    </w:p>
    <w:p w14:paraId="23EC52E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IPv4 单播地址族视图，用于交换普通 IPv4 路由。</w:t>
      </w:r>
    </w:p>
    <w:p w14:paraId="38B4CCF5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[R2-bgp-af-ipv4]import-route ospf 1</w:t>
      </w:r>
    </w:p>
    <w:p w14:paraId="100D2C6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 OSPF 进程 1 的路由引入 BGP，使 AS200 能学习到 AS100 的内部路由（如 1.1.1.1/32、12.1.1.0/24）。</w:t>
      </w:r>
    </w:p>
    <w:p w14:paraId="0F45CF93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AR3:</w:t>
      </w:r>
    </w:p>
    <w:p w14:paraId="6C5D1802">
      <w:pPr>
        <w:spacing w:line="36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3987165" cy="1637665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87165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2AD96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[R3]bgp 200</w:t>
      </w:r>
    </w:p>
    <w:p w14:paraId="7161D122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启用 BGP 进程，并指定本地 AS 号为 200（AR3 属于 AS200）。</w:t>
      </w:r>
    </w:p>
    <w:p w14:paraId="0D532DF2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[R3-bgp]peer 23.1.1.2 as-number 100</w:t>
      </w:r>
    </w:p>
    <w:p w14:paraId="3B70470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 EBGP 邻居：</w:t>
      </w:r>
    </w:p>
    <w:p w14:paraId="0F2A9623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邻居 IP 为 23.1.1.2（AR2 的接口地址）。</w:t>
      </w:r>
    </w:p>
    <w:p w14:paraId="69AA5801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对方 AS 号为 100（跨 AS 的 EBGP 邻居）。</w:t>
      </w:r>
    </w:p>
    <w:p w14:paraId="59385336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[R3-bgp]ipv4-family unicast</w:t>
      </w:r>
    </w:p>
    <w:p w14:paraId="000A22B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进入 IPv4 单播地址族视图。</w:t>
      </w:r>
    </w:p>
    <w:p w14:paraId="4D9199C9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[R3-bgp-af-ipv4]import-route rip 1</w:t>
      </w:r>
    </w:p>
    <w:p w14:paraId="14B3DAC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 RIP 进程 1 的路由引入 BGP，使 AS100 能学习到 AS200 的内部路由（如 3.3.3.3/8、34.1.1.0/8）。</w:t>
      </w:r>
    </w:p>
    <w:p w14:paraId="52787C38">
      <w:pPr>
        <w:spacing w:line="360" w:lineRule="auto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查看通过 BGP 学到的路由</w:t>
      </w:r>
      <w:r>
        <w:rPr>
          <w:rFonts w:hint="eastAsia"/>
          <w:lang w:val="en-US" w:eastAsia="zh-CN"/>
        </w:rPr>
        <w:t>如下：</w:t>
      </w:r>
    </w:p>
    <w:p w14:paraId="61903BF6">
      <w:pPr>
        <w:spacing w:line="360" w:lineRule="auto"/>
      </w:pPr>
      <w:r>
        <w:drawing>
          <wp:inline distT="0" distB="0" distL="114300" distR="114300">
            <wp:extent cx="4370705" cy="2135505"/>
            <wp:effectExtent l="0" t="0" r="10795" b="1079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0705" cy="213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C2791">
      <w:pPr>
        <w:spacing w:line="360" w:lineRule="auto"/>
      </w:pPr>
      <w:r>
        <w:drawing>
          <wp:inline distT="0" distB="0" distL="114300" distR="114300">
            <wp:extent cx="4441825" cy="2233295"/>
            <wp:effectExtent l="0" t="0" r="3175" b="190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1825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69AFA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将 BGP 路由引入自治系统内部</w:t>
      </w:r>
    </w:p>
    <w:p w14:paraId="5AAF7CEF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AR2:</w:t>
      </w:r>
    </w:p>
    <w:p w14:paraId="27C63C73">
      <w:pPr>
        <w:spacing w:line="360" w:lineRule="auto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3257550" cy="971550"/>
            <wp:effectExtent l="0" t="0" r="6350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7C69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AR3:</w:t>
      </w:r>
    </w:p>
    <w:p w14:paraId="71E2A7D4">
      <w:pPr>
        <w:spacing w:line="360" w:lineRule="auto"/>
      </w:pPr>
      <w:r>
        <w:drawing>
          <wp:inline distT="0" distB="0" distL="114300" distR="114300">
            <wp:extent cx="3248025" cy="1466850"/>
            <wp:effectExtent l="0" t="0" r="3175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BCA0E">
      <w:pPr>
        <w:numPr>
          <w:ilvl w:val="0"/>
          <w:numId w:val="4"/>
        </w:numPr>
        <w:spacing w:line="360" w:lineRule="auto"/>
        <w:ind w:left="425" w:leftChars="0" w:hanging="425" w:firstLineChars="0"/>
        <w:rPr>
          <w:rFonts w:hint="eastAsia" w:ascii="宋体" w:hAnsi="宋体" w:eastAsia="宋体"/>
          <w:sz w:val="24"/>
          <w:lang w:val="en-US" w:eastAsia="zh-CN"/>
        </w:rPr>
      </w:pPr>
      <w:r>
        <w:rPr>
          <w:rFonts w:hint="eastAsia" w:ascii="宋体" w:hAnsi="宋体" w:eastAsia="宋体"/>
          <w:sz w:val="24"/>
          <w:lang w:val="en-US" w:eastAsia="zh-CN"/>
        </w:rPr>
        <w:t>在各路由器上查看路由表</w:t>
      </w:r>
      <w:r>
        <w:rPr>
          <w:rFonts w:hint="eastAsia" w:ascii="宋体" w:hAnsi="宋体"/>
          <w:sz w:val="24"/>
          <w:lang w:val="en-US" w:eastAsia="zh-CN"/>
        </w:rPr>
        <w:t>（以</w:t>
      </w:r>
      <w:r>
        <w:rPr>
          <w:rFonts w:hint="eastAsia" w:ascii="宋体" w:hAnsi="宋体"/>
          <w:sz w:val="24"/>
          <w:lang w:val="en-US" w:eastAsia="zh-CN"/>
        </w:rPr>
        <w:t>R2、</w:t>
      </w:r>
      <w:r>
        <w:rPr>
          <w:rFonts w:hint="eastAsia" w:ascii="宋体" w:hAnsi="宋体"/>
          <w:sz w:val="24"/>
          <w:lang w:val="en-US" w:eastAsia="zh-CN"/>
        </w:rPr>
        <w:t>R3为例）</w:t>
      </w:r>
    </w:p>
    <w:p w14:paraId="02F02401">
      <w:pPr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  <w:lang w:val="en-US" w:eastAsia="zh-CN"/>
        </w:rPr>
      </w:pPr>
      <w:r>
        <w:drawing>
          <wp:inline distT="0" distB="0" distL="114300" distR="114300">
            <wp:extent cx="4556760" cy="3660775"/>
            <wp:effectExtent l="0" t="0" r="2540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23AA3">
      <w:pPr>
        <w:numPr>
          <w:numId w:val="0"/>
        </w:numPr>
        <w:spacing w:line="360" w:lineRule="auto"/>
        <w:ind w:leftChars="0"/>
        <w:rPr>
          <w:rFonts w:hint="eastAsia" w:ascii="宋体" w:hAnsi="宋体" w:eastAsia="宋体"/>
          <w:sz w:val="24"/>
          <w:lang w:val="en-US" w:eastAsia="zh-CN"/>
        </w:rPr>
      </w:pPr>
      <w:r>
        <w:drawing>
          <wp:inline distT="0" distB="0" distL="114300" distR="114300">
            <wp:extent cx="4542790" cy="3834130"/>
            <wp:effectExtent l="0" t="0" r="381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42790" cy="383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22E6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 w14:paraId="2C8F9BAE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R2路由表分析（实验成果验证）</w:t>
      </w:r>
    </w:p>
    <w:p w14:paraId="030466F3">
      <w:pPr>
        <w:numPr>
          <w:ilvl w:val="0"/>
          <w:numId w:val="9"/>
        </w:numPr>
        <w:spacing w:line="360" w:lineRule="auto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本地AS路由（OSPF &amp; Direct条目）</w:t>
      </w:r>
    </w:p>
    <w:p w14:paraId="4BCCA074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1.1.1.1/32（AR1的Loopback）</w:t>
      </w:r>
    </w:p>
    <w:p w14:paraId="1D35813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协议：OSPF | 下一跳：12.1.1.1（AR1）</w:t>
      </w:r>
    </w:p>
    <w:p w14:paraId="5CFBFF7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作用：通过OSPF学习到AS100内部AR1的路由，优先级10（OSPF默认）。</w:t>
      </w:r>
    </w:p>
    <w:p w14:paraId="6E337724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2.2.2.2/32（本地Loopback）</w:t>
      </w:r>
    </w:p>
    <w:p w14:paraId="2C30463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协议：Direct | 下一跳：127.0.0.1</w:t>
      </w:r>
    </w:p>
    <w:p w14:paraId="13E75D3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作用：本地环回接口直连路由。</w:t>
      </w:r>
    </w:p>
    <w:p w14:paraId="5F49E650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12.1.1.0/24（AR1-AR2直连网段）</w:t>
      </w:r>
    </w:p>
    <w:p w14:paraId="3B0A2C98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协议：Direct | 下一跳：12.1.1.2</w:t>
      </w:r>
    </w:p>
    <w:p w14:paraId="1FFDA1EF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作用：本地直连接口路由，确保与AR1的基础通信。</w:t>
      </w:r>
    </w:p>
    <w:p w14:paraId="355A5735">
      <w:pPr>
        <w:numPr>
          <w:ilvl w:val="0"/>
          <w:numId w:val="9"/>
        </w:numPr>
        <w:spacing w:line="360" w:lineRule="auto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跨AS路由学习（EBGP条目）</w:t>
      </w:r>
    </w:p>
    <w:p w14:paraId="334E44F2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3.0.0.0/8（AR3的Loopback）</w:t>
      </w:r>
    </w:p>
    <w:p w14:paraId="7EC45F6D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协议：EBGP | 下一跳：23.1.1.1（AR3）</w:t>
      </w:r>
    </w:p>
    <w:p w14:paraId="4A7F50E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作用：通过EBGP从AR3（AS200）学习到AR3的Loopback地址，优先级255（EBGP默认）。</w:t>
      </w:r>
    </w:p>
    <w:p w14:paraId="429AAB26">
      <w:pPr>
        <w:numPr>
          <w:ilvl w:val="0"/>
          <w:numId w:val="11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4.0.0.0/8、5.0.0.0/8（AR4、AR5的网段）</w:t>
      </w:r>
    </w:p>
    <w:p w14:paraId="15E1A1F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协议：EBGP | 下一跳：23.1.1.1</w:t>
      </w:r>
    </w:p>
    <w:p w14:paraId="3673B83E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作用：AR3通过BGP将AS200的RIP路由（如AR4、AR5的网段）通告给AR2。</w:t>
      </w:r>
    </w:p>
    <w:p w14:paraId="0EFF4DA6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Cost差异：</w:t>
      </w:r>
    </w:p>
    <w:p w14:paraId="05E784DC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4.0.0.0/8 Cost=1（AR3直连AR4）</w:t>
      </w:r>
    </w:p>
    <w:p w14:paraId="466BEBB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5.0.0.0/8 Cost=2（需经过AR4中转）</w:t>
      </w:r>
    </w:p>
    <w:p w14:paraId="6086184A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34.0.0.0/8、45.0.0.0/8（AS200内部直连网段）</w:t>
      </w:r>
    </w:p>
    <w:p w14:paraId="710DBC69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协议：EBGP | 下一跳：23.1.1.1</w:t>
      </w:r>
    </w:p>
    <w:p w14:paraId="12312D92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作用：AR3将AS200的内部直连网段通过BGP发布到AS100。</w:t>
      </w:r>
    </w:p>
    <w:p w14:paraId="7FA7479A">
      <w:pPr>
        <w:numPr>
          <w:ilvl w:val="0"/>
          <w:numId w:val="9"/>
        </w:numPr>
        <w:spacing w:line="360" w:lineRule="auto"/>
        <w:ind w:left="0" w:leftChars="0"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本地接口路由（Direct条目）</w:t>
      </w:r>
    </w:p>
    <w:p w14:paraId="00B08D71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23.1.1.2/32、23.0.0.0/8</w:t>
      </w:r>
    </w:p>
    <w:p w14:paraId="694F13C1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协议：Direct</w:t>
      </w:r>
    </w:p>
    <w:p w14:paraId="1C373AC4">
      <w:pPr>
        <w:spacing w:line="36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作用：AR2与AR3之间的直连接口路由，确保EBGP邻居建立的基础。</w:t>
      </w:r>
    </w:p>
    <w:p w14:paraId="00CE2564">
      <w:pPr>
        <w:spacing w:line="360" w:lineRule="auto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R3路由表分析（实验成果验证）</w:t>
      </w:r>
    </w:p>
    <w:p w14:paraId="11F74D9F">
      <w:pPr>
        <w:numPr>
          <w:ilvl w:val="0"/>
          <w:numId w:val="13"/>
        </w:numPr>
        <w:spacing w:line="360" w:lineRule="auto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跨AS路由学习成功（EBGP条目）</w:t>
      </w:r>
    </w:p>
    <w:p w14:paraId="7F949BF5">
      <w:pPr>
        <w:numPr>
          <w:ilvl w:val="0"/>
          <w:numId w:val="14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1.1.1.1/32（AS100的AR1）</w:t>
      </w:r>
    </w:p>
    <w:p w14:paraId="0264D1B4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协议：EBGP | 下一跳：23.1.1.2（AR2）</w:t>
      </w:r>
    </w:p>
    <w:p w14:paraId="16B0C94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作用：通过EBGP从AR2（AS100）学习到AR1的Loopback地址，证明 BGP跨AS路由传播成功。</w:t>
      </w:r>
    </w:p>
    <w:p w14:paraId="08C09F97">
      <w:pPr>
        <w:numPr>
          <w:ilvl w:val="0"/>
          <w:numId w:val="14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2.2.2.2/32（AR2）</w:t>
      </w:r>
    </w:p>
    <w:p w14:paraId="585735DA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协议：EBGP | 下一跳：23.1.1.2</w:t>
      </w:r>
    </w:p>
    <w:p w14:paraId="7EB33917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作用：AR2通过BGP将自己的Loopback地址通告给AR3（AS200）。</w:t>
      </w:r>
    </w:p>
    <w:p w14:paraId="276FEE79">
      <w:pPr>
        <w:numPr>
          <w:ilvl w:val="0"/>
          <w:numId w:val="14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12.1.1.0/24（AR1-AR2直连网段）</w:t>
      </w:r>
    </w:p>
    <w:p w14:paraId="715610FD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协议：EBGP | 下一跳：23.1.1.2</w:t>
      </w:r>
    </w:p>
    <w:p w14:paraId="023D5FD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作用：AR2将AS100内部OSPF网段通过BGP发布到AS200。</w:t>
      </w:r>
    </w:p>
    <w:p w14:paraId="2B920C47">
      <w:pPr>
        <w:numPr>
          <w:ilvl w:val="0"/>
          <w:numId w:val="13"/>
        </w:numPr>
        <w:spacing w:line="360" w:lineRule="auto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AS200内部路由（RIP条目）</w:t>
      </w:r>
    </w:p>
    <w:p w14:paraId="20B3D895">
      <w:pPr>
        <w:numPr>
          <w:ilvl w:val="0"/>
          <w:numId w:val="15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4.0.0.0/8、5.0.0.0/8、45.0.0.0/8</w:t>
      </w:r>
    </w:p>
    <w:p w14:paraId="7B784450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协议：RIP | 下一跳：34.1.1.2（AR4）</w:t>
      </w:r>
    </w:p>
    <w:p w14:paraId="629A7245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作用：AS200内部通过RIP动态学习路由，AR3作为边界路由器，正常转发AS200内部流量。</w:t>
      </w:r>
    </w:p>
    <w:p w14:paraId="04409FB8">
      <w:pPr>
        <w:numPr>
          <w:ilvl w:val="0"/>
          <w:numId w:val="13"/>
        </w:numPr>
        <w:spacing w:line="360" w:lineRule="auto"/>
        <w:ind w:left="0" w:leftChars="0" w:firstLine="48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r>
        <w:rPr>
          <w:rFonts w:hint="default"/>
          <w:lang w:val="en-US" w:eastAsia="zh-CN"/>
        </w:rPr>
        <w:t>直连接口与环回接口（Direct条目）</w:t>
      </w:r>
    </w:p>
    <w:p w14:paraId="750A624E">
      <w:pPr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3.3.3.3/32、23.1.1.1/32、34.1.1.1/32</w:t>
      </w:r>
    </w:p>
    <w:p w14:paraId="03786CE8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协议：Direct</w:t>
      </w:r>
    </w:p>
    <w:p w14:paraId="63A932F0">
      <w:p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作用：本地接口和环回地址直连路由，确保基础连通性。</w:t>
      </w:r>
    </w:p>
    <w:p w14:paraId="3FD4FAEF">
      <w:pPr>
        <w:spacing w:line="360" w:lineRule="auto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Ping通试验</w:t>
      </w:r>
    </w:p>
    <w:p w14:paraId="52D5EB95">
      <w:pPr>
        <w:spacing w:line="360" w:lineRule="auto"/>
      </w:pPr>
      <w:r>
        <w:drawing>
          <wp:inline distT="0" distB="0" distL="114300" distR="114300">
            <wp:extent cx="5273675" cy="4007485"/>
            <wp:effectExtent l="0" t="0" r="9525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A194">
      <w:pPr>
        <w:spacing w:line="360" w:lineRule="auto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说明：AR1 能 ping 通 AS200 内设备，配置正确！</w:t>
      </w:r>
    </w:p>
    <w:p w14:paraId="7124DC54">
      <w:pPr>
        <w:spacing w:line="360" w:lineRule="auto"/>
        <w:rPr>
          <w:rFonts w:hint="eastAsia" w:ascii="宋体" w:hAnsi="宋体" w:eastAsia="宋体"/>
          <w:sz w:val="24"/>
        </w:rPr>
      </w:pPr>
      <w:bookmarkStart w:id="0" w:name="_GoBack"/>
      <w:bookmarkEnd w:id="0"/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FCEAD3">
    <w:pPr>
      <w:pStyle w:val="4"/>
      <w:jc w:val="center"/>
      <w:rPr>
        <w:rFonts w:hint="eastAsia"/>
      </w:rPr>
    </w:pPr>
  </w:p>
  <w:p w14:paraId="27C983B6">
    <w:pPr>
      <w:pStyle w:val="4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60491216"/>
      <w:docPartObj>
        <w:docPartGallery w:val="AutoText"/>
      </w:docPartObj>
    </w:sdtPr>
    <w:sdtContent>
      <w:p w14:paraId="284BA05B">
        <w:pPr>
          <w:pStyle w:val="4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1</w:t>
        </w:r>
        <w:r>
          <w:fldChar w:fldCharType="end"/>
        </w:r>
      </w:p>
    </w:sdtContent>
  </w:sdt>
  <w:p w14:paraId="78539900">
    <w:pPr>
      <w:pStyle w:val="4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9AEB4F"/>
    <w:multiLevelType w:val="singleLevel"/>
    <w:tmpl w:val="889AEB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3653AA3"/>
    <w:multiLevelType w:val="singleLevel"/>
    <w:tmpl w:val="A3653AA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">
    <w:nsid w:val="A9BAE398"/>
    <w:multiLevelType w:val="singleLevel"/>
    <w:tmpl w:val="A9BAE39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AA84FFA8"/>
    <w:multiLevelType w:val="singleLevel"/>
    <w:tmpl w:val="AA84FFA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AC6C8684"/>
    <w:multiLevelType w:val="singleLevel"/>
    <w:tmpl w:val="AC6C868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BDC05E4"/>
    <w:multiLevelType w:val="singleLevel"/>
    <w:tmpl w:val="BBDC05E4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C0710B78"/>
    <w:multiLevelType w:val="singleLevel"/>
    <w:tmpl w:val="C0710B78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8AAD55B"/>
    <w:multiLevelType w:val="singleLevel"/>
    <w:tmpl w:val="C8AAD5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5339B0B"/>
    <w:multiLevelType w:val="singleLevel"/>
    <w:tmpl w:val="E5339B0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E9788862"/>
    <w:multiLevelType w:val="singleLevel"/>
    <w:tmpl w:val="E978886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F0F57FEF"/>
    <w:multiLevelType w:val="singleLevel"/>
    <w:tmpl w:val="F0F57FEF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F438078D"/>
    <w:multiLevelType w:val="singleLevel"/>
    <w:tmpl w:val="F438078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623425FB"/>
    <w:multiLevelType w:val="singleLevel"/>
    <w:tmpl w:val="623425F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3">
    <w:nsid w:val="703BD8CB"/>
    <w:multiLevelType w:val="singleLevel"/>
    <w:tmpl w:val="703BD8C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A061111"/>
    <w:multiLevelType w:val="singleLevel"/>
    <w:tmpl w:val="7A06111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5">
    <w:nsid w:val="7FB0474A"/>
    <w:multiLevelType w:val="multilevel"/>
    <w:tmpl w:val="7FB0474A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0"/>
  </w:num>
  <w:num w:numId="3">
    <w:abstractNumId w:val="4"/>
  </w:num>
  <w:num w:numId="4">
    <w:abstractNumId w:val="7"/>
  </w:num>
  <w:num w:numId="5">
    <w:abstractNumId w:val="9"/>
  </w:num>
  <w:num w:numId="6">
    <w:abstractNumId w:val="1"/>
  </w:num>
  <w:num w:numId="7">
    <w:abstractNumId w:val="11"/>
  </w:num>
  <w:num w:numId="8">
    <w:abstractNumId w:val="13"/>
  </w:num>
  <w:num w:numId="9">
    <w:abstractNumId w:val="3"/>
  </w:num>
  <w:num w:numId="10">
    <w:abstractNumId w:val="2"/>
  </w:num>
  <w:num w:numId="11">
    <w:abstractNumId w:val="8"/>
  </w:num>
  <w:num w:numId="12">
    <w:abstractNumId w:val="6"/>
  </w:num>
  <w:num w:numId="13">
    <w:abstractNumId w:val="12"/>
  </w:num>
  <w:num w:numId="14">
    <w:abstractNumId w:val="14"/>
  </w:num>
  <w:num w:numId="15">
    <w:abstractNumId w:val="1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1F7"/>
    <w:rsid w:val="0002727C"/>
    <w:rsid w:val="000A6040"/>
    <w:rsid w:val="0011440C"/>
    <w:rsid w:val="001720B8"/>
    <w:rsid w:val="00193A8C"/>
    <w:rsid w:val="00196CFA"/>
    <w:rsid w:val="001D5867"/>
    <w:rsid w:val="00221307"/>
    <w:rsid w:val="0027523B"/>
    <w:rsid w:val="002C1DF7"/>
    <w:rsid w:val="002D2B24"/>
    <w:rsid w:val="00303F60"/>
    <w:rsid w:val="003A082E"/>
    <w:rsid w:val="003D4CF4"/>
    <w:rsid w:val="00443CB0"/>
    <w:rsid w:val="00446D80"/>
    <w:rsid w:val="0045438D"/>
    <w:rsid w:val="004621F7"/>
    <w:rsid w:val="004A2647"/>
    <w:rsid w:val="004A3E6B"/>
    <w:rsid w:val="005525A3"/>
    <w:rsid w:val="0055613D"/>
    <w:rsid w:val="00600A00"/>
    <w:rsid w:val="006457E4"/>
    <w:rsid w:val="00665026"/>
    <w:rsid w:val="006B50A0"/>
    <w:rsid w:val="006C46B9"/>
    <w:rsid w:val="006E487B"/>
    <w:rsid w:val="006F4182"/>
    <w:rsid w:val="007308C1"/>
    <w:rsid w:val="00753C41"/>
    <w:rsid w:val="00825973"/>
    <w:rsid w:val="00831499"/>
    <w:rsid w:val="00834DEC"/>
    <w:rsid w:val="00835381"/>
    <w:rsid w:val="00852A29"/>
    <w:rsid w:val="008F2DFD"/>
    <w:rsid w:val="008F55C8"/>
    <w:rsid w:val="009746AB"/>
    <w:rsid w:val="009B25EB"/>
    <w:rsid w:val="009C561A"/>
    <w:rsid w:val="009D1CD1"/>
    <w:rsid w:val="009D3018"/>
    <w:rsid w:val="00A65206"/>
    <w:rsid w:val="00A80348"/>
    <w:rsid w:val="00A92853"/>
    <w:rsid w:val="00AB071C"/>
    <w:rsid w:val="00B06B67"/>
    <w:rsid w:val="00B301A2"/>
    <w:rsid w:val="00B61420"/>
    <w:rsid w:val="00B82258"/>
    <w:rsid w:val="00BD7DD8"/>
    <w:rsid w:val="00DD2171"/>
    <w:rsid w:val="00E50D69"/>
    <w:rsid w:val="00E55817"/>
    <w:rsid w:val="00EE5F63"/>
    <w:rsid w:val="00EF12C8"/>
    <w:rsid w:val="00F25BF2"/>
    <w:rsid w:val="00F50523"/>
    <w:rsid w:val="00FA1243"/>
    <w:rsid w:val="00FD3246"/>
    <w:rsid w:val="00FE56B5"/>
    <w:rsid w:val="1E79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页眉 字符"/>
    <w:basedOn w:val="10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0"/>
    <w:link w:val="4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495</Words>
  <Characters>523</Characters>
  <Lines>5</Lines>
  <Paragraphs>1</Paragraphs>
  <TotalTime>92</TotalTime>
  <ScaleCrop>false</ScaleCrop>
  <LinksUpToDate>false</LinksUpToDate>
  <CharactersWithSpaces>646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2021-03-04T02:14:00Z</dcterms:created>
  <dc:creator>h</dc:creator>
  <cp:lastModifiedBy>裴前.贤hj</cp:lastModifiedBy>
  <dcterms:modified xsi:type="dcterms:W3CDTF">2025-04-20T02:58:20Z</dcterms:modified>
  <cp:revision>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2052-12.1.0.20784</vt:lpwstr>
  </property>
  <property fmtid="{D5CDD505-2E9C-101B-9397-08002B2CF9AE}" pid="4" name="ICV">
    <vt:lpwstr>B5E915FDD0C04F12B1ABC0D87B87D85A_13</vt:lpwstr>
  </property>
</Properties>
</file>