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F3DA">
      <w:pPr>
        <w:jc w:val="center"/>
        <w:rPr>
          <w:rFonts w:hint="eastAsia" w:ascii="黑体" w:hAnsi="黑体" w:eastAsia="黑体"/>
          <w:sz w:val="48"/>
          <w:szCs w:val="48"/>
        </w:rPr>
      </w:pPr>
    </w:p>
    <w:p w14:paraId="780FC0CB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实验报告</w:t>
      </w:r>
    </w:p>
    <w:p w14:paraId="0F641A58">
      <w:pPr>
        <w:rPr>
          <w:rFonts w:hint="eastAsia"/>
        </w:rPr>
      </w:pPr>
    </w:p>
    <w:p w14:paraId="0E535958">
      <w:pPr>
        <w:rPr>
          <w:rFonts w:hint="eastAsia"/>
        </w:rPr>
      </w:pPr>
    </w:p>
    <w:p w14:paraId="2E97415D">
      <w:pPr>
        <w:rPr>
          <w:rFonts w:hint="eastAsia"/>
        </w:rPr>
      </w:pPr>
    </w:p>
    <w:p w14:paraId="7BB34FB1">
      <w:pPr>
        <w:rPr>
          <w:rFonts w:hint="eastAsia"/>
        </w:rPr>
      </w:pPr>
    </w:p>
    <w:tbl>
      <w:tblPr>
        <w:tblStyle w:val="9"/>
        <w:tblW w:w="0" w:type="auto"/>
        <w:tblInd w:w="17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531"/>
      </w:tblGrid>
      <w:tr w14:paraId="0D83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2905415F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实验名称：</w:t>
            </w:r>
          </w:p>
        </w:tc>
        <w:tc>
          <w:tcPr>
            <w:tcW w:w="4531" w:type="dxa"/>
          </w:tcPr>
          <w:p w14:paraId="49A9ADF5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实验一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单臂路由实验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</w:p>
        </w:tc>
      </w:tr>
      <w:tr w14:paraId="360C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3D4086A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课程名称：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78537DC1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网络架构与安全实习</w:t>
            </w:r>
          </w:p>
        </w:tc>
      </w:tr>
      <w:tr w14:paraId="2C12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13964624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姓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名：</w:t>
            </w:r>
          </w:p>
        </w:tc>
        <w:tc>
          <w:tcPr>
            <w:tcW w:w="4531" w:type="dxa"/>
          </w:tcPr>
          <w:p w14:paraId="070D80CA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吕仔贤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</w:t>
            </w:r>
          </w:p>
        </w:tc>
      </w:tr>
      <w:tr w14:paraId="3DE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5A8E2EC9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学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号：</w:t>
            </w:r>
          </w:p>
        </w:tc>
        <w:tc>
          <w:tcPr>
            <w:tcW w:w="4531" w:type="dxa"/>
          </w:tcPr>
          <w:p w14:paraId="1BA5ACC3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2311320111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     </w:t>
            </w:r>
          </w:p>
        </w:tc>
      </w:tr>
      <w:tr w14:paraId="0BDB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F73AEAC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专业班级：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6400C03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网安 23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级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</w:t>
            </w:r>
          </w:p>
        </w:tc>
      </w:tr>
      <w:tr w14:paraId="33C6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C81154B">
            <w:pPr>
              <w:spacing w:line="480" w:lineRule="auto"/>
              <w:jc w:val="distribute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院 </w:t>
            </w:r>
            <w:r>
              <w:rPr>
                <w:rFonts w:ascii="宋体" w:hAnsi="宋体" w:eastAsia="宋体"/>
                <w:sz w:val="32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</w:rPr>
              <w:t>系：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2F1AD76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u w:val="single"/>
              </w:rPr>
              <w:t xml:space="preserve"> </w:t>
            </w:r>
            <w:r>
              <w:rPr>
                <w:rFonts w:ascii="宋体" w:hAnsi="宋体" w:eastAsia="宋体"/>
                <w:u w:val="single"/>
              </w:rPr>
              <w:t xml:space="preserve">     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软件学院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  <w:tr w14:paraId="48E16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11D1A50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实验日期：</w:t>
            </w:r>
          </w:p>
        </w:tc>
        <w:tc>
          <w:tcPr>
            <w:tcW w:w="4531" w:type="dxa"/>
          </w:tcPr>
          <w:p w14:paraId="348762AE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202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5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年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3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月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16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日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119D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AD69FA3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指导老师： </w:t>
            </w:r>
          </w:p>
        </w:tc>
        <w:tc>
          <w:tcPr>
            <w:tcW w:w="4531" w:type="dxa"/>
          </w:tcPr>
          <w:p w14:paraId="66B6E5DD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孙士民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</w:tbl>
    <w:p w14:paraId="558FFEAD">
      <w:pPr>
        <w:rPr>
          <w:rFonts w:hint="eastAsia"/>
        </w:rPr>
      </w:pPr>
    </w:p>
    <w:p w14:paraId="102A0BF1">
      <w:pPr>
        <w:rPr>
          <w:rFonts w:hint="eastAsia"/>
        </w:rPr>
      </w:pPr>
    </w:p>
    <w:p w14:paraId="3818CEE7">
      <w:pPr>
        <w:rPr>
          <w:rFonts w:hint="eastAsia"/>
        </w:rPr>
      </w:pPr>
    </w:p>
    <w:p w14:paraId="2AC65028">
      <w:pPr>
        <w:rPr>
          <w:rFonts w:hint="eastAsia"/>
        </w:rPr>
      </w:pPr>
    </w:p>
    <w:p w14:paraId="14FDD903">
      <w:pPr>
        <w:rPr>
          <w:rFonts w:hint="eastAsia"/>
        </w:rPr>
      </w:pPr>
    </w:p>
    <w:p w14:paraId="697B10B1">
      <w:pPr>
        <w:rPr>
          <w:rFonts w:hint="eastAsia"/>
        </w:rPr>
      </w:pPr>
    </w:p>
    <w:p w14:paraId="313C56E1">
      <w:pPr>
        <w:rPr>
          <w:rFonts w:hint="eastAsia"/>
        </w:rPr>
      </w:pPr>
    </w:p>
    <w:p w14:paraId="72DDC3E3">
      <w:pPr>
        <w:rPr>
          <w:rFonts w:hint="eastAsia"/>
        </w:rPr>
      </w:pPr>
    </w:p>
    <w:p w14:paraId="40B0C69D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天津工业大学</w:t>
      </w:r>
    </w:p>
    <w:p w14:paraId="58C04548">
      <w:pPr>
        <w:rPr>
          <w:rFonts w:hint="eastAsia"/>
        </w:r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834CF6">
      <w:pPr>
        <w:pStyle w:val="13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实验</w:t>
      </w:r>
      <w:r>
        <w:rPr>
          <w:rFonts w:hint="eastAsia" w:ascii="宋体" w:hAnsi="宋体" w:eastAsia="宋体"/>
          <w:b/>
          <w:sz w:val="28"/>
          <w:szCs w:val="28"/>
        </w:rPr>
        <w:t>目的</w:t>
      </w:r>
      <w:r>
        <w:rPr>
          <w:rFonts w:ascii="宋体" w:hAnsi="宋体" w:eastAsia="宋体"/>
          <w:b/>
          <w:sz w:val="28"/>
          <w:szCs w:val="28"/>
        </w:rPr>
        <w:t>：</w:t>
      </w:r>
    </w:p>
    <w:p w14:paraId="48120940">
      <w:pPr>
        <w:pStyle w:val="2"/>
        <w:numPr>
          <w:ilvl w:val="0"/>
          <w:numId w:val="4"/>
        </w:numPr>
        <w:ind w:left="440" w:leftChars="0" w:hanging="440" w:firstLineChars="0"/>
      </w:pPr>
      <w:r>
        <w:rPr>
          <w:rFonts w:hint="eastAsia"/>
        </w:rPr>
        <w:t>掌握ACL的分类及作用；</w:t>
      </w:r>
    </w:p>
    <w:p w14:paraId="6331C47E">
      <w:pPr>
        <w:pStyle w:val="2"/>
        <w:numPr>
          <w:ilvl w:val="0"/>
          <w:numId w:val="4"/>
        </w:numPr>
        <w:ind w:left="440" w:leftChars="0" w:hanging="440" w:firstLineChars="0"/>
      </w:pPr>
      <w:r>
        <w:rPr>
          <w:rFonts w:hint="eastAsia" w:cstheme="minorBidi"/>
          <w:color w:val="auto"/>
          <w:szCs w:val="24"/>
        </w:rPr>
        <w:t>掌握ACL的配置方法。</w:t>
      </w:r>
    </w:p>
    <w:p w14:paraId="08C5ED53">
      <w:pPr>
        <w:pStyle w:val="13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实验环境：</w:t>
      </w:r>
    </w:p>
    <w:p w14:paraId="5653ABB3">
      <w:pPr>
        <w:ind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3台路由器 AR2240，4台PC，1台Client，1台Server。</w:t>
      </w:r>
    </w:p>
    <w:p w14:paraId="742035A2">
      <w:pPr>
        <w:pStyle w:val="13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实验需求：</w:t>
      </w:r>
    </w:p>
    <w:p w14:paraId="595BB0B1">
      <w:pPr>
        <w:pStyle w:val="2"/>
        <w:numPr>
          <w:ilvl w:val="0"/>
          <w:numId w:val="5"/>
        </w:numPr>
        <w:ind w:left="440" w:leftChars="0" w:hanging="440" w:firstLineChars="0"/>
      </w:pPr>
      <w:r>
        <w:rPr>
          <w:rFonts w:hint="eastAsia"/>
        </w:rPr>
        <w:t>通过OSPF协议在路由器上配置动态路由（参照上次实验）</w:t>
      </w:r>
    </w:p>
    <w:p w14:paraId="2BDC8E01">
      <w:pPr>
        <w:pStyle w:val="2"/>
        <w:numPr>
          <w:ilvl w:val="0"/>
          <w:numId w:val="5"/>
        </w:numPr>
        <w:ind w:left="440" w:leftChars="0" w:hanging="440" w:firstLineChars="0"/>
      </w:pPr>
      <w:bookmarkStart w:id="0" w:name="OLE_LINK3"/>
      <w:r>
        <w:rPr>
          <w:rFonts w:hint="eastAsia"/>
        </w:rPr>
        <w:t>禁止192.168.1.0/24网段所有PC访问192.168.3.0/24网段，使用ping测试。</w:t>
      </w:r>
    </w:p>
    <w:bookmarkEnd w:id="0"/>
    <w:p w14:paraId="4991B0D7">
      <w:pPr>
        <w:pStyle w:val="2"/>
        <w:numPr>
          <w:ilvl w:val="0"/>
          <w:numId w:val="5"/>
        </w:numPr>
        <w:ind w:left="440" w:leftChars="0" w:hanging="440" w:firstLineChars="0"/>
      </w:pPr>
      <w:r>
        <w:rPr>
          <w:rFonts w:hint="eastAsia"/>
        </w:rPr>
        <w:t>禁止192.168.11.3(Cleint1)主机访问192.168.33.2服务器（Server1）的WWW服务。（ping+服务器访问页面测试）</w:t>
      </w:r>
    </w:p>
    <w:p w14:paraId="0280EBFF">
      <w:pPr>
        <w:pStyle w:val="2"/>
        <w:numPr>
          <w:ilvl w:val="0"/>
          <w:numId w:val="5"/>
        </w:numPr>
        <w:ind w:left="440" w:leftChars="0" w:hanging="440" w:firstLineChars="0"/>
      </w:pPr>
      <w:r>
        <w:rPr>
          <w:rFonts w:hint="eastAsia"/>
        </w:rPr>
        <w:t>仅允许192.168.1.0/24网段访问192.168.2.0/24，使用ping测试。</w:t>
      </w:r>
    </w:p>
    <w:p w14:paraId="7C180343">
      <w:pPr>
        <w:pStyle w:val="2"/>
        <w:numPr>
          <w:ilvl w:val="0"/>
          <w:numId w:val="5"/>
        </w:numPr>
        <w:ind w:left="440" w:leftChars="0" w:hanging="440" w:firstLineChars="0"/>
      </w:pPr>
      <w:r>
        <w:rPr>
          <w:rFonts w:hint="eastAsia"/>
        </w:rPr>
        <w:t>仅允许192.168.2.2主机远程登录（telnet）192.168.33.2服务器，只配置，不需要测试。</w:t>
      </w:r>
    </w:p>
    <w:p w14:paraId="431C2E1B">
      <w:pPr>
        <w:pStyle w:val="2"/>
        <w:numPr>
          <w:ilvl w:val="0"/>
          <w:numId w:val="5"/>
        </w:numPr>
        <w:ind w:left="440" w:leftChars="0" w:hanging="440" w:firstLineChars="0"/>
      </w:pPr>
      <w:r>
        <w:rPr>
          <w:rFonts w:hint="eastAsia"/>
        </w:rPr>
        <w:t>仅允许192.168.11.2主机远程桌面（TCP 目的端口3389）192.168..33.2服务器，只配置，不需要测试。</w:t>
      </w:r>
    </w:p>
    <w:p w14:paraId="3FD71DB3">
      <w:pPr>
        <w:pStyle w:val="13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实验拓扑：</w:t>
      </w:r>
    </w:p>
    <w:p w14:paraId="1BED829E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61610" cy="2383790"/>
            <wp:effectExtent l="0" t="0" r="889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AFB2">
      <w:pPr>
        <w:spacing w:line="360" w:lineRule="auto"/>
        <w:rPr>
          <w:rFonts w:hint="eastAsia" w:ascii="宋体" w:hAnsi="宋体" w:eastAsia="宋体"/>
          <w:sz w:val="24"/>
        </w:rPr>
      </w:pPr>
    </w:p>
    <w:p w14:paraId="49769520">
      <w:pPr>
        <w:pStyle w:val="13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实验步骤及结果：</w:t>
      </w:r>
      <w:r>
        <w:rPr>
          <w:rFonts w:ascii="宋体" w:hAnsi="宋体" w:eastAsia="宋体"/>
          <w:b/>
          <w:sz w:val="24"/>
        </w:rPr>
        <w:t xml:space="preserve"> </w:t>
      </w:r>
    </w:p>
    <w:p w14:paraId="7549A794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说明：为训练大家的实践能力，请大家自行设计各设备的IP地址，指导书中的地址仅供参考</w:t>
      </w:r>
      <w:r>
        <w:t>。（</w:t>
      </w:r>
      <w:r>
        <w:rPr>
          <w:rFonts w:hint="eastAsia"/>
        </w:rPr>
        <w:t>本部分需附</w:t>
      </w:r>
      <w:r>
        <w:t>各步骤的截图，</w:t>
      </w:r>
      <w:r>
        <w:rPr>
          <w:rFonts w:hint="eastAsia"/>
        </w:rPr>
        <w:t>有每个步骤相应的</w:t>
      </w:r>
      <w:r>
        <w:t>文字说明，关键</w:t>
      </w:r>
      <w:r>
        <w:rPr>
          <w:rFonts w:hint="eastAsia"/>
        </w:rPr>
        <w:t>配置</w:t>
      </w:r>
      <w:r>
        <w:t>命令行配文字解释）（</w:t>
      </w:r>
      <w:r>
        <w:rPr>
          <w:b/>
          <w:bCs/>
        </w:rPr>
        <w:t>请删除</w:t>
      </w:r>
      <w:r>
        <w:rPr>
          <w:rFonts w:hint="eastAsia"/>
          <w:b/>
          <w:bCs/>
        </w:rPr>
        <w:t>本</w:t>
      </w:r>
      <w:r>
        <w:rPr>
          <w:b/>
          <w:bCs/>
        </w:rPr>
        <w:t>说明部分</w:t>
      </w:r>
      <w:r>
        <w:t>）</w:t>
      </w:r>
    </w:p>
    <w:p w14:paraId="25AED60C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b/>
          <w:bCs/>
          <w:sz w:val="24"/>
        </w:rPr>
      </w:pPr>
      <w:r>
        <w:rPr>
          <w:rFonts w:hint="eastAsia"/>
          <w:b/>
          <w:bCs/>
        </w:rPr>
        <w:t>根据地址配置表配置各设备的接口地址</w:t>
      </w:r>
    </w:p>
    <w:p w14:paraId="147AEF88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/>
          <w:lang w:val="en-US" w:eastAsia="zh-CN"/>
        </w:rPr>
        <w:t>根据如下的地址规划表配置好各个接口和设备的地址</w:t>
      </w:r>
    </w:p>
    <w:tbl>
      <w:tblPr>
        <w:tblStyle w:val="9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932"/>
        <w:gridCol w:w="1580"/>
        <w:gridCol w:w="1934"/>
        <w:gridCol w:w="1931"/>
        <w:gridCol w:w="29"/>
        <w:gridCol w:w="1905"/>
      </w:tblGrid>
      <w:tr w14:paraId="432E5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2799" w:type="dxa"/>
            <w:gridSpan w:val="2"/>
            <w:vAlign w:val="center"/>
          </w:tcPr>
          <w:p w14:paraId="4F95D278">
            <w:pPr>
              <w:spacing w:after="0" w:line="240" w:lineRule="auto"/>
              <w:ind w:firstLine="0" w:firstLineChars="0"/>
              <w:jc w:val="center"/>
              <w:rPr>
                <w:b/>
                <w:bCs/>
                <w:color w:val="FF000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</w:rPr>
              <w:t>AR1</w:t>
            </w:r>
          </w:p>
        </w:tc>
        <w:tc>
          <w:tcPr>
            <w:tcW w:w="3514" w:type="dxa"/>
            <w:gridSpan w:val="2"/>
            <w:vAlign w:val="center"/>
          </w:tcPr>
          <w:p w14:paraId="4F97D720">
            <w:pPr>
              <w:spacing w:after="0" w:line="240" w:lineRule="auto"/>
              <w:ind w:firstLine="0" w:firstLineChars="0"/>
              <w:jc w:val="center"/>
              <w:rPr>
                <w:b/>
                <w:bCs/>
                <w:color w:val="FF000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</w:rPr>
              <w:t>AR2</w:t>
            </w:r>
          </w:p>
        </w:tc>
        <w:tc>
          <w:tcPr>
            <w:tcW w:w="3865" w:type="dxa"/>
            <w:gridSpan w:val="3"/>
            <w:vAlign w:val="center"/>
          </w:tcPr>
          <w:p w14:paraId="10854092">
            <w:pPr>
              <w:spacing w:after="0" w:line="240" w:lineRule="auto"/>
              <w:ind w:firstLine="0" w:firstLineChars="0"/>
              <w:jc w:val="center"/>
              <w:rPr>
                <w:b/>
                <w:bCs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AR3</w:t>
            </w:r>
          </w:p>
        </w:tc>
      </w:tr>
      <w:tr w14:paraId="2BAC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  <w:jc w:val="center"/>
        </w:trPr>
        <w:tc>
          <w:tcPr>
            <w:tcW w:w="867" w:type="dxa"/>
            <w:vAlign w:val="center"/>
          </w:tcPr>
          <w:p w14:paraId="63964B82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GE 0/0/0</w:t>
            </w:r>
          </w:p>
        </w:tc>
        <w:tc>
          <w:tcPr>
            <w:tcW w:w="1932" w:type="dxa"/>
            <w:vAlign w:val="center"/>
          </w:tcPr>
          <w:p w14:paraId="17DBA946">
            <w:pPr>
              <w:spacing w:after="0" w:line="240" w:lineRule="auto"/>
              <w:ind w:firstLine="0" w:firstLineChars="0"/>
              <w:jc w:val="center"/>
            </w:pPr>
            <w:bookmarkStart w:id="1" w:name="OLE_LINK1"/>
            <w:r>
              <w:rPr>
                <w:rFonts w:hint="eastAsia"/>
              </w:rPr>
              <w:t>192.168.</w:t>
            </w:r>
            <w:bookmarkEnd w:id="1"/>
            <w:r>
              <w:rPr>
                <w:rFonts w:hint="eastAsia"/>
              </w:rPr>
              <w:t>1</w:t>
            </w:r>
            <w:r>
              <w:t>.1/24</w:t>
            </w:r>
          </w:p>
        </w:tc>
        <w:tc>
          <w:tcPr>
            <w:tcW w:w="1580" w:type="dxa"/>
            <w:vAlign w:val="center"/>
          </w:tcPr>
          <w:p w14:paraId="60F99D3F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GE 0/0/0</w:t>
            </w:r>
          </w:p>
        </w:tc>
        <w:tc>
          <w:tcPr>
            <w:tcW w:w="1934" w:type="dxa"/>
            <w:vAlign w:val="center"/>
          </w:tcPr>
          <w:p w14:paraId="63126A47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192.168.2</w:t>
            </w:r>
            <w:r>
              <w:t>.</w:t>
            </w:r>
            <w:r>
              <w:rPr>
                <w:rFonts w:hint="eastAsia"/>
              </w:rPr>
              <w:t>1</w:t>
            </w:r>
            <w:r>
              <w:t>/24</w:t>
            </w:r>
          </w:p>
        </w:tc>
        <w:tc>
          <w:tcPr>
            <w:tcW w:w="1931" w:type="dxa"/>
            <w:vAlign w:val="center"/>
          </w:tcPr>
          <w:p w14:paraId="54841150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GE 0/0/0</w:t>
            </w:r>
          </w:p>
        </w:tc>
        <w:tc>
          <w:tcPr>
            <w:tcW w:w="1934" w:type="dxa"/>
            <w:gridSpan w:val="2"/>
            <w:vAlign w:val="center"/>
          </w:tcPr>
          <w:p w14:paraId="69991D00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192.168.3.1</w:t>
            </w:r>
            <w:r>
              <w:t>/24</w:t>
            </w:r>
          </w:p>
        </w:tc>
      </w:tr>
      <w:tr w14:paraId="6E4D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  <w:jc w:val="center"/>
        </w:trPr>
        <w:tc>
          <w:tcPr>
            <w:tcW w:w="867" w:type="dxa"/>
            <w:vAlign w:val="center"/>
          </w:tcPr>
          <w:p w14:paraId="0AB8A364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GE 0/0/1</w:t>
            </w:r>
          </w:p>
        </w:tc>
        <w:tc>
          <w:tcPr>
            <w:tcW w:w="1932" w:type="dxa"/>
            <w:vAlign w:val="center"/>
          </w:tcPr>
          <w:p w14:paraId="6860F770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</w:rPr>
              <w:t>92.168.12.1/24</w:t>
            </w:r>
          </w:p>
        </w:tc>
        <w:tc>
          <w:tcPr>
            <w:tcW w:w="1580" w:type="dxa"/>
            <w:vAlign w:val="center"/>
          </w:tcPr>
          <w:p w14:paraId="6B0161CC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GE 0/0/1</w:t>
            </w:r>
          </w:p>
        </w:tc>
        <w:tc>
          <w:tcPr>
            <w:tcW w:w="1934" w:type="dxa"/>
            <w:vAlign w:val="center"/>
          </w:tcPr>
          <w:p w14:paraId="2F11AE58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192.168.12</w:t>
            </w:r>
            <w:r>
              <w:t>.2/24</w:t>
            </w:r>
          </w:p>
        </w:tc>
        <w:tc>
          <w:tcPr>
            <w:tcW w:w="1931" w:type="dxa"/>
            <w:vAlign w:val="center"/>
          </w:tcPr>
          <w:p w14:paraId="545A3AB6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GE 0/0/1</w:t>
            </w:r>
          </w:p>
        </w:tc>
        <w:tc>
          <w:tcPr>
            <w:tcW w:w="1934" w:type="dxa"/>
            <w:gridSpan w:val="2"/>
            <w:vAlign w:val="center"/>
          </w:tcPr>
          <w:p w14:paraId="248B42AB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192.168.23</w:t>
            </w:r>
            <w:r>
              <w:t>.2/24</w:t>
            </w:r>
          </w:p>
        </w:tc>
      </w:tr>
      <w:tr w14:paraId="4A3B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  <w:jc w:val="center"/>
        </w:trPr>
        <w:tc>
          <w:tcPr>
            <w:tcW w:w="867" w:type="dxa"/>
            <w:vAlign w:val="center"/>
          </w:tcPr>
          <w:p w14:paraId="258368F6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GE 0/0/2</w:t>
            </w:r>
          </w:p>
        </w:tc>
        <w:tc>
          <w:tcPr>
            <w:tcW w:w="1932" w:type="dxa"/>
            <w:vAlign w:val="center"/>
          </w:tcPr>
          <w:p w14:paraId="3D5E5BB1">
            <w:pPr>
              <w:spacing w:after="0" w:line="240" w:lineRule="auto"/>
              <w:ind w:firstLine="0" w:firstLineChars="0"/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192.168.11.1/24</w:t>
            </w:r>
          </w:p>
        </w:tc>
        <w:tc>
          <w:tcPr>
            <w:tcW w:w="1580" w:type="dxa"/>
            <w:vAlign w:val="center"/>
          </w:tcPr>
          <w:p w14:paraId="67F06339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GE 0/0/2</w:t>
            </w:r>
          </w:p>
        </w:tc>
        <w:tc>
          <w:tcPr>
            <w:tcW w:w="1934" w:type="dxa"/>
            <w:vAlign w:val="center"/>
          </w:tcPr>
          <w:p w14:paraId="0C1B7E51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192.168.23</w:t>
            </w:r>
            <w:r>
              <w:t>.</w:t>
            </w:r>
            <w:r>
              <w:rPr>
                <w:rFonts w:hint="eastAsia"/>
              </w:rPr>
              <w:t>1</w:t>
            </w:r>
            <w:r>
              <w:t>/24</w:t>
            </w:r>
          </w:p>
        </w:tc>
        <w:tc>
          <w:tcPr>
            <w:tcW w:w="1931" w:type="dxa"/>
            <w:vAlign w:val="center"/>
          </w:tcPr>
          <w:p w14:paraId="15C99F87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GE 0/0/2</w:t>
            </w:r>
          </w:p>
        </w:tc>
        <w:tc>
          <w:tcPr>
            <w:tcW w:w="1934" w:type="dxa"/>
            <w:gridSpan w:val="2"/>
            <w:vAlign w:val="center"/>
          </w:tcPr>
          <w:p w14:paraId="72F9B710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192.168.33.1</w:t>
            </w:r>
            <w:r>
              <w:t>/24</w:t>
            </w:r>
          </w:p>
        </w:tc>
      </w:tr>
      <w:tr w14:paraId="69DD9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10178" w:type="dxa"/>
            <w:gridSpan w:val="7"/>
            <w:vAlign w:val="center"/>
          </w:tcPr>
          <w:p w14:paraId="226DC0C4">
            <w:pPr>
              <w:spacing w:after="0" w:line="240" w:lineRule="auto"/>
              <w:ind w:firstLine="0" w:firstLineChars="0"/>
              <w:jc w:val="center"/>
            </w:pPr>
          </w:p>
        </w:tc>
      </w:tr>
      <w:tr w14:paraId="7B399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2799" w:type="dxa"/>
            <w:gridSpan w:val="2"/>
            <w:vAlign w:val="center"/>
          </w:tcPr>
          <w:p w14:paraId="382F812C">
            <w:pPr>
              <w:spacing w:after="0" w:line="240" w:lineRule="auto"/>
              <w:ind w:firstLine="0" w:firstLineChars="0"/>
              <w:jc w:val="center"/>
            </w:pPr>
          </w:p>
        </w:tc>
        <w:tc>
          <w:tcPr>
            <w:tcW w:w="1580" w:type="dxa"/>
            <w:vAlign w:val="center"/>
          </w:tcPr>
          <w:p w14:paraId="763C1AFE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GW</w:t>
            </w:r>
          </w:p>
        </w:tc>
        <w:tc>
          <w:tcPr>
            <w:tcW w:w="1934" w:type="dxa"/>
            <w:vAlign w:val="center"/>
          </w:tcPr>
          <w:p w14:paraId="3FABE76F">
            <w:pPr>
              <w:spacing w:after="0" w:line="240" w:lineRule="auto"/>
              <w:ind w:firstLine="0" w:firstLineChars="0"/>
              <w:jc w:val="center"/>
            </w:pPr>
          </w:p>
        </w:tc>
        <w:tc>
          <w:tcPr>
            <w:tcW w:w="1960" w:type="dxa"/>
            <w:gridSpan w:val="2"/>
            <w:vAlign w:val="center"/>
          </w:tcPr>
          <w:p w14:paraId="616C63F6">
            <w:pPr>
              <w:spacing w:after="0" w:line="240" w:lineRule="auto"/>
              <w:ind w:firstLine="0" w:firstLineChars="0"/>
              <w:jc w:val="center"/>
            </w:pPr>
          </w:p>
        </w:tc>
        <w:tc>
          <w:tcPr>
            <w:tcW w:w="1905" w:type="dxa"/>
            <w:vAlign w:val="center"/>
          </w:tcPr>
          <w:p w14:paraId="12C369D1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GW</w:t>
            </w:r>
          </w:p>
        </w:tc>
      </w:tr>
      <w:tr w14:paraId="7FA8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867" w:type="dxa"/>
            <w:vAlign w:val="center"/>
          </w:tcPr>
          <w:p w14:paraId="6B1B66A9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PC1</w:t>
            </w:r>
          </w:p>
        </w:tc>
        <w:tc>
          <w:tcPr>
            <w:tcW w:w="1932" w:type="dxa"/>
            <w:tcBorders>
              <w:top w:val="single" w:color="auto" w:sz="4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vAlign w:val="bottom"/>
          </w:tcPr>
          <w:p w14:paraId="153E407B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192.168.1</w:t>
            </w:r>
            <w:r>
              <w:rPr>
                <w:rFonts w:eastAsia="Times New Roman" w:cs="Times New Roman"/>
                <w:color w:val="333333"/>
                <w:sz w:val="21"/>
              </w:rPr>
              <w:t>.2/24</w:t>
            </w:r>
          </w:p>
        </w:tc>
        <w:tc>
          <w:tcPr>
            <w:tcW w:w="1580" w:type="dxa"/>
            <w:vAlign w:val="center"/>
          </w:tcPr>
          <w:p w14:paraId="103C757E">
            <w:pPr>
              <w:spacing w:after="0" w:line="240" w:lineRule="auto"/>
              <w:ind w:firstLine="0" w:firstLineChars="0"/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192.168.1</w:t>
            </w:r>
            <w:r>
              <w:rPr>
                <w:rFonts w:eastAsia="Times New Roman" w:cs="Times New Roman"/>
                <w:color w:val="333333"/>
                <w:sz w:val="21"/>
              </w:rPr>
              <w:t>.</w:t>
            </w:r>
            <w:r>
              <w:rPr>
                <w:rFonts w:hint="eastAsia" w:cs="Times New Roman" w:eastAsiaTheme="minorEastAsia"/>
                <w:color w:val="333333"/>
                <w:sz w:val="21"/>
              </w:rPr>
              <w:t>1</w:t>
            </w:r>
          </w:p>
        </w:tc>
        <w:tc>
          <w:tcPr>
            <w:tcW w:w="1934" w:type="dxa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vAlign w:val="bottom"/>
          </w:tcPr>
          <w:p w14:paraId="7A742F32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Server1</w:t>
            </w:r>
          </w:p>
        </w:tc>
        <w:tc>
          <w:tcPr>
            <w:tcW w:w="1931" w:type="dxa"/>
            <w:vAlign w:val="center"/>
          </w:tcPr>
          <w:p w14:paraId="56439BDB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192.168.33.2</w:t>
            </w:r>
            <w:r>
              <w:t>/24</w:t>
            </w:r>
          </w:p>
        </w:tc>
        <w:tc>
          <w:tcPr>
            <w:tcW w:w="1934" w:type="dxa"/>
            <w:gridSpan w:val="2"/>
            <w:vAlign w:val="center"/>
          </w:tcPr>
          <w:p w14:paraId="7ABF02C9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192.168.33.1</w:t>
            </w:r>
          </w:p>
        </w:tc>
      </w:tr>
      <w:tr w14:paraId="5D5C3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867" w:type="dxa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vAlign w:val="bottom"/>
          </w:tcPr>
          <w:p w14:paraId="0AB6935D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PC2</w:t>
            </w:r>
          </w:p>
        </w:tc>
        <w:tc>
          <w:tcPr>
            <w:tcW w:w="1932" w:type="dxa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vAlign w:val="bottom"/>
          </w:tcPr>
          <w:p w14:paraId="19401C3F">
            <w:pPr>
              <w:spacing w:after="0" w:line="240" w:lineRule="auto"/>
              <w:ind w:firstLine="0" w:firstLineChars="0"/>
              <w:jc w:val="center"/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192.168.2.2/24</w:t>
            </w:r>
          </w:p>
        </w:tc>
        <w:tc>
          <w:tcPr>
            <w:tcW w:w="1580" w:type="dxa"/>
            <w:vAlign w:val="bottom"/>
          </w:tcPr>
          <w:p w14:paraId="4B885EF9">
            <w:pPr>
              <w:spacing w:after="0" w:line="240" w:lineRule="auto"/>
              <w:ind w:firstLine="0" w:firstLineChars="0"/>
              <w:jc w:val="center"/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192.168.2.1</w:t>
            </w:r>
          </w:p>
        </w:tc>
        <w:tc>
          <w:tcPr>
            <w:tcW w:w="1934" w:type="dxa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vAlign w:val="bottom"/>
          </w:tcPr>
          <w:p w14:paraId="49B0583D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Client1</w:t>
            </w:r>
          </w:p>
        </w:tc>
        <w:tc>
          <w:tcPr>
            <w:tcW w:w="1931" w:type="dxa"/>
            <w:vAlign w:val="center"/>
          </w:tcPr>
          <w:p w14:paraId="0D35F793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192.168.11.3/24</w:t>
            </w:r>
          </w:p>
        </w:tc>
        <w:tc>
          <w:tcPr>
            <w:tcW w:w="1934" w:type="dxa"/>
            <w:gridSpan w:val="2"/>
            <w:vAlign w:val="center"/>
          </w:tcPr>
          <w:p w14:paraId="6A678CF4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 w:eastAsiaTheme="minorEastAsia"/>
              </w:rPr>
              <w:t>192.168.11.1</w:t>
            </w:r>
          </w:p>
        </w:tc>
      </w:tr>
      <w:tr w14:paraId="1673E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867" w:type="dxa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</w:tcPr>
          <w:p w14:paraId="34ABD17D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PC3</w:t>
            </w:r>
          </w:p>
        </w:tc>
        <w:tc>
          <w:tcPr>
            <w:tcW w:w="1932" w:type="dxa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</w:tcPr>
          <w:p w14:paraId="3E908ACB">
            <w:pPr>
              <w:spacing w:after="0" w:line="240" w:lineRule="auto"/>
              <w:ind w:firstLine="0" w:firstLineChars="0"/>
              <w:jc w:val="center"/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192.168.3.3/24</w:t>
            </w:r>
          </w:p>
        </w:tc>
        <w:tc>
          <w:tcPr>
            <w:tcW w:w="1580" w:type="dxa"/>
          </w:tcPr>
          <w:p w14:paraId="4A29542E">
            <w:pPr>
              <w:spacing w:after="0" w:line="240" w:lineRule="auto"/>
              <w:ind w:firstLine="0" w:firstLineChars="0"/>
              <w:jc w:val="center"/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192.168.3.1</w:t>
            </w:r>
          </w:p>
        </w:tc>
        <w:tc>
          <w:tcPr>
            <w:tcW w:w="1934" w:type="dxa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vAlign w:val="bottom"/>
          </w:tcPr>
          <w:p w14:paraId="2E8F38A9">
            <w:pPr>
              <w:spacing w:after="0" w:line="240" w:lineRule="auto"/>
              <w:ind w:firstLine="0" w:firstLineChars="0"/>
              <w:jc w:val="center"/>
            </w:pPr>
          </w:p>
        </w:tc>
        <w:tc>
          <w:tcPr>
            <w:tcW w:w="1931" w:type="dxa"/>
            <w:vAlign w:val="center"/>
          </w:tcPr>
          <w:p w14:paraId="477D7DF7">
            <w:pPr>
              <w:spacing w:after="0" w:line="240" w:lineRule="auto"/>
              <w:ind w:firstLine="0" w:firstLineChars="0"/>
              <w:jc w:val="center"/>
            </w:pPr>
          </w:p>
        </w:tc>
        <w:tc>
          <w:tcPr>
            <w:tcW w:w="1934" w:type="dxa"/>
            <w:gridSpan w:val="2"/>
            <w:vAlign w:val="center"/>
          </w:tcPr>
          <w:p w14:paraId="34564D04">
            <w:pPr>
              <w:spacing w:after="0" w:line="240" w:lineRule="auto"/>
              <w:ind w:firstLine="0" w:firstLineChars="0"/>
              <w:jc w:val="center"/>
            </w:pPr>
          </w:p>
        </w:tc>
      </w:tr>
      <w:tr w14:paraId="01C6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867" w:type="dxa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vAlign w:val="bottom"/>
          </w:tcPr>
          <w:p w14:paraId="76EB6603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PC4</w:t>
            </w:r>
          </w:p>
        </w:tc>
        <w:tc>
          <w:tcPr>
            <w:tcW w:w="1932" w:type="dxa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</w:tcPr>
          <w:p w14:paraId="3FB569FD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 w:eastAsiaTheme="minorEastAsia"/>
              </w:rPr>
              <w:t>192.168.11.2/24</w:t>
            </w:r>
          </w:p>
        </w:tc>
        <w:tc>
          <w:tcPr>
            <w:tcW w:w="1580" w:type="dxa"/>
            <w:vAlign w:val="bottom"/>
          </w:tcPr>
          <w:p w14:paraId="2DAFF424">
            <w:pPr>
              <w:spacing w:after="0" w:line="240" w:lineRule="auto"/>
              <w:ind w:firstLine="0" w:firstLineChars="0"/>
              <w:jc w:val="center"/>
            </w:pPr>
            <w:r>
              <w:rPr>
                <w:rFonts w:hint="eastAsia" w:eastAsiaTheme="minorEastAsia"/>
              </w:rPr>
              <w:t>192.168.11.1</w:t>
            </w:r>
          </w:p>
        </w:tc>
        <w:tc>
          <w:tcPr>
            <w:tcW w:w="1934" w:type="dxa"/>
            <w:tcBorders>
              <w:top w:val="single" w:color="000000" w:sz="2" w:space="0"/>
              <w:left w:val="single" w:color="000000" w:sz="6" w:space="0"/>
              <w:bottom w:val="single" w:color="000000" w:sz="2" w:space="0"/>
              <w:right w:val="single" w:color="000000" w:sz="6" w:space="0"/>
            </w:tcBorders>
            <w:vAlign w:val="bottom"/>
          </w:tcPr>
          <w:p w14:paraId="5235CBC3">
            <w:pPr>
              <w:spacing w:after="0" w:line="240" w:lineRule="auto"/>
              <w:ind w:firstLine="0" w:firstLineChars="0"/>
              <w:jc w:val="center"/>
            </w:pPr>
          </w:p>
        </w:tc>
        <w:tc>
          <w:tcPr>
            <w:tcW w:w="1931" w:type="dxa"/>
            <w:vAlign w:val="center"/>
          </w:tcPr>
          <w:p w14:paraId="74D6EB00">
            <w:pPr>
              <w:spacing w:after="0" w:line="240" w:lineRule="auto"/>
              <w:ind w:firstLine="0" w:firstLineChars="0"/>
              <w:jc w:val="center"/>
            </w:pPr>
          </w:p>
        </w:tc>
        <w:tc>
          <w:tcPr>
            <w:tcW w:w="1934" w:type="dxa"/>
            <w:gridSpan w:val="2"/>
            <w:vAlign w:val="center"/>
          </w:tcPr>
          <w:p w14:paraId="7402662B">
            <w:pPr>
              <w:spacing w:after="0" w:line="240" w:lineRule="auto"/>
              <w:ind w:firstLine="0" w:firstLineChars="0"/>
              <w:jc w:val="center"/>
            </w:pPr>
          </w:p>
        </w:tc>
      </w:tr>
    </w:tbl>
    <w:p w14:paraId="33B258E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地址配置完成示例：</w:t>
      </w:r>
    </w:p>
    <w:p w14:paraId="6BC64776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/>
          <w:sz w:val="24"/>
          <w:lang w:val="en-US" w:eastAsia="zh-CN"/>
        </w:rPr>
      </w:pPr>
      <w:r>
        <w:drawing>
          <wp:inline distT="0" distB="0" distL="114300" distR="114300">
            <wp:extent cx="5266690" cy="2139950"/>
            <wp:effectExtent l="0" t="0" r="381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84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Server1 地址配置如下：</w:t>
      </w:r>
    </w:p>
    <w:p w14:paraId="36A828A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73675" cy="1970405"/>
            <wp:effectExtent l="0" t="0" r="952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55AEA95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</w:p>
    <w:p w14:paraId="05DE149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启动Server1 的HTTP服务：</w:t>
      </w:r>
    </w:p>
    <w:p w14:paraId="66E0D06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66690" cy="2072640"/>
            <wp:effectExtent l="0" t="0" r="381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3F589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配置网络路由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  <w:lang w:val="en-US" w:eastAsia="zh-CN"/>
        </w:rPr>
        <w:t>OSPF方法</w:t>
      </w:r>
    </w:p>
    <w:p w14:paraId="28E83F02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/>
        </w:rPr>
      </w:pPr>
      <w:r>
        <w:rPr>
          <w:rFonts w:hint="eastAsia"/>
          <w:b w:val="0"/>
          <w:bCs w:val="0"/>
          <w:lang w:val="en-US" w:eastAsia="zh-CN"/>
        </w:rPr>
        <w:t>将与路由器相连的网段全部宣告如OSPF骨干区域（以R2为例）：</w:t>
      </w:r>
    </w:p>
    <w:p w14:paraId="251200FE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bCs/>
        </w:rPr>
      </w:pPr>
      <w:r>
        <w:drawing>
          <wp:inline distT="0" distB="0" distL="114300" distR="114300">
            <wp:extent cx="5271770" cy="1304925"/>
            <wp:effectExtent l="0" t="0" r="1143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948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73040" cy="1318260"/>
            <wp:effectExtent l="0" t="0" r="1016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5729">
      <w:pPr>
        <w:spacing w:line="360" w:lineRule="auto"/>
        <w:rPr>
          <w:rFonts w:hint="eastAsia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全部配置完成后进行连通性测试：</w:t>
      </w:r>
      <w:r>
        <w:rPr>
          <w:rFonts w:hint="eastAsia"/>
        </w:rPr>
        <w:t>PC1 ping PC3</w:t>
      </w:r>
      <w:r>
        <w:rPr>
          <w:rFonts w:hint="eastAsia"/>
          <w:lang w:eastAsia="zh-CN"/>
        </w:rPr>
        <w:t>：</w:t>
      </w:r>
    </w:p>
    <w:p w14:paraId="1749FB71">
      <w:pPr>
        <w:spacing w:line="360" w:lineRule="auto"/>
      </w:pPr>
      <w:r>
        <w:drawing>
          <wp:inline distT="0" distB="0" distL="114300" distR="114300">
            <wp:extent cx="5267960" cy="2541270"/>
            <wp:effectExtent l="0" t="0" r="254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4C7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说明：Ping通，说明网络路由已经配置成功！</w:t>
      </w:r>
    </w:p>
    <w:p w14:paraId="04CBD458">
      <w:pPr>
        <w:spacing w:line="360" w:lineRule="auto"/>
      </w:pPr>
      <w:r>
        <w:drawing>
          <wp:inline distT="0" distB="0" distL="114300" distR="114300">
            <wp:extent cx="5273675" cy="1449070"/>
            <wp:effectExtent l="0" t="0" r="952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D461A"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另外，在主机上也能成功获取服务器报文！</w:t>
      </w:r>
    </w:p>
    <w:p w14:paraId="2193DAA0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配置ACL命令</w:t>
      </w:r>
    </w:p>
    <w:p w14:paraId="7E872046">
      <w:pPr>
        <w:pStyle w:val="2"/>
        <w:numPr>
          <w:ilvl w:val="0"/>
          <w:numId w:val="7"/>
        </w:numPr>
      </w:pPr>
      <w:r>
        <w:rPr>
          <w:rFonts w:hint="eastAsia"/>
        </w:rPr>
        <w:t>禁止192.168.1.0/24网段所有PC访问192.168.3.0/24网段，使用ping测试</w:t>
      </w:r>
      <w:r>
        <w:rPr>
          <w:rFonts w:hint="eastAsia"/>
          <w:lang w:eastAsia="zh-CN"/>
        </w:rPr>
        <w:t>：</w:t>
      </w:r>
    </w:p>
    <w:p w14:paraId="772DB7BF">
      <w:r>
        <w:drawing>
          <wp:inline distT="0" distB="0" distL="114300" distR="114300">
            <wp:extent cx="5269865" cy="143510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C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说明：该命令拒绝源192.168.1.0/24的流量，并应用到接口GigabitEthernet0/0/0的出方向。</w:t>
      </w:r>
    </w:p>
    <w:p w14:paraId="7CF850A4">
      <w:r>
        <w:drawing>
          <wp:inline distT="0" distB="0" distL="114300" distR="114300">
            <wp:extent cx="5272405" cy="2413000"/>
            <wp:effectExtent l="0" t="0" r="1079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1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说明：由上图可知，配置acl后ping不通，证明acl配置成功</w:t>
      </w:r>
    </w:p>
    <w:p w14:paraId="5D3FE70B">
      <w:pPr>
        <w:pStyle w:val="2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禁止192.168.1.2主机访问192.168.11.0/24网段，使用ping测试：</w:t>
      </w:r>
    </w:p>
    <w:p w14:paraId="79342F34">
      <w:pPr>
        <w:rPr>
          <w:rFonts w:hint="eastAsia"/>
          <w:lang w:eastAsia="zh-CN"/>
        </w:rPr>
      </w:pPr>
      <w:r>
        <w:rPr>
          <w:rFonts w:hint="eastAsia"/>
        </w:rPr>
        <w:t>先测试联通性，PC1 ping PC4. 可以ping通</w:t>
      </w:r>
      <w:r>
        <w:rPr>
          <w:rFonts w:hint="eastAsia"/>
          <w:lang w:eastAsia="zh-CN"/>
        </w:rPr>
        <w:t>：</w:t>
      </w:r>
    </w:p>
    <w:p w14:paraId="2BFE8238">
      <w:r>
        <w:drawing>
          <wp:inline distT="0" distB="0" distL="114300" distR="114300">
            <wp:extent cx="4260850" cy="2200910"/>
            <wp:effectExtent l="0" t="0" r="635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C72BF">
      <w:pPr>
        <w:rPr>
          <w:rFonts w:hint="eastAsia" w:eastAsia="宋体"/>
          <w:lang w:val="en-US" w:eastAsia="zh-CN"/>
        </w:rPr>
      </w:pPr>
      <w:r>
        <w:rPr>
          <w:rFonts w:hint="eastAsia"/>
        </w:rPr>
        <w:t>然后，在AR1配置acl 2000</w:t>
      </w:r>
      <w:r>
        <w:rPr>
          <w:rFonts w:hint="eastAsia"/>
          <w:lang w:eastAsia="zh-CN"/>
        </w:rPr>
        <w:t>：</w:t>
      </w:r>
    </w:p>
    <w:p w14:paraId="696B1617">
      <w:r>
        <w:drawing>
          <wp:inline distT="0" distB="0" distL="114300" distR="114300">
            <wp:extent cx="5272405" cy="1194435"/>
            <wp:effectExtent l="0" t="0" r="1079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7AB6">
      <w:pPr>
        <w:rPr>
          <w:rFonts w:hint="eastAsia"/>
          <w:lang w:eastAsia="zh-CN"/>
        </w:rPr>
      </w:pPr>
      <w:r>
        <w:rPr>
          <w:rFonts w:hint="eastAsia"/>
        </w:rPr>
        <w:t xml:space="preserve">测试联通性，PC1 ping PC4. </w:t>
      </w:r>
      <w:r>
        <w:t>P</w:t>
      </w:r>
      <w:r>
        <w:rPr>
          <w:rFonts w:hint="eastAsia"/>
        </w:rPr>
        <w:t>ing不通</w:t>
      </w:r>
      <w:r>
        <w:rPr>
          <w:rFonts w:hint="eastAsia"/>
          <w:lang w:eastAsia="zh-CN"/>
        </w:rPr>
        <w:t>：</w:t>
      </w:r>
    </w:p>
    <w:p w14:paraId="07B3470B">
      <w:r>
        <w:drawing>
          <wp:inline distT="0" distB="0" distL="114300" distR="114300">
            <wp:extent cx="5271770" cy="2209800"/>
            <wp:effectExtent l="0" t="0" r="1143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A7AB">
      <w:pPr>
        <w:pStyle w:val="2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禁止192.168.11.3主机访问192.168.33.2服务器的80端口服务。</w:t>
      </w:r>
    </w:p>
    <w:p w14:paraId="072D5670">
      <w:pPr>
        <w:pStyle w:val="2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</w:rPr>
        <w:t>在Client1中ping192.168.33.2 可以ping通</w:t>
      </w:r>
      <w:r>
        <w:rPr>
          <w:rFonts w:hint="eastAsia"/>
          <w:lang w:eastAsia="zh-CN"/>
        </w:rPr>
        <w:t>：</w:t>
      </w:r>
    </w:p>
    <w:p w14:paraId="20DD64B7">
      <w:r>
        <w:drawing>
          <wp:inline distT="0" distB="0" distL="114300" distR="114300">
            <wp:extent cx="5265420" cy="1262380"/>
            <wp:effectExtent l="0" t="0" r="508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FC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由下图可知服务器网页测试正常：</w:t>
      </w:r>
    </w:p>
    <w:p w14:paraId="1B5F1F77">
      <w:pPr>
        <w:rPr>
          <w:rFonts w:hint="eastAsia"/>
          <w:lang w:eastAsia="zh-CN"/>
        </w:rPr>
      </w:pPr>
      <w:r>
        <w:drawing>
          <wp:inline distT="0" distB="0" distL="114300" distR="114300">
            <wp:extent cx="5273675" cy="2902585"/>
            <wp:effectExtent l="0" t="0" r="952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43B1">
      <w:pPr>
        <w:rPr>
          <w:rFonts w:hint="eastAsia"/>
          <w:lang w:eastAsia="zh-CN"/>
        </w:rPr>
      </w:pPr>
      <w:r>
        <w:rPr>
          <w:rFonts w:hint="eastAsia"/>
        </w:rPr>
        <w:t>在AR1上配置acl 3000</w:t>
      </w:r>
      <w:r>
        <w:rPr>
          <w:rFonts w:hint="eastAsia"/>
          <w:lang w:eastAsia="zh-CN"/>
        </w:rPr>
        <w:t>：</w:t>
      </w:r>
    </w:p>
    <w:p w14:paraId="1BB0D2DD">
      <w:r>
        <w:drawing>
          <wp:inline distT="0" distB="0" distL="114300" distR="114300">
            <wp:extent cx="5267960" cy="27152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898A">
      <w:pPr>
        <w:rPr>
          <w:rFonts w:hint="eastAsia" w:eastAsia="宋体"/>
          <w:lang w:eastAsia="zh-CN"/>
        </w:rPr>
      </w:pPr>
      <w:r>
        <w:rPr>
          <w:rFonts w:hint="eastAsia"/>
        </w:rPr>
        <w:t>结果如下：访问不到网站服务器，但是能够ping通</w:t>
      </w:r>
      <w:r>
        <w:rPr>
          <w:rFonts w:hint="eastAsia"/>
          <w:lang w:eastAsia="zh-CN"/>
        </w:rPr>
        <w:t>：</w:t>
      </w:r>
    </w:p>
    <w:p w14:paraId="1D3AE81F">
      <w:r>
        <w:drawing>
          <wp:inline distT="0" distB="0" distL="114300" distR="114300">
            <wp:extent cx="5270500" cy="10972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1709">
      <w:pPr>
        <w:rPr>
          <w:rFonts w:hint="eastAsia"/>
          <w:lang w:eastAsia="zh-CN"/>
        </w:rPr>
      </w:pPr>
      <w:r>
        <w:drawing>
          <wp:inline distT="0" distB="0" distL="114300" distR="114300">
            <wp:extent cx="5267325" cy="3121660"/>
            <wp:effectExtent l="0" t="0" r="317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DFF9">
      <w:pPr>
        <w:pStyle w:val="2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仅允许192.168.1.0/24网段访问192.168.2.0/24。使用ping测试。</w:t>
      </w:r>
    </w:p>
    <w:p w14:paraId="01E90540">
      <w:r>
        <w:drawing>
          <wp:inline distT="0" distB="0" distL="114300" distR="114300">
            <wp:extent cx="5274310" cy="3221355"/>
            <wp:effectExtent l="0" t="0" r="889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231B">
      <w:r>
        <w:drawing>
          <wp:inline distT="0" distB="0" distL="114300" distR="114300">
            <wp:extent cx="5264150" cy="2258060"/>
            <wp:effectExtent l="0" t="0" r="635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6D20">
      <w:pPr>
        <w:pStyle w:val="2"/>
        <w:rPr>
          <w:rFonts w:hint="eastAsia" w:eastAsia="宋体"/>
          <w:lang w:eastAsia="zh-CN"/>
        </w:rPr>
      </w:pPr>
      <w:r>
        <w:rPr>
          <w:rFonts w:hint="eastAsia"/>
        </w:rPr>
        <w:t>仅允许192.168.2.2主机远程登录（telnet）192.168.33.2服务器，只配置，不需要测试。</w:t>
      </w:r>
    </w:p>
    <w:p w14:paraId="46BF2C35">
      <w:pPr>
        <w:pStyle w:val="2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</w:rPr>
        <w:t>在AR3上配置acl 3001，应用到GE0/0/2</w:t>
      </w:r>
      <w:r>
        <w:rPr>
          <w:rFonts w:hint="eastAsia"/>
          <w:lang w:eastAsia="zh-CN"/>
        </w:rPr>
        <w:t>：</w:t>
      </w:r>
    </w:p>
    <w:p w14:paraId="098188AD">
      <w:pPr>
        <w:rPr>
          <w:rFonts w:hint="eastAsia"/>
          <w:lang w:eastAsia="zh-CN"/>
        </w:rPr>
      </w:pPr>
      <w:r>
        <w:drawing>
          <wp:inline distT="0" distB="0" distL="114300" distR="114300">
            <wp:extent cx="5271135" cy="1528445"/>
            <wp:effectExtent l="0" t="0" r="12065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2F05C">
      <w:r>
        <w:drawing>
          <wp:inline distT="0" distB="0" distL="114300" distR="114300">
            <wp:extent cx="5271770" cy="1059815"/>
            <wp:effectExtent l="0" t="0" r="1143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76DE">
      <w:pPr>
        <w:pStyle w:val="2"/>
      </w:pPr>
      <w:r>
        <w:rPr>
          <w:rFonts w:hint="eastAsia"/>
        </w:rPr>
        <w:t>仅允许192.168.11.2主机远程桌面（TCP 目的端口3389）192.168..33.2服务器</w:t>
      </w:r>
      <w:r>
        <w:rPr>
          <w:rFonts w:hint="eastAsia"/>
          <w:lang w:eastAsia="zh-CN"/>
        </w:rPr>
        <w:t>。</w:t>
      </w:r>
    </w:p>
    <w:p w14:paraId="3F9653A8">
      <w:pPr>
        <w:rPr>
          <w:rFonts w:hint="eastAsia"/>
          <w:lang w:eastAsia="zh-CN"/>
        </w:rPr>
      </w:pPr>
      <w:r>
        <w:rPr>
          <w:rFonts w:hint="eastAsia"/>
        </w:rPr>
        <w:t>从第5）部的图中可以看到，AR3的GE0/0/2的入方向已经有acl 3001，一个端口一个方向只能配置一个acl，所以需要将acl 3000执行 undo命令</w:t>
      </w:r>
      <w:r>
        <w:rPr>
          <w:rFonts w:hint="eastAsia"/>
          <w:lang w:eastAsia="zh-CN"/>
        </w:rPr>
        <w:t>：</w:t>
      </w:r>
    </w:p>
    <w:p w14:paraId="2EE81C4E">
      <w:r>
        <w:drawing>
          <wp:inline distT="0" distB="0" distL="114300" distR="114300">
            <wp:extent cx="5274310" cy="1270000"/>
            <wp:effectExtent l="0" t="0" r="889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50BF">
      <w:pPr>
        <w:ind w:firstLine="0" w:firstLineChars="0"/>
      </w:pPr>
      <w:r>
        <w:rPr>
          <w:rFonts w:hint="eastAsia"/>
        </w:rPr>
        <w:t>查看结果：</w:t>
      </w:r>
    </w:p>
    <w:p w14:paraId="6A625AED">
      <w:r>
        <w:drawing>
          <wp:inline distT="0" distB="0" distL="114300" distR="114300">
            <wp:extent cx="5267960" cy="1136015"/>
            <wp:effectExtent l="0" t="0" r="254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D088">
      <w:pPr>
        <w:rPr>
          <w:rFonts w:hint="eastAsia"/>
          <w:b/>
          <w:bCs/>
        </w:rPr>
      </w:pPr>
      <w:r>
        <w:drawing>
          <wp:inline distT="0" distB="0" distL="114300" distR="114300">
            <wp:extent cx="5270500" cy="2270760"/>
            <wp:effectExtent l="0" t="0" r="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3F4B">
      <w:pPr>
        <w:spacing w:line="360" w:lineRule="auto"/>
        <w:rPr>
          <w:rFonts w:hint="eastAsia" w:ascii="宋体" w:hAnsi="宋体" w:eastAsia="宋体"/>
          <w:sz w:val="24"/>
        </w:rPr>
      </w:pPr>
    </w:p>
    <w:p w14:paraId="3F5658CF">
      <w:pPr>
        <w:pStyle w:val="13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遇到的问题、总结和建议</w:t>
      </w:r>
    </w:p>
    <w:p w14:paraId="288F8BA4">
      <w:pPr>
        <w:pStyle w:val="13"/>
        <w:numPr>
          <w:ilvl w:val="0"/>
          <w:numId w:val="8"/>
        </w:numPr>
        <w:ind w:firstLineChars="0"/>
      </w:pPr>
      <w:r>
        <w:rPr>
          <w:rFonts w:hint="eastAsia"/>
        </w:rPr>
        <w:t>请简单列出标准ACL与扩展（高级）ACL的区别？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8"/>
        <w:gridCol w:w="3585"/>
        <w:gridCol w:w="3763"/>
      </w:tblGrid>
      <w:tr w14:paraId="217C6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3D1B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6538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标准ACL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66A7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扩展ACL</w:t>
            </w:r>
          </w:p>
        </w:tc>
      </w:tr>
      <w:tr w14:paraId="711C3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DC14B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编号范围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7E90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2000-2999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60B3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3000-3999</w:t>
            </w:r>
          </w:p>
        </w:tc>
      </w:tr>
      <w:tr w14:paraId="2D262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824A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匹配条件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E40E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仅基于源IP地址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3DA2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基于源IP、目的IP、协议类型、端口号等</w:t>
            </w:r>
          </w:p>
        </w:tc>
      </w:tr>
      <w:tr w14:paraId="6EAF2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FE54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功能粒度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F292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简单过滤（如按网段限制流量）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6A2A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精细控制（如限制特定服务的访问）</w:t>
            </w:r>
          </w:p>
        </w:tc>
      </w:tr>
      <w:tr w14:paraId="09A49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E595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典型应用场景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509A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控制源地址的访问权限（如禁止某网段访问全网）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1D41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控制特定服务的访问（如仅允许HTTP访问某服务器）</w:t>
            </w:r>
          </w:p>
        </w:tc>
      </w:tr>
    </w:tbl>
    <w:p w14:paraId="21681882">
      <w:pPr>
        <w:pStyle w:val="13"/>
        <w:numPr>
          <w:ilvl w:val="0"/>
          <w:numId w:val="0"/>
        </w:numPr>
        <w:ind w:leftChars="0"/>
      </w:pPr>
    </w:p>
    <w:p w14:paraId="10723610">
      <w:pPr>
        <w:pStyle w:val="13"/>
        <w:numPr>
          <w:ilvl w:val="0"/>
          <w:numId w:val="8"/>
        </w:numPr>
        <w:ind w:firstLineChars="0"/>
      </w:pPr>
      <w:r>
        <w:rPr>
          <w:rFonts w:hint="eastAsia"/>
        </w:rPr>
        <w:t>为什么标准ACL通常建议靠近目标设备部署，而扩展ACL靠近源？</w:t>
      </w:r>
    </w:p>
    <w:p w14:paraId="6F01B4E8">
      <w:pPr>
        <w:pStyle w:val="13"/>
        <w:numPr>
          <w:ilvl w:val="0"/>
          <w:numId w:val="9"/>
        </w:numPr>
        <w:ind w:left="420" w:leftChars="0" w:hanging="420" w:firstLineChars="0"/>
      </w:pPr>
      <w:r>
        <w:t>标准ACL靠近目标</w:t>
      </w:r>
      <w:r>
        <w:rPr>
          <w:rFonts w:hint="default"/>
        </w:rPr>
        <w:t>：</w:t>
      </w:r>
      <w:r>
        <w:rPr>
          <w:rFonts w:hint="default"/>
        </w:rPr>
        <w:br w:type="textWrapping"/>
      </w:r>
      <w:r>
        <w:rPr>
          <w:rFonts w:hint="default"/>
        </w:rPr>
        <w:t>标准ACL仅匹配源IP，若靠近源部署，可能误过滤合法流量（如其他网段到目标的正常流量）。靠近目标时，可精准控制哪些源可访问目标资源，避免影响其他正常通信。</w:t>
      </w:r>
    </w:p>
    <w:p w14:paraId="0CF2AD87">
      <w:pPr>
        <w:pStyle w:val="13"/>
        <w:numPr>
          <w:ilvl w:val="0"/>
          <w:numId w:val="9"/>
        </w:numPr>
        <w:ind w:left="420" w:leftChars="0" w:hanging="420" w:firstLineChars="0"/>
      </w:pPr>
      <w:r>
        <w:rPr>
          <w:rFonts w:hint="default"/>
        </w:rPr>
        <w:t>​扩展ACL靠近源：</w:t>
      </w:r>
      <w:r>
        <w:rPr>
          <w:rFonts w:hint="default"/>
        </w:rPr>
        <w:br w:type="textWrapping"/>
      </w:r>
      <w:r>
        <w:rPr>
          <w:rFonts w:hint="default"/>
        </w:rPr>
        <w:t>扩展ACL包含多字段匹配（如协议、端口），靠近源部署可提前过滤无效流量，减少网络传输开销；同时避免无关流量占用链路带宽。</w:t>
      </w:r>
    </w:p>
    <w:p w14:paraId="399E7890">
      <w:pPr>
        <w:pStyle w:val="13"/>
        <w:numPr>
          <w:ilvl w:val="0"/>
          <w:numId w:val="8"/>
        </w:numPr>
        <w:ind w:firstLineChars="0"/>
      </w:pPr>
      <w:r>
        <w:rPr>
          <w:rFonts w:hint="eastAsia"/>
        </w:rPr>
        <w:t>当ACL同时应用于路由器的入方向和出方向时，数据包会被检查几次？</w:t>
      </w:r>
    </w:p>
    <w:p w14:paraId="111BF341">
      <w:pPr>
        <w:pStyle w:val="13"/>
        <w:numPr>
          <w:ilvl w:val="0"/>
          <w:numId w:val="0"/>
        </w:numPr>
        <w:ind w:leftChars="0"/>
      </w:pPr>
      <w:r>
        <w:rPr>
          <w:rFonts w:hint="default"/>
        </w:rPr>
        <w:t>数据包经过接口时，​入方向和出方向的ACL各检查一次，共两次。例如：</w:t>
      </w:r>
    </w:p>
    <w:p w14:paraId="009C47C3">
      <w:pPr>
        <w:pStyle w:val="13"/>
        <w:numPr>
          <w:ilvl w:val="0"/>
          <w:numId w:val="10"/>
        </w:numPr>
        <w:ind w:left="420" w:leftChars="0" w:hanging="420" w:firstLineChars="0"/>
      </w:pPr>
      <w:r>
        <w:rPr>
          <w:rFonts w:hint="default"/>
        </w:rPr>
        <w:t>数据包进入接口时，匹配入方向ACL；</w:t>
      </w:r>
    </w:p>
    <w:p w14:paraId="7A0DF8D7">
      <w:pPr>
        <w:pStyle w:val="13"/>
        <w:numPr>
          <w:ilvl w:val="0"/>
          <w:numId w:val="10"/>
        </w:numPr>
        <w:ind w:left="420" w:leftChars="0" w:hanging="420" w:firstLineChars="0"/>
      </w:pPr>
      <w:r>
        <w:rPr>
          <w:rFonts w:hint="default"/>
        </w:rPr>
        <w:t>转发时从出接口离开，再次匹配出方向ACL。</w:t>
      </w:r>
    </w:p>
    <w:p w14:paraId="67454751">
      <w:pPr>
        <w:pStyle w:val="13"/>
        <w:numPr>
          <w:ilvl w:val="0"/>
          <w:numId w:val="8"/>
        </w:numPr>
        <w:ind w:firstLineChars="0"/>
      </w:pPr>
      <w:r>
        <w:rPr>
          <w:rFonts w:hint="eastAsia"/>
        </w:rPr>
        <w:t>某公司要求财务部（网段10.1.1.0/24）禁止访问市场部的文件服务器（IP 10.1.2.100，端口21），但允许访问市场部其他资源。应使用标准还是扩展ACL？请写出关键规则配置。</w:t>
      </w:r>
    </w:p>
    <w:p w14:paraId="4F410170">
      <w:pPr>
        <w:pStyle w:val="13"/>
        <w:numPr>
          <w:ilvl w:val="0"/>
          <w:numId w:val="11"/>
        </w:numPr>
        <w:ind w:left="420" w:leftChars="0" w:hanging="420" w:firstLineChars="0"/>
      </w:pPr>
      <w:r>
        <w:t>​</w:t>
      </w:r>
      <w:r>
        <w:rPr>
          <w:rFonts w:hint="default"/>
        </w:rPr>
        <w:t>应使用扩展ACL，因需同时匹配源地址（财务部）、目的地址（市场部服务器）和端口（如FTP的21端口）。</w:t>
      </w:r>
    </w:p>
    <w:p w14:paraId="7A0F3DAA">
      <w:pPr>
        <w:pStyle w:val="13"/>
        <w:numPr>
          <w:ilvl w:val="0"/>
          <w:numId w:val="11"/>
        </w:numPr>
        <w:ind w:left="420" w:leftChars="0" w:hanging="420" w:firstLineChars="0"/>
      </w:pPr>
      <w:r>
        <w:rPr>
          <w:rFonts w:hint="default"/>
        </w:rPr>
        <w:t>​关键规则：</w:t>
      </w:r>
    </w:p>
    <w:p w14:paraId="40ED5FA8">
      <w:pPr>
        <w:pStyle w:val="13"/>
        <w:numPr>
          <w:ilvl w:val="0"/>
          <w:numId w:val="0"/>
        </w:numPr>
        <w:ind w:leftChars="0" w:firstLine="420" w:firstLineChars="0"/>
        <w:rPr>
          <w:rFonts w:hint="eastAsia" w:eastAsia="宋体"/>
          <w:lang w:eastAsia="zh-CN"/>
        </w:rPr>
      </w:pPr>
      <w:r>
        <w:t># 允许财务部访问市场部其他资源</w:t>
      </w:r>
      <w:r>
        <w:rPr>
          <w:rFonts w:hint="eastAsia"/>
          <w:lang w:eastAsia="zh-CN"/>
        </w:rPr>
        <w:t>：</w:t>
      </w:r>
    </w:p>
    <w:p w14:paraId="79BA3B71">
      <w:pPr>
        <w:pStyle w:val="13"/>
        <w:numPr>
          <w:ilvl w:val="0"/>
          <w:numId w:val="0"/>
        </w:numPr>
        <w:ind w:left="420" w:leftChars="0" w:firstLine="420" w:firstLineChars="0"/>
      </w:pPr>
      <w:r>
        <w:t xml:space="preserve">rule permit ip source 10.1.1.0 0.0.0.255 destination 10.1.2.0 0.0.0.255  </w:t>
      </w:r>
    </w:p>
    <w:p w14:paraId="294681DA">
      <w:pPr>
        <w:pStyle w:val="13"/>
        <w:numPr>
          <w:ilvl w:val="0"/>
          <w:numId w:val="0"/>
        </w:numPr>
        <w:ind w:leftChars="0" w:firstLine="420" w:firstLineChars="0"/>
      </w:pPr>
      <w:r>
        <w:t># 拒绝财务部访问市场部服务器的FTP服务</w:t>
      </w:r>
      <w:r>
        <w:rPr>
          <w:rFonts w:hint="eastAsia"/>
          <w:lang w:eastAsia="zh-CN"/>
        </w:rPr>
        <w:t>：</w:t>
      </w:r>
      <w:r>
        <w:t xml:space="preserve">  </w:t>
      </w:r>
    </w:p>
    <w:p w14:paraId="0DC226E5">
      <w:pPr>
        <w:pStyle w:val="13"/>
        <w:numPr>
          <w:ilvl w:val="0"/>
          <w:numId w:val="0"/>
        </w:numPr>
        <w:ind w:left="420" w:leftChars="0" w:firstLine="420" w:firstLineChars="0"/>
      </w:pPr>
      <w:r>
        <w:t xml:space="preserve">rule deny tcp source 10.1.1.0 0.0.0.255 destination 10.1.2.100 0 destination-port eq 21  </w:t>
      </w:r>
    </w:p>
    <w:p w14:paraId="69112B1B">
      <w:pPr>
        <w:pStyle w:val="13"/>
        <w:numPr>
          <w:ilvl w:val="0"/>
          <w:numId w:val="8"/>
        </w:numPr>
        <w:ind w:firstLineChars="0"/>
      </w:pPr>
      <w:r>
        <w:rPr>
          <w:rFonts w:hint="eastAsia"/>
        </w:rPr>
        <w:t>若ACL 2000中仅配置了rule permit source 192.168.1.0 0.0.0.255，但未添加rule deny语句，为什么来自192.168.2.0/24的流量仍会被拒绝？如何验证这一现象？</w:t>
      </w:r>
    </w:p>
    <w:p w14:paraId="75672E26">
      <w:pPr>
        <w:pStyle w:val="13"/>
        <w:numPr>
          <w:ilvl w:val="0"/>
          <w:numId w:val="12"/>
        </w:numPr>
        <w:ind w:left="420" w:leftChars="0" w:hanging="420" w:firstLineChars="0"/>
      </w:pPr>
      <w:r>
        <w:t>原因</w:t>
      </w:r>
      <w:r>
        <w:rPr>
          <w:rFonts w:hint="default"/>
        </w:rPr>
        <w:t>：</w:t>
      </w:r>
      <w:r>
        <w:rPr>
          <w:rFonts w:hint="default"/>
        </w:rPr>
        <w:br w:type="textWrapping"/>
      </w:r>
      <w:r>
        <w:rPr>
          <w:rFonts w:hint="default"/>
        </w:rPr>
        <w:t>ACL末尾隐含deny any规则，若流量未匹配任何permit规则（如192.168.2.0/24不在ACL允许范围内），则被隐含规则拒绝。</w:t>
      </w:r>
    </w:p>
    <w:p w14:paraId="56E74C48">
      <w:pPr>
        <w:pStyle w:val="13"/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​验证方法：</w:t>
      </w:r>
    </w:p>
    <w:p w14:paraId="36D2A954">
      <w:pPr>
        <w:pStyle w:val="13"/>
        <w:numPr>
          <w:ilvl w:val="0"/>
          <w:numId w:val="0"/>
        </w:numPr>
        <w:ind w:leftChars="0" w:firstLine="420" w:firstLineChars="0"/>
      </w:pPr>
      <w:r>
        <w:t xml:space="preserve"># 查看ACL匹配统计 </w:t>
      </w:r>
      <w:r>
        <w:rPr>
          <w:rFonts w:hint="eastAsia"/>
          <w:lang w:eastAsia="zh-CN"/>
        </w:rPr>
        <w:t>：</w:t>
      </w:r>
      <w:r>
        <w:t xml:space="preserve">display acl 2000  </w:t>
      </w:r>
    </w:p>
    <w:p w14:paraId="0D983E83">
      <w:pPr>
        <w:pStyle w:val="13"/>
        <w:numPr>
          <w:ilvl w:val="0"/>
          <w:numId w:val="0"/>
        </w:numPr>
        <w:ind w:leftChars="0"/>
      </w:pPr>
      <w:r>
        <w:t xml:space="preserve"># 若显示"0 matches"，说明流量未命中任何规则，触发隐含deny  </w:t>
      </w:r>
    </w:p>
    <w:p w14:paraId="6F098B16">
      <w:pPr>
        <w:numPr>
          <w:ilvl w:val="0"/>
          <w:numId w:val="8"/>
        </w:numPr>
        <w:spacing w:line="360" w:lineRule="auto"/>
        <w:ind w:left="360" w:leftChars="0" w:hanging="360" w:firstLineChars="0"/>
        <w:rPr>
          <w:rFonts w:hint="eastAsia" w:ascii="宋体" w:hAnsi="宋体" w:eastAsia="宋体"/>
          <w:sz w:val="24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2"/>
          <w:lang w:val="en-US" w:eastAsia="zh-CN" w:bidi="ar-SA"/>
        </w:rPr>
        <w:t>标准ACL</w:t>
      </w:r>
      <w:r>
        <w:rPr>
          <w:rFonts w:hint="eastAsia"/>
        </w:rPr>
        <w:t>无法防御伪造源IP的DDoS攻击，为什么？</w:t>
      </w:r>
    </w:p>
    <w:p w14:paraId="28BF2B4B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标准ACL仅检查报文的源IP地址，攻击者可通过伪造源IP绕过过滤。例如：</w:t>
      </w:r>
    </w:p>
    <w:p w14:paraId="1A27B21B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攻击者将源IP伪造成合法地址（如192.168.1.0/24），标准ACL会误判为合法流量。</w:t>
      </w:r>
    </w:p>
    <w:p w14:paraId="17A83C77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扩展ACL可通过检查其他字段防御​（如TCP SYN标志位、目的端口等），但标准ACL无此能力。</w:t>
      </w:r>
    </w:p>
    <w:p w14:paraId="15DE69DB">
      <w:pPr>
        <w:spacing w:line="360" w:lineRule="auto"/>
        <w:rPr>
          <w:rFonts w:hint="eastAsia" w:ascii="宋体" w:hAnsi="宋体" w:eastAsia="宋体"/>
          <w:sz w:val="24"/>
        </w:rPr>
      </w:pPr>
    </w:p>
    <w:p w14:paraId="7124DC54">
      <w:pPr>
        <w:spacing w:line="360" w:lineRule="auto"/>
        <w:rPr>
          <w:rFonts w:hint="eastAsia" w:ascii="宋体" w:hAnsi="宋体" w:eastAsia="宋体"/>
          <w:sz w:val="24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EAD3">
    <w:pPr>
      <w:pStyle w:val="4"/>
      <w:jc w:val="center"/>
      <w:rPr>
        <w:rFonts w:hint="eastAsia"/>
      </w:rPr>
    </w:pPr>
  </w:p>
  <w:p w14:paraId="27C983B6">
    <w:pPr>
      <w:pStyle w:val="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0491216"/>
      <w:docPartObj>
        <w:docPartGallery w:val="autotext"/>
      </w:docPartObj>
    </w:sdtPr>
    <w:sdtContent>
      <w:p w14:paraId="284BA05B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8539900">
    <w:pPr>
      <w:pStyle w:val="4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A01FA"/>
    <w:multiLevelType w:val="singleLevel"/>
    <w:tmpl w:val="83BA01F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ABEBD25"/>
    <w:multiLevelType w:val="singleLevel"/>
    <w:tmpl w:val="9ABEBD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0FEF139"/>
    <w:multiLevelType w:val="singleLevel"/>
    <w:tmpl w:val="C0FEF13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AEDB38E"/>
    <w:multiLevelType w:val="singleLevel"/>
    <w:tmpl w:val="CAEDB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2A3917E"/>
    <w:multiLevelType w:val="singleLevel"/>
    <w:tmpl w:val="F2A3917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EC02B72"/>
    <w:multiLevelType w:val="singleLevel"/>
    <w:tmpl w:val="FEC02B7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721DFEC"/>
    <w:multiLevelType w:val="singleLevel"/>
    <w:tmpl w:val="0721DF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8DB64A6"/>
    <w:multiLevelType w:val="multilevel"/>
    <w:tmpl w:val="38DB64A6"/>
    <w:lvl w:ilvl="0" w:tentative="0">
      <w:start w:val="1"/>
      <w:numFmt w:val="decimal"/>
      <w:pStyle w:val="3"/>
      <w:lvlText w:val="%1."/>
      <w:lvlJc w:val="left"/>
      <w:pPr>
        <w:ind w:left="640" w:hanging="440"/>
      </w:pPr>
    </w:lvl>
    <w:lvl w:ilvl="1" w:tentative="0">
      <w:start w:val="1"/>
      <w:numFmt w:val="lowerLetter"/>
      <w:lvlText w:val="%2)"/>
      <w:lvlJc w:val="left"/>
      <w:pPr>
        <w:ind w:left="1080" w:hanging="440"/>
      </w:pPr>
    </w:lvl>
    <w:lvl w:ilvl="2" w:tentative="0">
      <w:start w:val="1"/>
      <w:numFmt w:val="lowerRoman"/>
      <w:lvlText w:val="%3."/>
      <w:lvlJc w:val="right"/>
      <w:pPr>
        <w:ind w:left="1520" w:hanging="440"/>
      </w:pPr>
    </w:lvl>
    <w:lvl w:ilvl="3" w:tentative="0">
      <w:start w:val="1"/>
      <w:numFmt w:val="decimal"/>
      <w:lvlText w:val="%4."/>
      <w:lvlJc w:val="left"/>
      <w:pPr>
        <w:ind w:left="1960" w:hanging="440"/>
      </w:pPr>
    </w:lvl>
    <w:lvl w:ilvl="4" w:tentative="0">
      <w:start w:val="1"/>
      <w:numFmt w:val="lowerLetter"/>
      <w:lvlText w:val="%5)"/>
      <w:lvlJc w:val="left"/>
      <w:pPr>
        <w:ind w:left="2400" w:hanging="440"/>
      </w:pPr>
    </w:lvl>
    <w:lvl w:ilvl="5" w:tentative="0">
      <w:start w:val="1"/>
      <w:numFmt w:val="lowerRoman"/>
      <w:lvlText w:val="%6."/>
      <w:lvlJc w:val="right"/>
      <w:pPr>
        <w:ind w:left="2840" w:hanging="440"/>
      </w:pPr>
    </w:lvl>
    <w:lvl w:ilvl="6" w:tentative="0">
      <w:start w:val="1"/>
      <w:numFmt w:val="decimal"/>
      <w:lvlText w:val="%7."/>
      <w:lvlJc w:val="left"/>
      <w:pPr>
        <w:ind w:left="3280" w:hanging="440"/>
      </w:pPr>
    </w:lvl>
    <w:lvl w:ilvl="7" w:tentative="0">
      <w:start w:val="1"/>
      <w:numFmt w:val="lowerLetter"/>
      <w:lvlText w:val="%8)"/>
      <w:lvlJc w:val="left"/>
      <w:pPr>
        <w:ind w:left="3720" w:hanging="440"/>
      </w:pPr>
    </w:lvl>
    <w:lvl w:ilvl="8" w:tentative="0">
      <w:start w:val="1"/>
      <w:numFmt w:val="lowerRoman"/>
      <w:lvlText w:val="%9."/>
      <w:lvlJc w:val="right"/>
      <w:pPr>
        <w:ind w:left="4160" w:hanging="440"/>
      </w:pPr>
    </w:lvl>
  </w:abstractNum>
  <w:abstractNum w:abstractNumId="8">
    <w:nsid w:val="44E41066"/>
    <w:multiLevelType w:val="multilevel"/>
    <w:tmpl w:val="44E41066"/>
    <w:lvl w:ilvl="0" w:tentative="0">
      <w:start w:val="1"/>
      <w:numFmt w:val="decimal"/>
      <w:pStyle w:val="2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1080" w:hanging="440"/>
      </w:pPr>
    </w:lvl>
    <w:lvl w:ilvl="2" w:tentative="0">
      <w:start w:val="1"/>
      <w:numFmt w:val="lowerRoman"/>
      <w:lvlText w:val="%3."/>
      <w:lvlJc w:val="right"/>
      <w:pPr>
        <w:ind w:left="1520" w:hanging="440"/>
      </w:pPr>
    </w:lvl>
    <w:lvl w:ilvl="3" w:tentative="0">
      <w:start w:val="1"/>
      <w:numFmt w:val="decimal"/>
      <w:lvlText w:val="%4."/>
      <w:lvlJc w:val="left"/>
      <w:pPr>
        <w:ind w:left="1960" w:hanging="440"/>
      </w:pPr>
    </w:lvl>
    <w:lvl w:ilvl="4" w:tentative="0">
      <w:start w:val="1"/>
      <w:numFmt w:val="lowerLetter"/>
      <w:lvlText w:val="%5)"/>
      <w:lvlJc w:val="left"/>
      <w:pPr>
        <w:ind w:left="2400" w:hanging="440"/>
      </w:pPr>
    </w:lvl>
    <w:lvl w:ilvl="5" w:tentative="0">
      <w:start w:val="1"/>
      <w:numFmt w:val="lowerRoman"/>
      <w:lvlText w:val="%6."/>
      <w:lvlJc w:val="right"/>
      <w:pPr>
        <w:ind w:left="2840" w:hanging="440"/>
      </w:pPr>
    </w:lvl>
    <w:lvl w:ilvl="6" w:tentative="0">
      <w:start w:val="1"/>
      <w:numFmt w:val="decimal"/>
      <w:lvlText w:val="%7."/>
      <w:lvlJc w:val="left"/>
      <w:pPr>
        <w:ind w:left="3280" w:hanging="440"/>
      </w:pPr>
    </w:lvl>
    <w:lvl w:ilvl="7" w:tentative="0">
      <w:start w:val="1"/>
      <w:numFmt w:val="lowerLetter"/>
      <w:lvlText w:val="%8)"/>
      <w:lvlJc w:val="left"/>
      <w:pPr>
        <w:ind w:left="3720" w:hanging="440"/>
      </w:pPr>
    </w:lvl>
    <w:lvl w:ilvl="8" w:tentative="0">
      <w:start w:val="1"/>
      <w:numFmt w:val="lowerRoman"/>
      <w:lvlText w:val="%9."/>
      <w:lvlJc w:val="right"/>
      <w:pPr>
        <w:ind w:left="4160" w:hanging="440"/>
      </w:pPr>
    </w:lvl>
  </w:abstractNum>
  <w:abstractNum w:abstractNumId="9">
    <w:nsid w:val="5651B23A"/>
    <w:multiLevelType w:val="singleLevel"/>
    <w:tmpl w:val="5651B23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3903306"/>
    <w:multiLevelType w:val="multilevel"/>
    <w:tmpl w:val="739033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7FB0474A"/>
    <w:multiLevelType w:val="multilevel"/>
    <w:tmpl w:val="7FB0474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"/>
  </w:num>
  <w:num w:numId="5">
    <w:abstractNumId w:val="6"/>
  </w:num>
  <w:num w:numId="6">
    <w:abstractNumId w:val="3"/>
  </w:num>
  <w:num w:numId="7">
    <w:abstractNumId w:val="8"/>
    <w:lvlOverride w:ilvl="0">
      <w:startOverride w:val="1"/>
    </w:lvlOverride>
  </w:num>
  <w:num w:numId="8">
    <w:abstractNumId w:val="10"/>
  </w:num>
  <w:num w:numId="9">
    <w:abstractNumId w:val="4"/>
  </w:num>
  <w:num w:numId="10">
    <w:abstractNumId w:val="9"/>
  </w:num>
  <w:num w:numId="11">
    <w:abstractNumId w:val="2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F7"/>
    <w:rsid w:val="0002727C"/>
    <w:rsid w:val="000A6040"/>
    <w:rsid w:val="0011440C"/>
    <w:rsid w:val="001720B8"/>
    <w:rsid w:val="00193A8C"/>
    <w:rsid w:val="00196CFA"/>
    <w:rsid w:val="001D5867"/>
    <w:rsid w:val="00221307"/>
    <w:rsid w:val="0027523B"/>
    <w:rsid w:val="002C1DF7"/>
    <w:rsid w:val="002D2B24"/>
    <w:rsid w:val="00303F60"/>
    <w:rsid w:val="003A082E"/>
    <w:rsid w:val="003D4CF4"/>
    <w:rsid w:val="00443CB0"/>
    <w:rsid w:val="00446D80"/>
    <w:rsid w:val="0045438D"/>
    <w:rsid w:val="004621F7"/>
    <w:rsid w:val="004A2647"/>
    <w:rsid w:val="004A3E6B"/>
    <w:rsid w:val="005525A3"/>
    <w:rsid w:val="0055613D"/>
    <w:rsid w:val="00600A00"/>
    <w:rsid w:val="006457E4"/>
    <w:rsid w:val="00665026"/>
    <w:rsid w:val="006B50A0"/>
    <w:rsid w:val="006C46B9"/>
    <w:rsid w:val="006E487B"/>
    <w:rsid w:val="006F4182"/>
    <w:rsid w:val="007308C1"/>
    <w:rsid w:val="00753C41"/>
    <w:rsid w:val="00825973"/>
    <w:rsid w:val="00831499"/>
    <w:rsid w:val="00834DEC"/>
    <w:rsid w:val="00835381"/>
    <w:rsid w:val="00852A29"/>
    <w:rsid w:val="008F2DFD"/>
    <w:rsid w:val="008F55C8"/>
    <w:rsid w:val="009746AB"/>
    <w:rsid w:val="009B25EB"/>
    <w:rsid w:val="009C561A"/>
    <w:rsid w:val="009D1B5A"/>
    <w:rsid w:val="009D1CD1"/>
    <w:rsid w:val="009D3018"/>
    <w:rsid w:val="00A65206"/>
    <w:rsid w:val="00A80348"/>
    <w:rsid w:val="00A92853"/>
    <w:rsid w:val="00AB071C"/>
    <w:rsid w:val="00B06B67"/>
    <w:rsid w:val="00B301A2"/>
    <w:rsid w:val="00B61420"/>
    <w:rsid w:val="00B82258"/>
    <w:rsid w:val="00BD7DD8"/>
    <w:rsid w:val="00DD2171"/>
    <w:rsid w:val="00E50D69"/>
    <w:rsid w:val="00E55817"/>
    <w:rsid w:val="00EE5F63"/>
    <w:rsid w:val="00EF12C8"/>
    <w:rsid w:val="00F25BF2"/>
    <w:rsid w:val="00F50523"/>
    <w:rsid w:val="00FA1243"/>
    <w:rsid w:val="00FD3246"/>
    <w:rsid w:val="00FE56B5"/>
    <w:rsid w:val="038E4C9A"/>
    <w:rsid w:val="3B3B52CD"/>
    <w:rsid w:val="47FF22B3"/>
    <w:rsid w:val="4BF6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numPr>
        <w:ilvl w:val="0"/>
        <w:numId w:val="1"/>
      </w:numPr>
      <w:snapToGrid w:val="0"/>
      <w:spacing w:after="80"/>
      <w:ind w:firstLineChars="0"/>
      <w:outlineLvl w:val="2"/>
    </w:pPr>
    <w:rPr>
      <w:rFonts w:cstheme="majorBidi"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numPr>
        <w:ilvl w:val="0"/>
        <w:numId w:val="2"/>
      </w:numPr>
      <w:snapToGrid w:val="0"/>
      <w:spacing w:before="80" w:after="40"/>
      <w:ind w:left="0" w:firstLine="0" w:firstLineChars="0"/>
      <w:outlineLvl w:val="3"/>
    </w:pPr>
    <w:rPr>
      <w:rFonts w:cstheme="majorBidi"/>
      <w:b/>
      <w:color w:val="000000" w:themeColor="text1"/>
      <w:sz w:val="24"/>
      <w:szCs w:val="28"/>
      <w14:textFill>
        <w14:solidFill>
          <w14:schemeClr w14:val="tx1"/>
        </w14:solidFill>
      </w14:textFill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1815</Words>
  <Characters>3023</Characters>
  <Lines>5</Lines>
  <Paragraphs>1</Paragraphs>
  <TotalTime>6</TotalTime>
  <ScaleCrop>false</ScaleCrop>
  <LinksUpToDate>false</LinksUpToDate>
  <CharactersWithSpaces>3217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2021-03-04T02:14:00Z</dcterms:created>
  <dc:creator>h</dc:creator>
  <cp:lastModifiedBy>裴前.贤hj</cp:lastModifiedBy>
  <dcterms:modified xsi:type="dcterms:W3CDTF">2025-03-16T06:10:40Z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2052-12.1.0.20305</vt:lpwstr>
  </property>
  <property fmtid="{D5CDD505-2E9C-101B-9397-08002B2CF9AE}" pid="4" name="ICV">
    <vt:lpwstr>AF5A3D24C55A4A35B7CFB772F157ADD9_12</vt:lpwstr>
  </property>
</Properties>
</file>