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5.png" ContentType="image/png"/>
  <Override PartName="/word/media/rId48.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8.png" ContentType="image/png"/>
  <Override PartName="/word/media/rId84.png" ContentType="image/png"/>
  <Override PartName="/word/media/rId126.png" ContentType="image/png"/>
  <Override PartName="/word/media/image1.jpg" ContentType="image/jpeg"/>
  <Override PartName="/word/media/image2.jpg" ContentType="image/jpeg"/>
  <Override PartName="/word/media/image3.jpg" ContentType="image/jpe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f6935d4869f1d26b90dae950a89b5848c950e9"/>
    <w:p>
      <w:pPr>
        <w:pStyle w:val="Heading1"/>
      </w:pPr>
      <w:r>
        <w:t xml:space="preserve">A Canonical Framework for Accuracy–Explainability Trade-off Analysis in Native-Path Knowledge Graph Recommenders</w:t>
      </w:r>
    </w:p>
    <w:p>
      <w:pPr>
        <w:pStyle w:val="FirstParagraph"/>
      </w:pPr>
      <w:r>
        <w:t xml:space="preserve">A dissertation submitted in partial fulfilment of the requirements for the degree of Master of Science</w:t>
      </w:r>
    </w:p>
    <w:p>
      <w:pPr>
        <w:pStyle w:val="BodyText"/>
      </w:pPr>
      <w:r>
        <w:t xml:space="preserve">School of Computer Science and Engineering</w:t>
      </w:r>
      <w:r>
        <w:br/>
      </w:r>
      <w:r>
        <w:t xml:space="preserve">Nanyang Technological University</w:t>
      </w:r>
    </w:p>
    <w:p>
      <w:pPr>
        <w:pStyle w:val="BodyText"/>
      </w:pPr>
      <w:r>
        <w:t xml:space="preserve">Author: [Name to be filled]</w:t>
      </w:r>
      <w:r>
        <w:br/>
      </w:r>
      <w:r>
        <w:t xml:space="preserve">Supervisor: [Supervisor to be filled]</w:t>
      </w:r>
      <w:r>
        <w:br/>
      </w:r>
      <w:r>
        <w:t xml:space="preserve">Date: [Date to be filled]</w:t>
      </w:r>
    </w:p>
    <w:p>
      <w:r>
        <w:pict>
          <v:rect style="width:0;height:1.5pt" o:hralign="center" o:hrstd="t" o:hr="t"/>
        </w:pict>
      </w:r>
    </w:p>
    <w:bookmarkStart w:id="19" w:name="declaration"/>
    <w:p>
      <w:pPr>
        <w:pStyle w:val="Heading2"/>
      </w:pPr>
      <w:r>
        <w:t xml:space="preserve">Declaration</w:t>
      </w:r>
    </w:p>
    <w:p>
      <w:pPr>
        <w:pStyle w:val="FirstParagraph"/>
      </w:pPr>
      <w:r>
        <w:t xml:space="preserve">[Declaration text to be filled according to the NTU template.]</w:t>
      </w:r>
    </w:p>
    <w:bookmarkEnd w:id="19"/>
    <w:bookmarkStart w:id="20" w:name="acknowledgements"/>
    <w:p>
      <w:pPr>
        <w:pStyle w:val="Heading2"/>
      </w:pPr>
      <w:r>
        <w:t xml:space="preserve">Acknowledgements</w:t>
      </w:r>
    </w:p>
    <w:p>
      <w:pPr>
        <w:pStyle w:val="FirstParagraph"/>
      </w:pPr>
      <w:r>
        <w:t xml:space="preserve">[Acknowledgements to be filled.]</w:t>
      </w:r>
    </w:p>
    <w:bookmarkEnd w:id="20"/>
    <w:bookmarkStart w:id="21" w:name="table-of-contents"/>
    <w:p>
      <w:pPr>
        <w:pStyle w:val="Heading2"/>
      </w:pPr>
      <w:r>
        <w:t xml:space="preserve">Table of Contents</w:t>
      </w:r>
    </w:p>
    <w:p>
      <w:pPr>
        <w:pStyle w:val="FirstParagraph"/>
      </w:pPr>
      <w:r>
        <w:t xml:space="preserve">[Table of Contents to be updated in Microsoft Word before final PDF export.]</w:t>
      </w:r>
    </w:p>
    <w:bookmarkEnd w:id="21"/>
    <w:bookmarkStart w:id="22" w:name="list-of-figures"/>
    <w:p>
      <w:pPr>
        <w:pStyle w:val="Heading2"/>
      </w:pPr>
      <w:r>
        <w:t xml:space="preserve">List of Figures</w:t>
      </w:r>
    </w:p>
    <w:p>
      <w:pPr>
        <w:pStyle w:val="FirstParagraph"/>
      </w:pPr>
      <w:r>
        <w:t xml:space="preserve">[List of Figures to be updated in Microsoft Word before final PDF export.]</w:t>
      </w:r>
    </w:p>
    <w:bookmarkEnd w:id="22"/>
    <w:bookmarkStart w:id="23" w:name="list-of-tables"/>
    <w:p>
      <w:pPr>
        <w:pStyle w:val="Heading2"/>
      </w:pPr>
      <w:r>
        <w:t xml:space="preserve">List of Tables</w:t>
      </w:r>
    </w:p>
    <w:p>
      <w:pPr>
        <w:pStyle w:val="FirstParagraph"/>
      </w:pPr>
      <w:r>
        <w:t xml:space="preserve">[List of Tables to be updated in Microsoft Word before final PDF export.]</w:t>
      </w:r>
    </w:p>
    <w:p>
      <w:r>
        <w:pict>
          <v:rect style="width:0;height:1.5pt" o:hralign="center" o:hrstd="t" o:hr="t"/>
        </w:pict>
      </w:r>
    </w:p>
    <w:bookmarkEnd w:id="23"/>
    <w:bookmarkEnd w:id="24"/>
    <w:bookmarkStart w:id="25" w:name="abstract"/>
    <w:p>
      <w:pPr>
        <w:pStyle w:val="Heading1"/>
      </w:pPr>
      <w:r>
        <w:t xml:space="preserve">Abstract</w:t>
      </w:r>
    </w:p>
    <w:p>
      <w:pPr>
        <w:pStyle w:val="FirstParagrap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p>
      <w:r>
        <w:pict>
          <v:rect style="width:0;height:1.5pt" o:hralign="center" o:hrstd="t" o:hr="t"/>
        </w:pict>
      </w:r>
    </w:p>
    <w:bookmarkEnd w:id="25"/>
    <w:bookmarkStart w:id="31" w:name="chapter-1-introduction"/>
    <w:p>
      <w:pPr>
        <w:pStyle w:val="Heading1"/>
      </w:pPr>
      <w:r>
        <w:t xml:space="preserve">Chapter 1 Introduction</w:t>
      </w:r>
    </w:p>
    <w:bookmarkStart w:id="26" w:name="background"/>
    <w:p>
      <w:pPr>
        <w:pStyle w:val="Heading2"/>
      </w:pPr>
      <w:r>
        <w:t xml:space="preserve">1.1 Background</w:t>
      </w:r>
    </w:p>
    <w:p>
      <w:pPr>
        <w:pStyle w:val="FirstParagrap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(Guo et al. 2022)</w:t>
      </w:r>
      <w:r>
        <w:t xml:space="preserve">. This structure can improve the information available to a recommender, but the use of a knowledge graph does not by itself make the recommendation process inspectable.</w:t>
      </w:r>
    </w:p>
    <w:p>
      <w:pPr>
        <w:pStyle w:val="BodyText"/>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(Zhang and Chen 2020)</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(Xian et al. 2019, 2020)</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(Balloccu et al. 2022a)</w:t>
      </w:r>
      <w:r>
        <w:t xml:space="preserve">. A defensible evaluation must retain this separation rather than collapse ranking and explanation evidence into a single score.</w:t>
      </w:r>
    </w:p>
    <w:bookmarkEnd w:id="26"/>
    <w:bookmarkStart w:id="27" w:name="motivation"/>
    <w:p>
      <w:pPr>
        <w:pStyle w:val="Heading2"/>
      </w:pPr>
      <w:r>
        <w:t xml:space="preserve">1.2 Motivation</w:t>
      </w:r>
    </w:p>
    <w:p>
      <w:pPr>
        <w:pStyle w:val="FirstParagrap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(Shevchenko et al. 2024)</w:t>
      </w:r>
      <w:r>
        <w:t xml:space="preserve">.</w:t>
      </w:r>
    </w:p>
    <w:p>
      <w:pPr>
        <w:pStyle w:val="BodyText"/>
      </w:pPr>
      <w:r>
        <w:t xml:space="preserve">This dissertation responds to that need by developing and verifying a canonical native-path evaluation framework. It does not propose a new recommender model. The framework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27"/>
    <w:bookmarkStart w:id="28" w:name="objectives-and-specifications"/>
    <w:p>
      <w:pPr>
        <w:pStyle w:val="Heading2"/>
      </w:pPr>
      <w:r>
        <w:t xml:space="preserve">1.3 Objectives and Specifications</w:t>
      </w:r>
    </w:p>
    <w:p>
      <w:pPr>
        <w:pStyle w:val="FirstParagraph"/>
      </w:pPr>
      <w:r>
        <w:t xml:space="preserve">The research objectives are:</w:t>
      </w:r>
    </w:p>
    <w:p>
      <w:pPr>
        <w:pStyle w:val="Compact"/>
        <w:numPr>
          <w:ilvl w:val="0"/>
          <w:numId w:val="1001"/>
        </w:numPr>
      </w:pPr>
      <w:r>
        <w:t xml:space="preserve">To design a canonical evaluation framework for native-path knowledge graph recommender systems.</w:t>
      </w:r>
    </w:p>
    <w:p>
      <w:pPr>
        <w:pStyle w:val="Compact"/>
        <w:numPr>
          <w:ilvl w:val="0"/>
          <w:numId w:val="1001"/>
        </w:numPr>
      </w:pPr>
      <w:r>
        <w:t xml:space="preserve">To construct canonical datasets and model-specific views without forcing heterogeneous models into an invalid common internal representation.</w:t>
      </w:r>
    </w:p>
    <w:p>
      <w:pPr>
        <w:pStyle w:val="Compact"/>
        <w:numPr>
          <w:ilvl w:val="0"/>
          <w:numId w:val="1001"/>
        </w:numPr>
      </w:pPr>
      <w:r>
        <w:t xml:space="preserve">To define a native-path export contract for recommendations, candidate paths, and user-item explanations.</w:t>
      </w:r>
    </w:p>
    <w:p>
      <w:pPr>
        <w:pStyle w:val="Compact"/>
        <w:numPr>
          <w:ilvl w:val="0"/>
          <w:numId w:val="1001"/>
        </w:numPr>
      </w:pPr>
      <w:r>
        <w:t xml:space="preserve">To validate exported recommendations and explanations before admitting them to comparative reporting.</w:t>
      </w:r>
    </w:p>
    <w:p>
      <w:pPr>
        <w:pStyle w:val="Compact"/>
        <w:numPr>
          <w:ilvl w:val="0"/>
          <w:numId w:val="1001"/>
        </w:numPr>
      </w:pPr>
      <w:r>
        <w:t xml:space="preserve">To evaluate strict recommendation accuracy through HR@10, NDCG@10, Precision@10, and Recall@10.</w:t>
      </w:r>
    </w:p>
    <w:p>
      <w:pPr>
        <w:pStyle w:val="Compact"/>
        <w:numPr>
          <w:ilvl w:val="0"/>
          <w:numId w:val="1001"/>
        </w:numPr>
      </w:pPr>
      <w:r>
        <w:t xml:space="preserve">To evaluate explanation evidence through the separate LIR, SEP, and ETD dimensions.</w:t>
      </w:r>
    </w:p>
    <w:p>
      <w:pPr>
        <w:pStyle w:val="Compact"/>
        <w:numPr>
          <w:ilvl w:val="0"/>
          <w:numId w:val="1001"/>
        </w:numPr>
      </w:pPr>
      <w:r>
        <w:t xml:space="preserve">To perform controlled, metric-specific accuracy–explainability trade-off analysis through alpha sweeps.</w:t>
      </w:r>
    </w:p>
    <w:p>
      <w:pPr>
        <w:pStyle w:val="Compact"/>
        <w:numPr>
          <w:ilvl w:val="0"/>
          <w:numId w:val="1001"/>
        </w:numPr>
      </w:pPr>
      <w:r>
        <w:t xml:space="preserve">To analyse ablation evidence, mechanism dependence, dataset dependence, and boundary cases without exceeding the registered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Specification</w:t>
            </w:r>
          </w:p>
        </w:tc>
        <w:tc>
          <w:tcPr/>
          <w:p>
            <w:pPr>
              <w:pStyle w:val="Compact"/>
            </w:pPr>
            <w:r>
              <w:t xml:space="preserve">Evidence / chapter</w:t>
            </w:r>
          </w:p>
        </w:tc>
      </w:tr>
      <w:tr>
        <w:tc>
          <w:tcPr/>
          <w:p>
            <w:pPr>
              <w:pStyle w:val="Compact"/>
            </w:pPr>
            <w:r>
              <w:t xml:space="preserve">O1. Canonical evaluation framework</w:t>
            </w:r>
          </w:p>
        </w:tc>
        <w:tc>
          <w:tcPr/>
          <w:p>
            <w:pPr>
              <w:pStyle w:val="Compact"/>
            </w:pPr>
            <w:r>
              <w:t xml:space="preserve">Separate canonical truth, model execution, export, validation, and reporting concerns.</w:t>
            </w:r>
          </w:p>
        </w:tc>
        <w:tc>
          <w:tcPr/>
          <w:p>
            <w:pPr>
              <w:pStyle w:val="Compact"/>
            </w:pPr>
            <w:r>
              <w:t xml:space="preserve">Framework architecture and verification, Chapter 3.</w:t>
            </w:r>
          </w:p>
        </w:tc>
      </w:tr>
      <w:tr>
        <w:tc>
          <w:tcPr/>
          <w:p>
            <w:pPr>
              <w:pStyle w:val="Compact"/>
            </w:pPr>
            <w:r>
              <w:t xml:space="preserve">O2. Canonical and model-specific views</w:t>
            </w:r>
          </w:p>
        </w:tc>
        <w:tc>
          <w:tcPr/>
          <w:p>
            <w:pPr>
              <w:pStyle w:val="Compact"/>
            </w:pPr>
            <w:r>
              <w:t xml:space="preserve">Define common users, items, splits, labels, and mappings while allowing model-specific graph and identifier views.</w:t>
            </w:r>
          </w:p>
        </w:tc>
        <w:tc>
          <w:tcPr/>
          <w:p>
            <w:pPr>
              <w:pStyle w:val="Compact"/>
            </w:pPr>
            <w:r>
              <w:t xml:space="preserve">Canonical dataset and model-view construction, Section 3.2.</w:t>
            </w:r>
          </w:p>
        </w:tc>
      </w:tr>
      <w:tr>
        <w:tc>
          <w:tcPr/>
          <w:p>
            <w:pPr>
              <w:pStyle w:val="Compact"/>
            </w:pPr>
            <w:r>
              <w:t xml:space="preserve">O3. Native-path export contract</w:t>
            </w:r>
          </w:p>
        </w:tc>
        <w:tc>
          <w:tcPr/>
          <w:p>
            <w:pPr>
              <w:pStyle w:val="Compact"/>
            </w:pPr>
            <w:r>
              <w:t xml:space="preserve">Require canonical recommendation, path, and explanation artifacts for native-path rows.</w:t>
            </w:r>
          </w:p>
        </w:tc>
        <w:tc>
          <w:tcPr/>
          <w:p>
            <w:pPr>
              <w:pStyle w:val="Compact"/>
            </w:pPr>
            <w:r>
              <w:t xml:space="preserve">Export contract and implementation, Section 3.3.</w:t>
            </w:r>
          </w:p>
        </w:tc>
      </w:tr>
      <w:tr>
        <w:tc>
          <w:tcPr/>
          <w:p>
            <w:pPr>
              <w:pStyle w:val="Compact"/>
            </w:pPr>
            <w:r>
              <w:t xml:space="preserve">O4. Validation before reporting</w:t>
            </w:r>
          </w:p>
        </w:tc>
        <w:tc>
          <w:tcPr/>
          <w:p>
            <w:pPr>
              <w:pStyle w:val="Compact"/>
            </w:pPr>
            <w:r>
              <w:t xml:space="preserve">Check coverage, duplicates, leakage, endpoints, recommendation–explanation alignment, candidate consistency, and score ranges.</w:t>
            </w:r>
          </w:p>
        </w:tc>
        <w:tc>
          <w:tcPr/>
          <w:p>
            <w:pPr>
              <w:pStyle w:val="Compact"/>
            </w:pPr>
            <w:r>
              <w:t xml:space="preserve">Evaluation and validation pipeline, Sections 3.4–3.5.</w:t>
            </w:r>
          </w:p>
        </w:tc>
      </w:tr>
      <w:tr>
        <w:tc>
          <w:tcPr/>
          <w:p>
            <w:pPr>
              <w:pStyle w:val="Compact"/>
            </w:pPr>
            <w:r>
              <w:t xml:space="preserve">O5. Strict accuracy evaluation</w:t>
            </w:r>
          </w:p>
        </w:tc>
        <w:tc>
          <w:tcPr/>
          <w:p>
            <w:pPr>
              <w:pStyle w:val="Compact"/>
            </w:pPr>
            <w:r>
              <w:t xml:space="preserve">Report HR@10, NDCG@10, Precision@10, and Recall@10 from the registered strict-accuracy evidence stream.</w:t>
            </w:r>
          </w:p>
        </w:tc>
        <w:tc>
          <w:tcPr/>
          <w:p>
            <w:pPr>
              <w:pStyle w:val="Compact"/>
            </w:pPr>
            <w:r>
              <w:t xml:space="preserve">Strict accuracy results, Section 4.2.</w:t>
            </w:r>
          </w:p>
        </w:tc>
      </w:tr>
      <w:tr>
        <w:tc>
          <w:tcPr/>
          <w:p>
            <w:pPr>
              <w:pStyle w:val="Compact"/>
            </w:pPr>
            <w:r>
              <w:t xml:space="preserve">O6. Multidimensional explanation evaluation</w:t>
            </w:r>
          </w:p>
        </w:tc>
        <w:tc>
          <w:tcPr/>
          <w:p>
            <w:pPr>
              <w:pStyle w:val="Compact"/>
            </w:pPr>
            <w:r>
              <w:t xml:space="preserve">Report LIR, SEP, and ETD separately under the repository definitions and verified conceptual provenance.</w:t>
            </w:r>
          </w:p>
        </w:tc>
        <w:tc>
          <w:tcPr/>
          <w:p>
            <w:pPr>
              <w:pStyle w:val="Compact"/>
            </w:pPr>
            <w:r>
              <w:t xml:space="preserve">Sections 3.4 and 4.3–4.6.</w:t>
            </w:r>
          </w:p>
        </w:tc>
      </w:tr>
      <w:tr>
        <w:tc>
          <w:tcPr/>
          <w:p>
            <w:pPr>
              <w:pStyle w:val="Compact"/>
            </w:pPr>
            <w:r>
              <w:t xml:space="preserve">O7. Controlled trade-off analysis</w:t>
            </w:r>
          </w:p>
        </w:tc>
        <w:tc>
          <w:tcPr/>
          <w:p>
            <w:pPr>
              <w:pStyle w:val="Compact"/>
            </w:pPr>
            <w:r>
              <w:t xml:space="preserve">Use metric-specific alpha sweeps while keeping sweep ranking measures separate from strict accuracy.</w:t>
            </w:r>
          </w:p>
        </w:tc>
        <w:tc>
          <w:tcPr/>
          <w:p>
            <w:pPr>
              <w:pStyle w:val="Compact"/>
            </w:pPr>
            <w:r>
              <w:t xml:space="preserve">Sections 3.6 and 4.4–4.7.</w:t>
            </w:r>
          </w:p>
        </w:tc>
      </w:tr>
      <w:tr>
        <w:tc>
          <w:tcPr/>
          <w:p>
            <w:pPr>
              <w:pStyle w:val="Compact"/>
            </w:pPr>
            <w:r>
              <w:t xml:space="preserve">O8. Ablation and boundary analysis</w:t>
            </w:r>
          </w:p>
        </w:tc>
        <w:tc>
          <w:tcPr/>
          <w:p>
            <w:pPr>
              <w:pStyle w:val="Compact"/>
            </w:pPr>
            <w:r>
              <w:t xml:space="preserve">Use PGPR/UCPR ablation for bounded controllability evidence, descriptive mechanism context for other models, and Amazon-Book KGAT as a partial boundary case.</w:t>
            </w:r>
          </w:p>
        </w:tc>
        <w:tc>
          <w:tcPr/>
          <w:p>
            <w:pPr>
              <w:pStyle w:val="Compact"/>
            </w:pPr>
            <w:r>
              <w:t xml:space="preserve">Chapter 5.</w:t>
            </w:r>
          </w:p>
        </w:tc>
      </w:tr>
    </w:tbl>
    <w:p>
      <w:pPr>
        <w:pStyle w:val="BodyText"/>
      </w:pPr>
      <w:r>
        <w:rPr>
          <w:b/>
          <w:bCs/>
        </w:rPr>
        <w:t xml:space="preserve">Table 1.1. Research objectives, specifications, and evidence locations.</w:t>
      </w:r>
    </w:p>
    <w:p>
      <w:pPr>
        <w:pStyle w:val="BodyText"/>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28"/>
    <w:bookmarkStart w:id="29" w:name="major-contribution"/>
    <w:p>
      <w:pPr>
        <w:pStyle w:val="Heading2"/>
      </w:pPr>
      <w:r>
        <w:t xml:space="preserve">1.4 Major Contribution</w:t>
      </w:r>
    </w:p>
    <w:p>
      <w:pPr>
        <w:pStyle w:val="FirstParagraph"/>
      </w:pPr>
      <w:r>
        <w:t xml:space="preserve">The dissertation makes eight connected contributions.</w:t>
      </w:r>
    </w:p>
    <w:p>
      <w:pPr>
        <w:pStyle w:val="Compact"/>
        <w:numPr>
          <w:ilvl w:val="0"/>
          <w:numId w:val="1002"/>
        </w:numPr>
      </w:pPr>
      <w:r>
        <w:t xml:space="preserve">It provides a canonical native-path evaluation framework that separates shared dataset truth from heterogeneous model execution.</w:t>
      </w:r>
    </w:p>
    <w:p>
      <w:pPr>
        <w:pStyle w:val="Compact"/>
        <w:numPr>
          <w:ilvl w:val="0"/>
          <w:numId w:val="1002"/>
        </w:numPr>
      </w:pPr>
      <w:r>
        <w:t xml:space="preserve">It establishes a validation-first export contract in which recommendation and native-path artifacts must return to canonical identifiers and pass registered checks before scoring.</w:t>
      </w:r>
    </w:p>
    <w:p>
      <w:pPr>
        <w:pStyle w:val="Compact"/>
        <w:numPr>
          <w:ilvl w:val="0"/>
          <w:numId w:val="1002"/>
        </w:numPr>
      </w:pPr>
      <w:r>
        <w:t xml:space="preserve">It preserves a strict separation between ranking accuracy and the LIR, SEP, and ETD explanation dimensions, preventing one evidence type from substituting for another.</w:t>
      </w:r>
    </w:p>
    <w:p>
      <w:pPr>
        <w:pStyle w:val="Compact"/>
        <w:numPr>
          <w:ilvl w:val="0"/>
          <w:numId w:val="1002"/>
        </w:numPr>
      </w:pPr>
      <w:r>
        <w:t xml:space="preserve">It supports controlled alpha-sweep analysis that records metric-specific trade-off trajectories without assuming a universal coefficient or operating point.</w:t>
      </w:r>
    </w:p>
    <w:p>
      <w:pPr>
        <w:pStyle w:val="Compact"/>
        <w:numPr>
          <w:ilvl w:val="0"/>
          <w:numId w:val="1002"/>
        </w:numPr>
      </w:pPr>
      <w:r>
        <w:t xml:space="preserve">It supplies PGPR/UCPR ablation evidence for framework controllability under an exact alpha=0 baseline and a declared NDCG-retention rule; this is not presented as improvement of the underlying recommenders.</w:t>
      </w:r>
    </w:p>
    <w:p>
      <w:pPr>
        <w:pStyle w:val="Compact"/>
        <w:numPr>
          <w:ilvl w:val="0"/>
          <w:numId w:val="1002"/>
        </w:numPr>
      </w:pPr>
      <w:r>
        <w:t xml:space="preserve">It provides mechanism-level and dataset-level interpretation through graded claims: registered ablation supports bounded control statements, while non-targeted model explanations remain descriptive rather than causal.</w:t>
      </w:r>
    </w:p>
    <w:p>
      <w:pPr>
        <w:pStyle w:val="Compact"/>
        <w:numPr>
          <w:ilvl w:val="0"/>
          <w:numId w:val="1002"/>
        </w:numPr>
      </w:pPr>
      <w:r>
        <w:t xml:space="preserve">It identifies Amazon-Book KGAT as a partial boundary case with reportable and blocked rows, demonstrating how validation prevents incomplete contracts from entering a full comparison.</w:t>
      </w:r>
    </w:p>
    <w:p>
      <w:pPr>
        <w:pStyle w:val="Compact"/>
        <w:numPr>
          <w:ilvl w:val="0"/>
          <w:numId w:val="1002"/>
        </w:numPr>
      </w:pPr>
      <w:r>
        <w:t xml:space="preserve">It assembles a traceable dissertation evidence package connecting claims, metrics, tables, figures, citations, validation states, and source paths while retaining unresolved provenance caveats.</w:t>
      </w:r>
    </w:p>
    <w:p>
      <w:pPr>
        <w:pStyle w:val="FirstParagrap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29"/>
    <w:bookmarkStart w:id="30" w:name="organisation"/>
    <w:p>
      <w:pPr>
        <w:pStyle w:val="Heading2"/>
      </w:pPr>
      <w:r>
        <w:t xml:space="preserve">1.5 Organisation</w:t>
      </w:r>
    </w:p>
    <w:p>
      <w:pPr>
        <w:pStyle w:val="FirstParagrap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p>
      <w:r>
        <w:pict>
          <v:rect style="width:0;height:1.5pt" o:hralign="center" o:hrstd="t" o:hr="t"/>
        </w:pict>
      </w:r>
    </w:p>
    <w:bookmarkEnd w:id="30"/>
    <w:bookmarkEnd w:id="31"/>
    <w:bookmarkStart w:id="38" w:name="chapter-2-literature-review"/>
    <w:p>
      <w:pPr>
        <w:pStyle w:val="Heading1"/>
      </w:pPr>
      <w:r>
        <w:t xml:space="preserve">Chapter 2 Literature Review</w:t>
      </w:r>
    </w:p>
    <w:p>
      <w:pPr>
        <w:pStyle w:val="FirstParagrap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32" w:name="knowledge-graph-recommendation"/>
    <w:p>
      <w:pPr>
        <w:pStyle w:val="Heading2"/>
      </w:pPr>
      <w:r>
        <w:t xml:space="preserve">2.1 Knowledge Graph Recommendation</w:t>
      </w:r>
    </w:p>
    <w:p>
      <w:pPr>
        <w:pStyle w:val="FirstParagrap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(Wang et al. 2018; Wang et al. 2021)</w:t>
      </w:r>
      <w:r>
        <w:t xml:space="preserve">. VRKG4Rec instead groups relations into virtual relational graphs before encoding items and users</w:t>
      </w:r>
      <w:r>
        <w:t xml:space="preserve"> </w:t>
      </w:r>
      <w:r>
        <w:t xml:space="preserve">(Lu et al. 2023)</w:t>
      </w:r>
      <w:r>
        <w:t xml:space="preserve">. These approaches illustrate that KG use is not one method but a family of representation and inference strategies.</w:t>
      </w:r>
    </w:p>
    <w:p>
      <w:pPr>
        <w:pStyle w:val="BodyText"/>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(Guo et al. 2022; Markchom et al. 2026)</w:t>
      </w:r>
      <w:r>
        <w:t xml:space="preserve">.</w:t>
      </w:r>
    </w:p>
    <w:p>
      <w:pPr>
        <w:pStyle w:val="BodyText"/>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(Lin et al. 2025)</w:t>
      </w:r>
      <w:r>
        <w:t xml:space="preserve">. Agent-oriented and multimodal surveys describe still broader combinations of language, memory, planning, interaction, and heterogeneous item content</w:t>
      </w:r>
      <w:r>
        <w:t xml:space="preserve"> </w:t>
      </w:r>
      <w:r>
        <w:t xml:space="preserve">(Peng et al. 2025; López-Ávila and Du 2025)</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32"/>
    <w:bookmarkStart w:id="33" w:name="X59a42b419a1430f357db1bc1da9026b5c14fbf6"/>
    <w:p>
      <w:pPr>
        <w:pStyle w:val="Heading2"/>
      </w:pPr>
      <w:r>
        <w:t xml:space="preserve">2.2 Path Reasoning and Native-Path Explainability</w:t>
      </w:r>
    </w:p>
    <w:p>
      <w:pPr>
        <w:pStyle w:val="FirstParagrap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(Xian et al. 2019)</w:t>
      </w:r>
      <w:r>
        <w:t xml:space="preserve">. Ekar uses a related sequential-decision formulation in which graph edges define actions and policy-gradient learning discovers paths from users to items</w:t>
      </w:r>
      <w:r>
        <w:t xml:space="preserve"> </w:t>
      </w:r>
      <w:r>
        <w:t xml:space="preserve">(Song et al. 2019)</w:t>
      </w:r>
      <w:r>
        <w:t xml:space="preserve">. These methods make the path structurally inspectable rather than leaving all high-order connectivity inside a latent representation.</w:t>
      </w:r>
    </w:p>
    <w:p>
      <w:pPr>
        <w:pStyle w:val="BodyText"/>
      </w:pPr>
      <w:r>
        <w:t xml:space="preserve">Path reasoning nevertheless contains substantial methodological variation. KPRN encodes candidate paths and aggregates their contributions for recommendation</w:t>
      </w:r>
      <w:r>
        <w:t xml:space="preserve"> </w:t>
      </w:r>
      <w:r>
        <w:t xml:space="preserve">(Wang et al. 2019)</w:t>
      </w:r>
      <w:r>
        <w:t xml:space="preserve">. CAFE constructs coarse user profiles that guide fine-grained neural-symbolic path finding</w:t>
      </w:r>
      <w:r>
        <w:t xml:space="preserve"> </w:t>
      </w:r>
      <w:r>
        <w:t xml:space="preserve">(Xian et al. 2020)</w:t>
      </w:r>
      <w:r>
        <w:t xml:space="preserve">. UCPR introduces a user-centric path-reasoning design, while TPRec adds time-aware path reasoning and therefore depends on temporal information that is not required by every KG recommender</w:t>
      </w:r>
      <w:r>
        <w:t xml:space="preserve"> </w:t>
      </w:r>
      <w:r>
        <w:t xml:space="preserve">(Tai et al. 2021; Zhao et al. 2022)</w:t>
      </w:r>
      <w:r>
        <w:t xml:space="preserve">. Multi-level reasoning over ontology- and instance-view KGs provides another example in which the graph hierarchy and the path extraction process are specific to the model</w:t>
      </w:r>
      <w:r>
        <w:t xml:space="preserve"> </w:t>
      </w:r>
      <w:r>
        <w:t xml:space="preserve">(Wang et al. 2022)</w:t>
      </w:r>
      <w:r>
        <w:t xml:space="preserve">. The literature therefore supports explicit paths as explanation candidates, but it also shows that path length, relation vocabulary, search constraints, graph views, and candidate construction can differ materially.</w:t>
      </w:r>
    </w:p>
    <w:p>
      <w:pPr>
        <w:pStyle w:val="BodyText"/>
      </w:pPr>
      <w:r>
        <w:t xml:space="preserve">Language modelling introduces a further path-generation family. KGGLM uses a generative language-model formulation for KG representation learning in recommendation</w:t>
      </w:r>
      <w:r>
        <w:t xml:space="preserve"> </w:t>
      </w:r>
      <w:r>
        <w:t xml:space="preserve">(Balloccu et al. 2024)</w:t>
      </w:r>
      <w:r>
        <w:t xml:space="preserve">. PEARLM is described in its verified arXiv record as a faithful path-language-modelling approach for explainable recommendation over KGs</w:t>
      </w:r>
      <w:r>
        <w:t xml:space="preserve"> </w:t>
      </w:r>
      <w:r>
        <w:t xml:space="preserve">(Balloccu et al. 2023)</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(Zhang and Chen 2020)</w:t>
      </w:r>
      <w:r>
        <w:t xml:space="preserve">, while general tools such as InterpretML and Captum illustrate how a separate method can explain an existing prediction</w:t>
      </w:r>
      <w:r>
        <w:t xml:space="preserve"> </w:t>
      </w:r>
      <w:r>
        <w:t xml:space="preserve">(Nori et al. 2019; Kokhlikyan et al. 2020)</w:t>
      </w:r>
      <w:r>
        <w:t xml:space="preserve">. Post-hoc explanations may be useful, but they do not provide the same evidence about how a native-path recommender generated its output.</w:t>
      </w:r>
    </w:p>
    <w:p>
      <w:pPr>
        <w:pStyle w:val="BodyText"/>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33"/>
    <w:bookmarkStart w:id="34" w:name="X915968d31f6a427e3d2471f839aa7c78e8664e6"/>
    <w:p>
      <w:pPr>
        <w:pStyle w:val="Heading2"/>
      </w:pPr>
      <w:r>
        <w:t xml:space="preserve">2.3 Explainable Recommendation and Explanation Quality</w:t>
      </w:r>
    </w:p>
    <w:p>
      <w:pPr>
        <w:pStyle w:val="FirstParagrap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(Zhang and Chen 2020)</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(Ge et al. 2025)</w:t>
      </w:r>
      <w:r>
        <w:t xml:space="preserve">. Reviews of graph-based explainable recommendation similarly distinguish learning methods, explaining methods, explanation types, datasets, and qualitative and quantitative evaluation practices</w:t>
      </w:r>
      <w:r>
        <w:t xml:space="preserve"> </w:t>
      </w:r>
      <w:r>
        <w:t xml:space="preserve">(Markchom et al. 2026)</w:t>
      </w:r>
      <w:r>
        <w:t xml:space="preserve">.</w:t>
      </w:r>
    </w:p>
    <w:p>
      <w:pPr>
        <w:pStyle w:val="BodyText"/>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(Yuan et al. 2020)</w:t>
      </w:r>
      <w:r>
        <w:t xml:space="preserve">.</w:t>
      </w:r>
    </w:p>
    <w:p>
      <w:pPr>
        <w:pStyle w:val="BodyText"/>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(Balloccu et al. 2022a)</w:t>
      </w:r>
      <w:r>
        <w:t xml:space="preserve">. The related software article presents XRecSys as a framework for assessing and optimising recommendation and explanation outputs from path-reasoning systems</w:t>
      </w:r>
      <w:r>
        <w:t xml:space="preserve"> </w:t>
      </w:r>
      <w:r>
        <w:t xml:space="preserve">(Balloccu et al. 2022b)</w:t>
      </w:r>
      <w:r>
        <w:t xml:space="preserve">. These sources motivate the dissertation’s use of separate path-property dimensions rather than a generic explanation score.</w:t>
      </w:r>
    </w:p>
    <w:p>
      <w:pPr>
        <w:pStyle w:val="BodyText"/>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34"/>
    <w:bookmarkStart w:id="35" w:name="X568989362ae1782a1a57f1dd34e17442913a07e"/>
    <w:p>
      <w:pPr>
        <w:pStyle w:val="Heading2"/>
      </w:pPr>
      <w:r>
        <w:t xml:space="preserve">2.4 Accuracy–Explainability Trade-off in Recommendation</w:t>
      </w:r>
    </w:p>
    <w:p>
      <w:pPr>
        <w:pStyle w:val="FirstParagrap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(Zhang and Chen 2020; Ge et al. 2025)</w:t>
      </w:r>
      <w:r>
        <w:t xml:space="preserve">.</w:t>
      </w:r>
    </w:p>
    <w:p>
      <w:pPr>
        <w:pStyle w:val="BodyText"/>
      </w:pPr>
      <w:r>
        <w:t xml:space="preserve">The XRecSys work provides direct evidence that explanation-oriented properties can be placed in a re-ranking objective while recommendation utility is monitored separately</w:t>
      </w:r>
      <w:r>
        <w:t xml:space="preserve"> </w:t>
      </w:r>
      <w:r>
        <w:t xml:space="preserve">(Balloccu et al. 2022a)</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pPr>
      <w:r>
        <w:t xml:space="preserve">RL and LLM recommender surveys broaden the trade-off context. RL systems can optimise immediate or long-term rewards and differ in state, action, reward, and environment construction</w:t>
      </w:r>
      <w:r>
        <w:t xml:space="preserve"> </w:t>
      </w:r>
      <w:r>
        <w:t xml:space="preserve">(Afsar et al. 2022; Lin et al. 2024)</w:t>
      </w:r>
      <w:r>
        <w:t xml:space="preserve">. LLM-based systems introduce additional concerns such as training efficiency, inference latency, hallucination, privacy, fairness, and explainability</w:t>
      </w:r>
      <w:r>
        <w:t xml:space="preserve"> </w:t>
      </w:r>
      <w:r>
        <w:t xml:space="preserve">(Lin et al. 2025)</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35"/>
    <w:bookmarkStart w:id="36" w:name="Xc1fd117505b7c95846ca82b5ec8c3c5e86c7ec7"/>
    <w:p>
      <w:pPr>
        <w:pStyle w:val="Heading2"/>
      </w:pPr>
      <w:r>
        <w:t xml:space="preserve">2.5 Evaluation Protocols, Reproducibility, and Fair Comparison</w:t>
      </w:r>
    </w:p>
    <w:p>
      <w:pPr>
        <w:pStyle w:val="FirstParagrap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(Shevchenko et al. 2024)</w:t>
      </w:r>
      <w:r>
        <w:t xml:space="preserve">. RL recommender surveys likewise identify environment construction, reward definition, offline evaluation, and scalability as recurring methodological challenges</w:t>
      </w:r>
      <w:r>
        <w:t xml:space="preserve"> </w:t>
      </w:r>
      <w:r>
        <w:t xml:space="preserve">(Afsar et al. 2022; Chen et al. 2021; Rossiiev et al. 2025)</w:t>
      </w:r>
      <w:r>
        <w:t xml:space="preserve">.</w:t>
      </w:r>
    </w:p>
    <w:p>
      <w:pPr>
        <w:pStyle w:val="BodyText"/>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(Balloccu et al. 2022b; Markchom et al. 2026)</w:t>
      </w:r>
      <w:r>
        <w:t xml:space="preserve">. The literature motivates stronger protocol discipline, but the exact validation gates remain part of this dissertation’s methodological design.</w:t>
      </w:r>
    </w:p>
    <w:p>
      <w:pPr>
        <w:pStyle w:val="BodyText"/>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36"/>
    <w:bookmarkStart w:id="37" w:name="X2c2d33820b1db800becde7115f2ed7a03da5a15"/>
    <w:p>
      <w:pPr>
        <w:pStyle w:val="Heading2"/>
      </w:pPr>
      <w:r>
        <w:t xml:space="preserve">2.6 Research Gap and Positioning of This Dissertation</w:t>
      </w:r>
    </w:p>
    <w:p>
      <w:pPr>
        <w:pStyle w:val="FirstParagrap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(Wang et al. 2018; Wang et al. 2021; Lu et al. 2023)</w:t>
      </w:r>
      <w:r>
        <w:t xml:space="preserve">. Native-path methods generate or score paths, but their graph views, search mechanisms, and outputs are model-specific</w:t>
      </w:r>
      <w:r>
        <w:t xml:space="preserve"> </w:t>
      </w:r>
      <w:r>
        <w:t xml:space="preserve">(Xian et al. 2019, 2020; Tai et al. 2021; Zhao et al. 2022; Wang et al. 2022)</w:t>
      </w:r>
      <w:r>
        <w:t xml:space="preserve">. Explainability surveys and XRecSys provide taxonomies and path-quality dimensions, while benchmarking research establishes the importance of dataset and protocol control</w:t>
      </w:r>
      <w:r>
        <w:t xml:space="preserve"> </w:t>
      </w:r>
      <w:r>
        <w:t xml:space="preserve">(Zhang and Chen 2020; Balloccu et al. 2022a, 2022b; Shevchenko et al. 2024; Markchom et al. 2026)</w:t>
      </w:r>
      <w:r>
        <w:t xml:space="preserve">.</w:t>
      </w:r>
    </w:p>
    <w:p>
      <w:pPr>
        <w:pStyle w:val="BodyText"/>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Literature theme</w:t>
            </w:r>
          </w:p>
        </w:tc>
        <w:tc>
          <w:tcPr/>
          <w:p>
            <w:pPr>
              <w:pStyle w:val="Compact"/>
            </w:pPr>
            <w:r>
              <w:t xml:space="preserve">Representative sources</w:t>
            </w:r>
          </w:p>
        </w:tc>
        <w:tc>
          <w:tcPr/>
          <w:p>
            <w:pPr>
              <w:pStyle w:val="Compact"/>
            </w:pPr>
            <w:r>
              <w:t xml:space="preserve">Dissertation positioning</w:t>
            </w:r>
          </w:p>
        </w:tc>
        <w:tc>
          <w:tcPr/>
          <w:p>
            <w:pPr>
              <w:pStyle w:val="Compact"/>
            </w:pPr>
            <w:r>
              <w:t xml:space="preserve">Boundary retained</w:t>
            </w:r>
          </w:p>
        </w:tc>
      </w:tr>
      <w:tr>
        <w:tc>
          <w:tcPr/>
          <w:p>
            <w:pPr>
              <w:pStyle w:val="Compact"/>
            </w:pPr>
            <w:r>
              <w:t xml:space="preserve">KG representation and propagation</w:t>
            </w:r>
          </w:p>
        </w:tc>
        <w:tc>
          <w:tcPr/>
          <w:p>
            <w:pPr>
              <w:pStyle w:val="Compact"/>
            </w:pPr>
            <w:r>
              <w:t xml:space="preserve">RippleNet, KGIN, and VRKG4Rec</w:t>
            </w:r>
            <w:r>
              <w:t xml:space="preserve"> </w:t>
            </w:r>
            <w:r>
              <w:t xml:space="preserve">(Wang et al. 2018; Wang et al. 2021; Lu et al. 2023)</w:t>
            </w:r>
          </w:p>
        </w:tc>
        <w:tc>
          <w:tcPr/>
          <w:p>
            <w:pPr>
              <w:pStyle w:val="Compact"/>
            </w:pPr>
            <w:r>
              <w:t xml:space="preserve">Motivates model-specific graph views within a canonical evaluation space.</w:t>
            </w:r>
          </w:p>
        </w:tc>
        <w:tc>
          <w:tcPr/>
          <w:p>
            <w:pPr>
              <w:pStyle w:val="Compact"/>
            </w:pPr>
            <w:r>
              <w:t xml:space="preserve">A KG signal is not automatically an inspectable native path.</w:t>
            </w:r>
          </w:p>
        </w:tc>
      </w:tr>
      <w:tr>
        <w:tc>
          <w:tcPr/>
          <w:p>
            <w:pPr>
              <w:pStyle w:val="Compact"/>
            </w:pPr>
            <w:r>
              <w:t xml:space="preserve">Native-path reasoning</w:t>
            </w:r>
          </w:p>
        </w:tc>
        <w:tc>
          <w:tcPr/>
          <w:p>
            <w:pPr>
              <w:pStyle w:val="Compact"/>
            </w:pPr>
            <w:r>
              <w:t xml:space="preserve">PGPR, KPRN, CAFE, UCPR, TPRec, and multi-level reasoning</w:t>
            </w:r>
            <w:r>
              <w:t xml:space="preserve"> </w:t>
            </w:r>
            <w:r>
              <w:t xml:space="preserve">(Xian et al. 2019, 2020; Wang et al. 2019; Tai et al. 2021; Zhao et al. 2022; Wang et al. 2022)</w:t>
            </w:r>
          </w:p>
        </w:tc>
        <w:tc>
          <w:tcPr/>
          <w:p>
            <w:pPr>
              <w:pStyle w:val="Compact"/>
            </w:pPr>
            <w:r>
              <w:t xml:space="preserve">Motivates a shared export and endpoint-validation contract.</w:t>
            </w:r>
          </w:p>
        </w:tc>
        <w:tc>
          <w:tcPr/>
          <w:p>
            <w:pPr>
              <w:pStyle w:val="Compact"/>
            </w:pPr>
            <w:r>
              <w:t xml:space="preserve">Different path structures and search procedures remain model-specific.</w:t>
            </w:r>
          </w:p>
        </w:tc>
      </w:tr>
      <w:tr>
        <w:tc>
          <w:tcPr/>
          <w:p>
            <w:pPr>
              <w:pStyle w:val="Compact"/>
            </w:pPr>
            <w:r>
              <w:t xml:space="preserve">Path-language modelling</w:t>
            </w:r>
          </w:p>
        </w:tc>
        <w:tc>
          <w:tcPr/>
          <w:p>
            <w:pPr>
              <w:pStyle w:val="Compact"/>
            </w:pPr>
            <w:r>
              <w:t xml:space="preserve">KGGLM and PEARLM</w:t>
            </w:r>
            <w:r>
              <w:t xml:space="preserve"> </w:t>
            </w:r>
            <w:r>
              <w:t xml:space="preserve">(Balloccu et al. 2024, 2023)</w:t>
            </w:r>
          </w:p>
        </w:tc>
        <w:tc>
          <w:tcPr/>
          <w:p>
            <w:pPr>
              <w:pStyle w:val="Compact"/>
            </w:pPr>
            <w:r>
              <w:t xml:space="preserve">Extends the native-path comparison to language-model-style path generation or scoring.</w:t>
            </w:r>
          </w:p>
        </w:tc>
        <w:tc>
          <w:tcPr/>
          <w:p>
            <w:pPr>
              <w:pStyle w:val="Compact"/>
            </w:pPr>
            <w:r>
              <w:t xml:space="preserve">Generated sequences require graph and recommendation alignment; PEARLM final venue and DOI remain a manual check.</w:t>
            </w:r>
          </w:p>
        </w:tc>
      </w:tr>
      <w:tr>
        <w:tc>
          <w:tcPr/>
          <w:p>
            <w:pPr>
              <w:pStyle w:val="Compact"/>
            </w:pPr>
            <w:r>
              <w:t xml:space="preserve">Explainability and post-hoc methods</w:t>
            </w:r>
          </w:p>
        </w:tc>
        <w:tc>
          <w:tcPr/>
          <w:p>
            <w:pPr>
              <w:pStyle w:val="Compact"/>
            </w:pPr>
            <w:r>
              <w:t xml:space="preserve">Explainable-recommendation surveys, InterpretML, and Captum</w:t>
            </w:r>
            <w:r>
              <w:t xml:space="preserve"> </w:t>
            </w:r>
            <w:r>
              <w:t xml:space="preserve">(Zhang and Chen 2020; Nori et al. 2019; Kokhlikyan et al. 2020)</w:t>
            </w:r>
          </w:p>
        </w:tc>
        <w:tc>
          <w:tcPr/>
          <w:p>
            <w:pPr>
              <w:pStyle w:val="Compact"/>
            </w:pPr>
            <w:r>
              <w:t xml:space="preserve">Supports an explicit distinction between native and post-hoc evidence.</w:t>
            </w:r>
          </w:p>
        </w:tc>
        <w:tc>
          <w:tcPr/>
          <w:p>
            <w:pPr>
              <w:pStyle w:val="Compact"/>
            </w:pPr>
            <w:r>
              <w:t xml:space="preserve">A post-hoc path is not treated as evidence of the native recommendation mechanism.</w:t>
            </w:r>
          </w:p>
        </w:tc>
      </w:tr>
      <w:tr>
        <w:tc>
          <w:tcPr/>
          <w:p>
            <w:pPr>
              <w:pStyle w:val="Compact"/>
            </w:pPr>
            <w:r>
              <w:t xml:space="preserve">Multidimensional path quality</w:t>
            </w:r>
          </w:p>
        </w:tc>
        <w:tc>
          <w:tcPr/>
          <w:p>
            <w:pPr>
              <w:pStyle w:val="Compact"/>
            </w:pPr>
            <w:r>
              <w:t xml:space="preserve">XRecSys and its framework</w:t>
            </w:r>
            <w:r>
              <w:t xml:space="preserve"> </w:t>
            </w:r>
            <w:r>
              <w:t xml:space="preserve">(Balloccu et al. 2022a, 2022b)</w:t>
            </w:r>
          </w:p>
        </w:tc>
        <w:tc>
          <w:tcPr/>
          <w:p>
            <w:pPr>
              <w:pStyle w:val="Compact"/>
            </w:pPr>
            <w:r>
              <w:t xml:space="preserve">Motivates separate LIR, SEP, and ETD reporting.</w:t>
            </w:r>
          </w:p>
        </w:tc>
        <w:tc>
          <w:tcPr/>
          <w:p>
            <w:pPr>
              <w:pStyle w:val="Compact"/>
            </w:pPr>
            <w:r>
              <w:t xml:space="preserve">SEP remains a repository-specific bridge-entity score, not direct user-perceived serendipity.</w:t>
            </w:r>
          </w:p>
        </w:tc>
      </w:tr>
      <w:tr>
        <w:tc>
          <w:tcPr/>
          <w:p>
            <w:pPr>
              <w:pStyle w:val="Compact"/>
            </w:pPr>
            <w:r>
              <w:t xml:space="preserve">Benchmarking and reproducibility</w:t>
            </w:r>
          </w:p>
        </w:tc>
        <w:tc>
          <w:tcPr/>
          <w:p>
            <w:pPr>
              <w:pStyle w:val="Compact"/>
            </w:pPr>
            <w:r>
              <w:t xml:space="preserve">Recommender benchmarking and graph-explanation surveys</w:t>
            </w:r>
            <w:r>
              <w:t xml:space="preserve"> </w:t>
            </w:r>
            <w:r>
              <w:t xml:space="preserve">(Shevchenko et al. 2024; Markchom et al. 2026)</w:t>
            </w:r>
          </w:p>
        </w:tc>
        <w:tc>
          <w:tcPr/>
          <w:p>
            <w:pPr>
              <w:pStyle w:val="Compact"/>
            </w:pPr>
            <w:r>
              <w:t xml:space="preserve">Motivates canonical populations, validation before reporting, and visible blocked states.</w:t>
            </w:r>
          </w:p>
        </w:tc>
        <w:tc>
          <w:tcPr/>
          <w:p>
            <w:pPr>
              <w:pStyle w:val="Compact"/>
            </w:pPr>
            <w:r>
              <w:t xml:space="preserve">Validation status is not a performance ranking.</w:t>
            </w:r>
          </w:p>
        </w:tc>
      </w:tr>
    </w:tbl>
    <w:p>
      <w:pPr>
        <w:pStyle w:val="BodyText"/>
      </w:pPr>
      <w:r>
        <w:rPr>
          <w:b/>
          <w:bCs/>
        </w:rPr>
        <w:t xml:space="preserve">Table 2.1. Literature themes and dissertation positioning.</w:t>
      </w:r>
    </w:p>
    <w:p>
      <w:pPr>
        <w:pStyle w:val="BodyText"/>
      </w:pPr>
      <w:r>
        <w:t xml:space="preserve">The table summarises the bounded literature synthesis used to derive the framework requirements; it does not claim exhaustive coverage beyond the reviewed corpus.</w:t>
      </w:r>
    </w:p>
    <w:p>
      <w:pPr>
        <w:pStyle w:val="BodyText"/>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p>
      <w:r>
        <w:pict>
          <v:rect style="width:0;height:1.5pt" o:hralign="center" o:hrstd="t" o:hr="t"/>
        </w:pict>
      </w:r>
    </w:p>
    <w:bookmarkEnd w:id="37"/>
    <w:bookmarkEnd w:id="38"/>
    <w:bookmarkStart w:id="54" w:name="Xc2e8359bd8d69263a55319166f0fdf6cdb926aa"/>
    <w:p>
      <w:pPr>
        <w:pStyle w:val="Heading1"/>
      </w:pPr>
      <w:r>
        <w:t xml:space="preserve">Chapter 3 Framework Implementation and Verification</w:t>
      </w:r>
    </w:p>
    <w:bookmarkStart w:id="42" w:name="overview-of-the-implemented-framework"/>
    <w:p>
      <w:pPr>
        <w:pStyle w:val="Heading2"/>
      </w:pPr>
      <w:r>
        <w:t xml:space="preserve">3.1 Overview of the Implemented Framework</w:t>
      </w:r>
    </w:p>
    <w:p>
      <w:pPr>
        <w:pStyle w:val="FirstParagrap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pPr>
      <w:r>
        <w:t xml:space="preserve">Figure 3.1 presents these components as one evaluation workflow and makes their evidence boundaries explicit. The framework dataflow expands that workflow from canonical dataset truth through native-path exports and validation to the separate Chapter 4 and Chapter 5 evidence roles; it describes an evaluation process rather than a new recommender architecture.</w:t>
      </w:r>
    </w:p>
    <w:p>
      <w:pPr>
        <w:pStyle w:val="BodyText"/>
      </w:pPr>
      <w:r>
        <w:drawing>
          <wp:inline>
            <wp:extent cx="4699000" cy="2177203"/>
            <wp:effectExtent b="0" l="0" r="0" t="0"/>
            <wp:docPr descr="Figure 3.1 framework overview" title="" id="40" name="Picture"/>
            <a:graphic>
              <a:graphicData uri="http://schemas.openxmlformats.org/drawingml/2006/picture">
                <pic:pic>
                  <pic:nvPicPr>
                    <pic:cNvPr descr="paper/current_dissertation/figures/png/figure_3_1_framework_overview_final.png" id="41" name="Picture"/>
                    <pic:cNvPicPr>
                      <a:picLocks noChangeArrowheads="1" noChangeAspect="1"/>
                    </pic:cNvPicPr>
                  </pic:nvPicPr>
                  <pic:blipFill>
                    <a:blip r:embed="rId39"/>
                    <a:stretch>
                      <a:fillRect/>
                    </a:stretch>
                  </pic:blipFill>
                  <pic:spPr bwMode="auto">
                    <a:xfrm>
                      <a:off x="0" y="0"/>
                      <a:ext cx="4699000" cy="2177203"/>
                    </a:xfrm>
                    <a:prstGeom prst="rect">
                      <a:avLst/>
                    </a:prstGeom>
                    <a:noFill/>
                    <a:ln w="9525">
                      <a:noFill/>
                      <a:headEnd/>
                      <a:tailEnd/>
                    </a:ln>
                  </pic:spPr>
                </pic:pic>
              </a:graphicData>
            </a:graphic>
          </wp:inline>
        </w:drawing>
      </w:r>
    </w:p>
    <w:p>
      <w:pPr>
        <w:pStyle w:val="BodyText"/>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p>
    <w:p>
      <w:pPr>
        <w:pStyle w:val="BodyText"/>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pPr>
      <w:r>
        <w:t xml:space="preserve">The notation used to formalise this evaluation contract is summarised below.</w:t>
      </w:r>
    </w:p>
    <w:p>
      <w:pPr>
        <w:pStyle w:val="BodyText"/>
      </w:pPr>
      <w:r>
        <w:rPr>
          <w:b/>
          <w:bCs/>
        </w:rPr>
        <w:t xml:space="preserve">Core notation used in the framework.</w:t>
      </w:r>
    </w:p>
    <w:p>
      <w:pPr>
        <w:pStyle w:val="Compact"/>
        <w:numPr>
          <w:ilvl w:val="0"/>
          <w:numId w:val="1003"/>
        </w:numPr>
      </w:pPr>
      <w:r>
        <w:t xml:space="preserve">(</w:t>
      </w:r>
      <w:r>
        <w:t xml:space="preserve">): Set of datasets considered in the framework.</w:t>
      </w:r>
    </w:p>
    <w:p>
      <w:pPr>
        <w:pStyle w:val="Compact"/>
        <w:numPr>
          <w:ilvl w:val="0"/>
          <w:numId w:val="1003"/>
        </w:numPr>
      </w:pPr>
      <w:r>
        <w:t xml:space="preserve">(d): Dataset index.</w:t>
      </w:r>
    </w:p>
    <w:p>
      <w:pPr>
        <w:pStyle w:val="Compact"/>
        <w:numPr>
          <w:ilvl w:val="0"/>
          <w:numId w:val="1003"/>
        </w:numPr>
      </w:pPr>
      <w:r>
        <w:t xml:space="preserve">(</w:t>
      </w:r>
      <w:r>
        <w:t xml:space="preserve">_d): Canonical user set for dataset (d).</w:t>
      </w:r>
    </w:p>
    <w:p>
      <w:pPr>
        <w:pStyle w:val="Compact"/>
        <w:numPr>
          <w:ilvl w:val="0"/>
          <w:numId w:val="1003"/>
        </w:numPr>
      </w:pPr>
      <w:r>
        <w:t xml:space="preserve">(</w:t>
      </w:r>
      <w:r>
        <w:t xml:space="preserve">_d): Canonical item set for dataset (d).</w:t>
      </w:r>
    </w:p>
    <w:p>
      <w:pPr>
        <w:pStyle w:val="Compact"/>
        <w:numPr>
          <w:ilvl w:val="0"/>
          <w:numId w:val="1003"/>
        </w:numPr>
      </w:pPr>
      <w:r>
        <w:t xml:space="preserve">(</w:t>
      </w:r>
      <w:r>
        <w:t xml:space="preserve">_d): Knowledge graph associated with dataset (d).</w:t>
      </w:r>
    </w:p>
    <w:p>
      <w:pPr>
        <w:pStyle w:val="Compact"/>
        <w:numPr>
          <w:ilvl w:val="0"/>
          <w:numId w:val="1003"/>
        </w:numPr>
      </w:pPr>
      <w:r>
        <w:t xml:space="preserve">(</w:t>
      </w:r>
      <w:r>
        <w:t xml:space="preserve">): Set of native-path models evaluated in the main experiments.</w:t>
      </w:r>
    </w:p>
    <w:p>
      <w:pPr>
        <w:pStyle w:val="Compact"/>
        <w:numPr>
          <w:ilvl w:val="0"/>
          <w:numId w:val="1003"/>
        </w:numPr>
      </w:pPr>
      <w:r>
        <w:t xml:space="preserve">(m): Model index.</w:t>
      </w:r>
    </w:p>
    <w:p>
      <w:pPr>
        <w:pStyle w:val="Compact"/>
        <w:numPr>
          <w:ilvl w:val="0"/>
          <w:numId w:val="1003"/>
        </w:numPr>
      </w:pPr>
      <w:r>
        <w:t xml:space="preserve">(</w:t>
      </w:r>
      <w:r>
        <w:t xml:space="preserve">_{u}^{K,m,d}): Top-(K) recommendation list for user (u), model (m), dataset (d).</w:t>
      </w:r>
    </w:p>
    <w:p>
      <w:pPr>
        <w:pStyle w:val="Compact"/>
        <w:numPr>
          <w:ilvl w:val="0"/>
          <w:numId w:val="1003"/>
        </w:numPr>
      </w:pPr>
      <w:r>
        <w:t xml:space="preserve">(p_{u,i}^{m,d}): Native path associated with recommendation item (i) for user (u).</w:t>
      </w:r>
    </w:p>
    <w:p>
      <w:pPr>
        <w:pStyle w:val="Compact"/>
        <w:numPr>
          <w:ilvl w:val="0"/>
          <w:numId w:val="1003"/>
        </w:numPr>
      </w:pPr>
      <w:r>
        <w:t xml:space="preserve">(V_{m,d}): Validation eligibility indicator for model-dataset row ((m,d)).</w:t>
      </w:r>
    </w:p>
    <w:p>
      <w:pPr>
        <w:pStyle w:val="Compact"/>
        <w:numPr>
          <w:ilvl w:val="0"/>
          <w:numId w:val="1003"/>
        </w:numPr>
      </w:pPr>
      <w:r>
        <w:t xml:space="preserve">(q): Explanation objective, one of LIR, SEP, or ETD.</w:t>
      </w:r>
    </w:p>
    <w:p>
      <w:pPr>
        <w:pStyle w:val="Compact"/>
        <w:numPr>
          <w:ilvl w:val="0"/>
          <w:numId w:val="1003"/>
        </w:numPr>
      </w:pPr>
      <w:r>
        <w:t xml:space="preserve">(</w:t>
      </w:r>
      <w:r>
        <w:t xml:space="preserve">): Trade-off control parameter.</w:t>
      </w:r>
    </w:p>
    <w:p>
      <w:pPr>
        <w:pStyle w:val="FirstParagraph"/>
      </w:pPr>
      <w:r>
        <w:t xml:space="preserve">These definitions formalise the evaluation framework. They do not define a new recommender model.</w:t>
      </w:r>
    </w:p>
    <w:bookmarkEnd w:id="42"/>
    <w:bookmarkStart w:id="43" w:name="X989d8ad0f52631ce2af55eb92a00065cba2bbce"/>
    <w:p>
      <w:pPr>
        <w:pStyle w:val="Heading2"/>
      </w:pPr>
      <w:r>
        <w:t xml:space="preserve">3.2 Canonical Dataset and Model View Construction</w:t>
      </w:r>
    </w:p>
    <w:p>
      <w:pPr>
        <w:pStyle w:val="FirstParagrap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w:t>
      </w:r>
      <w:r>
        <w:t xml:space="preserve"> </w:t>
      </w:r>
      <w:r>
        <w:rPr>
          <w:rStyle w:val="VerbatimChar"/>
        </w:rPr>
        <w:t xml:space="preserve">docs/guides/CANONICAL_DATASET_STANDARD.md</w:t>
      </w:r>
      <w:r>
        <w:t xml:space="preserve"> </w:t>
      </w:r>
      <w:r>
        <w:t xml:space="preserve">and provides the shared truth against which model exports are evaluated.</w:t>
      </w:r>
    </w:p>
    <w:p>
      <w:pPr>
        <w:pStyle w:val="BodyText"/>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pPr>
      <w:r>
        <w:t xml:space="preserve">For a model-dataset row ((m,d)</w:t>
      </w:r>
      <w:r>
        <w:t xml:space="preserve"> </w:t>
      </w:r>
      <w:r>
        <w:t xml:space="preserve"> </w:t>
      </w:r>
      <w:r>
        <w:t xml:space="preserve">), the canonical return mappings are</w:t>
      </w:r>
    </w:p>
    <w:p>
      <w:pPr>
        <w:pStyle w:val="BodyText"/>
      </w:pPr>
      <w:r>
        <w:t xml:space="preserve">[</w:t>
      </w:r>
      <w:r>
        <w:t xml:space="preserve"> </w:t>
      </w:r>
      <w:r>
        <w:rPr>
          <w:i/>
          <w:iCs/>
        </w:rPr>
        <w:t xml:space="preserve">U^{m,d}:</w:t>
      </w:r>
      <w:r>
        <w:rPr>
          <w:i/>
          <w:iCs/>
        </w:rPr>
        <w:t xml:space="preserve"> </w:t>
      </w:r>
      <w:r>
        <w:t xml:space="preserve">{m,d}</w:t>
      </w:r>
      <w:r>
        <w:t xml:space="preserve"> </w:t>
      </w:r>
      <w:r>
        <w:t xml:space="preserve">_d</w:t>
      </w:r>
      <w:r>
        <w:t xml:space="preserve"> </w:t>
      </w:r>
      <w:r>
        <w:t xml:space="preserve">]</w:t>
      </w:r>
    </w:p>
    <w:p>
      <w:pPr>
        <w:pStyle w:val="BodyText"/>
      </w:pPr>
      <w:r>
        <w:t xml:space="preserve">and</w:t>
      </w:r>
    </w:p>
    <w:p>
      <w:pPr>
        <w:pStyle w:val="BodyText"/>
      </w:pPr>
      <w:r>
        <w:t xml:space="preserve">[</w:t>
      </w:r>
      <w:r>
        <w:t xml:space="preserve"> </w:t>
      </w:r>
      <w:r>
        <w:rPr>
          <w:i/>
          <w:iCs/>
        </w:rPr>
        <w:t xml:space="preserve">I^{m,d}:</w:t>
      </w:r>
      <w:r>
        <w:rPr>
          <w:i/>
          <w:iCs/>
        </w:rPr>
        <w:t xml:space="preserve"> </w:t>
      </w:r>
      <w:r>
        <w:t xml:space="preserve">{m,d}</w:t>
      </w:r>
      <w:r>
        <w:t xml:space="preserve"> </w:t>
      </w:r>
      <w:r>
        <w:t xml:space="preserve">_d.</w:t>
      </w:r>
      <w:r>
        <w:t xml:space="preserve"> </w:t>
      </w:r>
      <w:r>
        <w:t xml:space="preserve">]</w:t>
      </w:r>
    </w:p>
    <w:p>
      <w:pPr>
        <w:pStyle w:val="BodyText"/>
      </w:pPr>
      <w:r>
        <w:t xml:space="preserve">Here, (</w:t>
      </w:r>
      <w:r>
        <w:rPr>
          <w:i/>
          <w:iCs/>
        </w:rPr>
        <w:t xml:space="preserve">{m,d}) and (</w:t>
      </w:r>
      <w:r>
        <w:t xml:space="preserve">{m,d})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(Xian et al. 2019, 2020; Tai et al. 2021; Zhao et al. 2022; Balloccu et al. 2024, 2023)</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Dataset</w:t>
            </w:r>
          </w:p>
        </w:tc>
        <w:tc>
          <w:tcPr/>
          <w:p>
            <w:pPr>
              <w:pStyle w:val="Compact"/>
            </w:pPr>
            <w:r>
              <w:t xml:space="preserve">Role in dissertation</w:t>
            </w:r>
          </w:p>
        </w:tc>
        <w:tc>
          <w:tcPr/>
          <w:p>
            <w:pPr>
              <w:pStyle w:val="Compact"/>
            </w:pPr>
            <w:r>
              <w:t xml:space="preserve">Models available</w:t>
            </w:r>
          </w:p>
        </w:tc>
        <w:tc>
          <w:tcPr/>
          <w:p>
            <w:pPr>
              <w:pStyle w:val="Compact"/>
            </w:pPr>
            <w:r>
              <w:t xml:space="preserve">Metrics available</w:t>
            </w:r>
          </w:p>
        </w:tc>
        <w:tc>
          <w:tcPr/>
          <w:p>
            <w:pPr>
              <w:pStyle w:val="Compact"/>
            </w:pPr>
            <w:r>
              <w:t xml:space="preserve">Validation status</w:t>
            </w:r>
          </w:p>
        </w:tc>
        <w:tc>
          <w:tcPr/>
          <w:p>
            <w:pPr>
              <w:pStyle w:val="Compact"/>
            </w:pPr>
            <w:r>
              <w:t xml:space="preserve">Limitations</w:t>
            </w:r>
          </w:p>
        </w:tc>
        <w:tc>
          <w:tcPr/>
          <w:p>
            <w:pPr>
              <w:pStyle w:val="Compact"/>
            </w:pPr>
            <w:r>
              <w:t xml:space="preserve">Evidence file paths</w:t>
            </w:r>
          </w:p>
        </w:tc>
      </w:tr>
      <w:tr>
        <w:tc>
          <w:tcPr/>
          <w:p>
            <w:pPr>
              <w:pStyle w:val="Compact"/>
            </w:pPr>
            <w:r>
              <w:t xml:space="preserve">LastFM</w:t>
            </w:r>
          </w:p>
        </w:tc>
        <w:tc>
          <w:tcPr/>
          <w:p>
            <w:pPr>
              <w:pStyle w:val="Compact"/>
            </w:pPr>
            <w:r>
              <w:t xml:space="preserve">Main experiment dataset</w:t>
            </w:r>
          </w:p>
        </w:tc>
        <w:tc>
          <w:tcPr/>
          <w:p>
            <w:pPr>
              <w:pStyle w:val="Compact"/>
            </w:pPr>
            <w:r>
              <w:t xml:space="preserve">PGPR, UCPR, CAFE, TPRec, KGGLM, PEARLM</w:t>
            </w:r>
          </w:p>
        </w:tc>
        <w:tc>
          <w:tcPr/>
          <w:p>
            <w:pPr>
              <w:pStyle w:val="Compact"/>
            </w:pPr>
            <w:r>
              <w:t xml:space="preserve">HR@10, NDCG@10, Precision@10, Recall@10; Accuracy plus LIR/SEP/ETD alpha-sweep evidence</w:t>
            </w:r>
          </w:p>
        </w:tc>
        <w:tc>
          <w:tcPr/>
          <w:p>
            <w:pPr>
              <w:pStyle w:val="Compact"/>
            </w:pPr>
            <w:r>
              <w:t xml:space="preserve">PASS for complete rows</w:t>
            </w:r>
          </w:p>
        </w:tc>
        <w:tc>
          <w:tcPr/>
          <w:p>
            <w:pPr>
              <w:pStyle w:val="Compact"/>
            </w:pPr>
            <w:r>
              <w:t xml:space="preserve">Use canonical status matrix and trade-off bundles; avoid older duplicate figure folders</w:t>
            </w:r>
          </w:p>
        </w:tc>
        <w:tc>
          <w:tcPr/>
          <w:p>
            <w:pPr>
              <w:pStyle w:val="Compact"/>
            </w:pPr>
            <w:r>
              <w:t xml:space="preserve">reports/tables/canonical_native_path_status_matrix.md; docs/guides/CANONICAL_NATIVE_PATH_COMPLETION_AUDIT_2026-06-27.md</w:t>
            </w:r>
          </w:p>
        </w:tc>
      </w:tr>
      <w:tr>
        <w:tc>
          <w:tcPr/>
          <w:p>
            <w:pPr>
              <w:pStyle w:val="Compact"/>
            </w:pPr>
            <w:r>
              <w:t xml:space="preserve">ML-1M</w:t>
            </w:r>
          </w:p>
        </w:tc>
        <w:tc>
          <w:tcPr/>
          <w:p>
            <w:pPr>
              <w:pStyle w:val="Compact"/>
            </w:pPr>
            <w:r>
              <w:t xml:space="preserve">Main experiment dataset</w:t>
            </w:r>
          </w:p>
        </w:tc>
        <w:tc>
          <w:tcPr/>
          <w:p>
            <w:pPr>
              <w:pStyle w:val="Compact"/>
            </w:pPr>
            <w:r>
              <w:t xml:space="preserve">PGPR, UCPR, CAFE, TPRec, KGGLM, PEARLM</w:t>
            </w:r>
          </w:p>
        </w:tc>
        <w:tc>
          <w:tcPr/>
          <w:p>
            <w:pPr>
              <w:pStyle w:val="Compact"/>
            </w:pPr>
            <w:r>
              <w:t xml:space="preserve">HR@10, NDCG@10, Precision@10, Recall@10; Accuracy plus LIR/SEP/ETD alpha-sweep evidence</w:t>
            </w:r>
          </w:p>
        </w:tc>
        <w:tc>
          <w:tcPr/>
          <w:p>
            <w:pPr>
              <w:pStyle w:val="Compact"/>
            </w:pPr>
            <w:r>
              <w:t xml:space="preserve">PASS for complete rows</w:t>
            </w:r>
          </w:p>
        </w:tc>
        <w:tc>
          <w:tcPr/>
          <w:p>
            <w:pPr>
              <w:pStyle w:val="Compact"/>
            </w:pPr>
            <w:r>
              <w:t xml:space="preserve">Use canonical status matrix and trade-off bundles; avoid older duplicate figure folders</w:t>
            </w:r>
          </w:p>
        </w:tc>
        <w:tc>
          <w:tcPr/>
          <w:p>
            <w:pPr>
              <w:pStyle w:val="Compact"/>
            </w:pPr>
            <w:r>
              <w:t xml:space="preserve">reports/tables/canonical_native_path_status_matrix.md; docs/guides/CANONICAL_NATIVE_PATH_COMPLETION_AUDIT_2026-06-27.md</w:t>
            </w:r>
          </w:p>
        </w:tc>
      </w:tr>
      <w:tr>
        <w:tc>
          <w:tcPr/>
          <w:p>
            <w:pPr>
              <w:pStyle w:val="Compact"/>
            </w:pPr>
            <w:r>
              <w:t xml:space="preserve">Amazon-Book KGAT</w:t>
            </w:r>
          </w:p>
        </w:tc>
        <w:tc>
          <w:tcPr/>
          <w:p>
            <w:pPr>
              <w:pStyle w:val="Compact"/>
            </w:pPr>
            <w:r>
              <w:t xml:space="preserve">Secondary stress-test / boundary dataset</w:t>
            </w:r>
          </w:p>
        </w:tc>
        <w:tc>
          <w:tcPr/>
          <w:p>
            <w:pPr>
              <w:pStyle w:val="Compact"/>
            </w:pPr>
            <w:r>
              <w:t xml:space="preserve">KGGLM, PEARLM, PGPR</w:t>
            </w:r>
          </w:p>
        </w:tc>
        <w:tc>
          <w:tcPr/>
          <w:p>
            <w:pPr>
              <w:pStyle w:val="Compact"/>
            </w:pPr>
            <w:r>
              <w:t xml:space="preserve">HR@10, NDCG@10, Precision@10, Recall@10; Accuracy complete for KGGLM/PEARLM/PGPR; LIR/SEP/ETD alpha sweeps N/A</w:t>
            </w:r>
          </w:p>
        </w:tc>
        <w:tc>
          <w:tcPr/>
          <w:p>
            <w:pPr>
              <w:pStyle w:val="Compact"/>
            </w:pPr>
            <w:r>
              <w:t xml:space="preserve">PASS for complete rows; blocked rows: UCPR, CAFE, TPRec</w:t>
            </w:r>
          </w:p>
        </w:tc>
        <w:tc>
          <w:tcPr/>
          <w:p>
            <w:pPr>
              <w:pStyle w:val="Compact"/>
            </w:pPr>
            <w:r>
              <w:t xml:space="preserve">No approved timestamp/SEP/ETD denominator; UCPR/CAFE/TPRec blocked</w:t>
            </w:r>
          </w:p>
        </w:tc>
        <w:tc>
          <w:tcPr/>
          <w:p>
            <w:pPr>
              <w:pStyle w:val="Compact"/>
            </w:pPr>
            <w:r>
              <w:t xml:space="preserve">reports/tables/canonical_native_path_status_matrix.md; docs/guides/CANONICAL_NATIVE_PATH_COMPLETION_AUDIT_2026-06-27.md</w:t>
            </w:r>
          </w:p>
        </w:tc>
      </w:tr>
      <w:tr>
        <w:tc>
          <w:tcPr/>
          <w:p>
            <w:pPr>
              <w:pStyle w:val="Compact"/>
            </w:pPr>
            <w:r>
              <w:t xml:space="preserve">beauty_legacy_v1</w:t>
            </w:r>
          </w:p>
        </w:tc>
        <w:tc>
          <w:tcPr/>
          <w:p>
            <w:pPr>
              <w:pStyle w:val="Compact"/>
            </w:pPr>
            <w:r>
              <w:t xml:space="preserve">Historical/reference or appendix only</w:t>
            </w:r>
          </w:p>
        </w:tc>
        <w:tc>
          <w:tcPr/>
          <w:p>
            <w:pPr>
              <w:pStyle w:val="Compact"/>
            </w:pPr>
            <w:r>
              <w:t xml:space="preserve">Historical CAFE/PGPR references in docs; not a current main result row</w:t>
            </w:r>
          </w:p>
        </w:tc>
        <w:tc>
          <w:tcPr/>
          <w:p>
            <w:pPr>
              <w:pStyle w:val="Compact"/>
            </w:pPr>
            <w:r>
              <w:t xml:space="preserve">Not part of final status matrix</w:t>
            </w:r>
          </w:p>
        </w:tc>
        <w:tc>
          <w:tcPr/>
          <w:p>
            <w:pPr>
              <w:pStyle w:val="Compact"/>
            </w:pPr>
            <w:r>
              <w:t xml:space="preserve">N/A in current canonical native-path status matrix</w:t>
            </w:r>
          </w:p>
        </w:tc>
        <w:tc>
          <w:tcPr/>
          <w:p>
            <w:pPr>
              <w:pStyle w:val="Compact"/>
            </w:pPr>
            <w:r>
              <w:t xml:space="preserve">Compatibility protocol with empty validation split; should not be presented as large Amazon-Book KGAT result</w:t>
            </w:r>
          </w:p>
        </w:tc>
        <w:tc>
          <w:tcPr/>
          <w:p>
            <w:pPr>
              <w:pStyle w:val="Compact"/>
            </w:pPr>
            <w:r>
              <w:t xml:space="preserve">docs/guides/CANONICAL_DATASET_STANDARD.md; docs/guides/NATIVE_PATH_MODEL_CANDIDATE_AUDIT_2026-06-21.md</w:t>
            </w:r>
          </w:p>
        </w:tc>
      </w:tr>
    </w:tbl>
    <w:p>
      <w:pPr>
        <w:pStyle w:val="BodyText"/>
      </w:pPr>
      <w:r>
        <w:rPr>
          <w:b/>
          <w:bCs/>
        </w:rPr>
        <w:t xml:space="preserve">Table 3.1. Dataset summary and dissertation evidence role.</w:t>
      </w:r>
    </w:p>
    <w:p>
      <w:pPr>
        <w:pStyle w:val="BodyText"/>
      </w:pPr>
      <w:r>
        <w:t xml:space="preserve">Source note: this table reproduces the registered dataset scope in</w:t>
      </w:r>
      <w:r>
        <w:t xml:space="preserve"> </w:t>
      </w:r>
      <w:r>
        <w:rPr>
          <w:rStyle w:val="VerbatimChar"/>
        </w:rPr>
        <w:t xml:space="preserve">thesis_analysis_pack/dataset_summary_table.md</w:t>
      </w:r>
      <w:r>
        <w:t xml:space="preserve">; validation status is an evidence-eligibility result, not a performance ranking.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Native path available?</w:t>
            </w:r>
          </w:p>
        </w:tc>
        <w:tc>
          <w:tcPr/>
          <w:p>
            <w:pPr>
              <w:pStyle w:val="Compact"/>
            </w:pPr>
            <w:r>
              <w:t xml:space="preserve">Datasets completed</w:t>
            </w:r>
          </w:p>
        </w:tc>
        <w:tc>
          <w:tcPr/>
          <w:p>
            <w:pPr>
              <w:pStyle w:val="Compact"/>
            </w:pPr>
            <w:r>
              <w:t xml:space="preserve">Accuracy metrics available?</w:t>
            </w:r>
          </w:p>
        </w:tc>
        <w:tc>
          <w:tcPr/>
          <w:p>
            <w:pPr>
              <w:pStyle w:val="Compact"/>
            </w:pPr>
            <w:r>
              <w:t xml:space="preserve">Explanation metrics available?</w:t>
            </w:r>
          </w:p>
        </w:tc>
        <w:tc>
          <w:tcPr/>
          <w:p>
            <w:pPr>
              <w:pStyle w:val="Compact"/>
            </w:pPr>
            <w:r>
              <w:t xml:space="preserve">Dissertation role</w:t>
            </w:r>
          </w:p>
        </w:tc>
        <w:tc>
          <w:tcPr/>
          <w:p>
            <w:pPr>
              <w:pStyle w:val="Compact"/>
            </w:pPr>
            <w:r>
              <w:t xml:space="preserve">Evidence file paths</w:t>
            </w:r>
          </w:p>
        </w:tc>
      </w:tr>
      <w:tr>
        <w:tc>
          <w:tcPr/>
          <w:p>
            <w:pPr>
              <w:pStyle w:val="Compact"/>
            </w:pPr>
            <w:r>
              <w:t xml:space="preserve">PGPR</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Native RL/path reasoning baseline; main comparison model</w:t>
            </w:r>
          </w:p>
        </w:tc>
        <w:tc>
          <w:tcPr/>
          <w:p>
            <w:pPr>
              <w:pStyle w:val="Compact"/>
            </w:pPr>
            <w:r>
              <w:t xml:space="preserve">reports/tables/canonical_native_path_status_matrix.md; docs/guides/NATIVE_PATH_EXPERIMENT_ARCHITECTURE_2026-06-11.md</w:t>
            </w:r>
          </w:p>
        </w:tc>
      </w:tr>
      <w:tr>
        <w:tc>
          <w:tcPr/>
          <w:p>
            <w:pPr>
              <w:pStyle w:val="Compact"/>
            </w:pPr>
            <w:r>
              <w:t xml:space="preserve">UCPR</w:t>
            </w:r>
          </w:p>
        </w:tc>
        <w:tc>
          <w:tcPr/>
          <w:p>
            <w:pPr>
              <w:pStyle w:val="Compact"/>
            </w:pPr>
            <w:r>
              <w:t xml:space="preserve">Yes</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Native path baseline on LastFM/ML-1M; Amazon blocked</w:t>
            </w:r>
          </w:p>
        </w:tc>
        <w:tc>
          <w:tcPr/>
          <w:p>
            <w:pPr>
              <w:pStyle w:val="Compact"/>
            </w:pPr>
            <w:r>
              <w:t xml:space="preserve">reports/tables/canonical_native_path_status_matrix.md; reports/tables/amazon_classic_port_readiness.json</w:t>
            </w:r>
          </w:p>
        </w:tc>
      </w:tr>
      <w:tr>
        <w:tc>
          <w:tcPr/>
          <w:p>
            <w:pPr>
              <w:pStyle w:val="Compact"/>
            </w:pPr>
            <w:r>
              <w:t xml:space="preserve">CAFE</w:t>
            </w:r>
          </w:p>
        </w:tc>
        <w:tc>
          <w:tcPr/>
          <w:p>
            <w:pPr>
              <w:pStyle w:val="Compact"/>
            </w:pPr>
            <w:r>
              <w:t xml:space="preserve">Yes</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Native path baseline on LastFM/ML-1M; Amazon blocked pending port</w:t>
            </w:r>
          </w:p>
        </w:tc>
        <w:tc>
          <w:tcPr/>
          <w:p>
            <w:pPr>
              <w:pStyle w:val="Compact"/>
            </w:pPr>
            <w:r>
              <w:t xml:space="preserve">reports/tables/canonical_native_path_status_matrix.md; reports/tables/amazon_classic_port_readiness.json</w:t>
            </w:r>
          </w:p>
        </w:tc>
      </w:tr>
      <w:tr>
        <w:tc>
          <w:tcPr/>
          <w:p>
            <w:pPr>
              <w:pStyle w:val="Compact"/>
            </w:pPr>
            <w:r>
              <w:t xml:space="preserve">TPRec</w:t>
            </w:r>
          </w:p>
        </w:tc>
        <w:tc>
          <w:tcPr/>
          <w:p>
            <w:pPr>
              <w:pStyle w:val="Compact"/>
            </w:pPr>
            <w:r>
              <w:t xml:space="preserve">Yes where timestamps are valid</w:t>
            </w:r>
          </w:p>
        </w:tc>
        <w:tc>
          <w:tcPr/>
          <w:p>
            <w:pPr>
              <w:pStyle w:val="Compact"/>
            </w:pPr>
            <w:r>
              <w:t xml:space="preserve">LastFM, ML-1M</w:t>
            </w:r>
          </w:p>
        </w:tc>
        <w:tc>
          <w:tcPr/>
          <w:p>
            <w:pPr>
              <w:pStyle w:val="Compact"/>
            </w:pPr>
            <w:r>
              <w:t xml:space="preserve">Yes</w:t>
            </w:r>
          </w:p>
        </w:tc>
        <w:tc>
          <w:tcPr/>
          <w:p>
            <w:pPr>
              <w:pStyle w:val="Compact"/>
            </w:pPr>
            <w:r>
              <w:t xml:space="preserve">Yes for completed LastFM/ML-1M; blocked on Amazon</w:t>
            </w:r>
          </w:p>
        </w:tc>
        <w:tc>
          <w:tcPr/>
          <w:p>
            <w:pPr>
              <w:pStyle w:val="Compact"/>
            </w:pPr>
            <w:r>
              <w:t xml:space="preserve">Temporal native-path baseline on LastFM/ML-1M; Amazon blocked by sentinel timestamps</w:t>
            </w:r>
          </w:p>
        </w:tc>
        <w:tc>
          <w:tcPr/>
          <w:p>
            <w:pPr>
              <w:pStyle w:val="Compact"/>
            </w:pPr>
            <w:r>
              <w:t xml:space="preserve">docs/guides/NATIVE_PATH_MODEL_CANDIDATE_AUDIT_2026-06-21.md; reports/tables/amazon_classic_port_readiness.json</w:t>
            </w:r>
          </w:p>
        </w:tc>
      </w:tr>
      <w:tr>
        <w:tc>
          <w:tcPr/>
          <w:p>
            <w:pPr>
              <w:pStyle w:val="Compact"/>
            </w:pPr>
            <w:r>
              <w:t xml:space="preserve">KGGLM</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Path-language-model native-path baseline; main comparison model</w:t>
            </w:r>
          </w:p>
        </w:tc>
        <w:tc>
          <w:tcPr/>
          <w:p>
            <w:pPr>
              <w:pStyle w:val="Compact"/>
            </w:pPr>
            <w:r>
              <w:t xml:space="preserve">docs/guides/NATIVE_PATH_MODEL_CANDIDATE_AUDIT_2026-06-21.md; reports/tables/canonical_native_path_status_matrix.md</w:t>
            </w:r>
          </w:p>
        </w:tc>
      </w:tr>
      <w:tr>
        <w:tc>
          <w:tcPr/>
          <w:p>
            <w:pPr>
              <w:pStyle w:val="Compact"/>
            </w:pPr>
            <w:r>
              <w:t xml:space="preserve">PEARLM</w:t>
            </w:r>
          </w:p>
        </w:tc>
        <w:tc>
          <w:tcPr/>
          <w:p>
            <w:pPr>
              <w:pStyle w:val="Compact"/>
            </w:pPr>
            <w:r>
              <w:t xml:space="preserve">Yes</w:t>
            </w:r>
          </w:p>
        </w:tc>
        <w:tc>
          <w:tcPr/>
          <w:p>
            <w:pPr>
              <w:pStyle w:val="Compact"/>
            </w:pPr>
            <w:r>
              <w:t xml:space="preserve">LastFM, ML-1M, Amazon-Book KGAT</w:t>
            </w:r>
          </w:p>
        </w:tc>
        <w:tc>
          <w:tcPr/>
          <w:p>
            <w:pPr>
              <w:pStyle w:val="Compact"/>
            </w:pPr>
            <w:r>
              <w:t xml:space="preserve">Yes</w:t>
            </w:r>
          </w:p>
        </w:tc>
        <w:tc>
          <w:tcPr/>
          <w:p>
            <w:pPr>
              <w:pStyle w:val="Compact"/>
            </w:pPr>
            <w:r>
              <w:t xml:space="preserve">Yes for LastFM/ML-1M; Amazon LIR/SEP/ETD N/A</w:t>
            </w:r>
          </w:p>
        </w:tc>
        <w:tc>
          <w:tcPr/>
          <w:p>
            <w:pPr>
              <w:pStyle w:val="Compact"/>
            </w:pPr>
            <w:r>
              <w:t xml:space="preserve">KG-constrained path-language-model baseline; main comparison model</w:t>
            </w:r>
          </w:p>
        </w:tc>
        <w:tc>
          <w:tcPr/>
          <w:p>
            <w:pPr>
              <w:pStyle w:val="Compact"/>
            </w:pPr>
            <w:r>
              <w:t xml:space="preserve">docs/guides/NATIVE_PATH_MODEL_CANDIDATE_AUDIT_2026-06-21.md; reports/tables/canonical_native_path_status_matrix.md</w:t>
            </w:r>
          </w:p>
        </w:tc>
      </w:tr>
      <w:tr>
        <w:tc>
          <w:tcPr/>
          <w:p>
            <w:pPr>
              <w:pStyle w:val="Compact"/>
            </w:pPr>
            <w:r>
              <w:t xml:space="preserve">KGIN</w:t>
            </w:r>
          </w:p>
        </w:tc>
        <w:tc>
          <w:tcPr/>
          <w:p>
            <w:pPr>
              <w:pStyle w:val="Compact"/>
            </w:pPr>
            <w:r>
              <w:t xml:space="preserve">No native recommendation path</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 not LIR/SEP/ETD</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KGAT</w:t>
            </w:r>
          </w:p>
        </w:tc>
        <w:tc>
          <w:tcPr/>
          <w:p>
            <w:pPr>
              <w:pStyle w:val="Compact"/>
            </w:pPr>
            <w:r>
              <w:t xml:space="preserve">No native recommendation path in current protocol</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LightGCN</w:t>
            </w:r>
          </w:p>
        </w:tc>
        <w:tc>
          <w:tcPr/>
          <w:p>
            <w:pPr>
              <w:pStyle w:val="Compact"/>
            </w:pPr>
            <w:r>
              <w:t xml:space="preserve">No native KG path</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Accuracy-only reference / optional appendix</w:t>
            </w:r>
          </w:p>
        </w:tc>
        <w:tc>
          <w:tcPr/>
          <w:p>
            <w:pPr>
              <w:pStyle w:val="Compact"/>
            </w:pPr>
            <w:r>
              <w:t xml:space="preserve">README.md; docs/guides/NATIVE_PATH_EXPERIMENT_ARCHITECTURE_2026-06-11.md; docs/guides/NATIVE_PATH_MODEL_CANDIDATE_AUDIT_2026-06-21.md</w:t>
            </w:r>
          </w:p>
        </w:tc>
      </w:tr>
      <w:tr>
        <w:tc>
          <w:tcPr/>
          <w:p>
            <w:pPr>
              <w:pStyle w:val="Compact"/>
            </w:pPr>
            <w:r>
              <w:t xml:space="preserve">TransE</w:t>
            </w:r>
          </w:p>
        </w:tc>
        <w:tc>
          <w:tcPr/>
          <w:p>
            <w:pPr>
              <w:pStyle w:val="Compact"/>
            </w:pPr>
            <w:r>
              <w:t xml:space="preserve">No: embedding component</w:t>
            </w:r>
          </w:p>
        </w:tc>
        <w:tc>
          <w:tcPr/>
          <w:p>
            <w:pPr>
              <w:pStyle w:val="Compact"/>
            </w:pPr>
            <w:r>
              <w:t xml:space="preserve">N/A</w:t>
            </w:r>
          </w:p>
        </w:tc>
        <w:tc>
          <w:tcPr/>
          <w:p>
            <w:pPr>
              <w:pStyle w:val="Compact"/>
            </w:pPr>
            <w:r>
              <w:t xml:space="preserve">Deferred / N/A</w:t>
            </w:r>
          </w:p>
        </w:tc>
        <w:tc>
          <w:tcPr/>
          <w:p>
            <w:pPr>
              <w:pStyle w:val="Compact"/>
            </w:pPr>
            <w:r>
              <w:t xml:space="preserve">No</w:t>
            </w:r>
          </w:p>
        </w:tc>
        <w:tc>
          <w:tcPr/>
          <w:p>
            <w:pPr>
              <w:pStyle w:val="Compact"/>
            </w:pPr>
            <w:r>
              <w:t xml:space="preserve">Training/preprocessing component, not a recommender row</w:t>
            </w:r>
          </w:p>
        </w:tc>
        <w:tc>
          <w:tcPr/>
          <w:p>
            <w:pPr>
              <w:pStyle w:val="Compact"/>
            </w:pPr>
            <w:r>
              <w:t xml:space="preserve">docs/guides/CANONICAL_NATIVE_PATH_HANDOFF_2026-06-27.md; reports/tables/amazon_classic_port_readiness.json</w:t>
            </w:r>
          </w:p>
        </w:tc>
      </w:tr>
    </w:tbl>
    <w:p>
      <w:pPr>
        <w:pStyle w:val="BodyText"/>
      </w:pPr>
      <w:r>
        <w:rPr>
          <w:b/>
          <w:bCs/>
        </w:rPr>
        <w:t xml:space="preserve">Table 3.2. Model scope and native-path evidence availability.</w:t>
      </w:r>
    </w:p>
    <w:p>
      <w:pPr>
        <w:pStyle w:val="BodyText"/>
      </w:pPr>
      <w:r>
        <w:t xml:space="preserve">Source note: this table reproduces</w:t>
      </w:r>
      <w:r>
        <w:t xml:space="preserve"> </w:t>
      </w:r>
      <w:r>
        <w:rPr>
          <w:rStyle w:val="VerbatimChar"/>
        </w:rPr>
        <w:t xml:space="preserve">thesis_analysis_pack/model_scope_table.md</w:t>
      </w:r>
      <w:r>
        <w:t xml:space="preserve">. Accuracy-only and component rows are not assigned native-path explanation metrics.</w:t>
      </w:r>
    </w:p>
    <w:bookmarkEnd w:id="43"/>
    <w:bookmarkStart w:id="44" w:name="Xe506260aea4fb945b5209709dc9486719295df7"/>
    <w:p>
      <w:pPr>
        <w:pStyle w:val="Heading2"/>
      </w:pPr>
      <w:r>
        <w:t xml:space="preserve">3.3 Native-Path Export Contract and Implementation</w:t>
      </w:r>
    </w:p>
    <w:p>
      <w:pPr>
        <w:pStyle w:val="FirstParagraph"/>
      </w:pPr>
      <w:r>
        <w:t xml:space="preserve">Comparable identifiers are necessary but insufficient when the explanation itself is part of the model evidence. The export contract therefore defines the minimum artifacts required for a complete native-path row:</w:t>
      </w:r>
    </w:p>
    <w:p>
      <w:pPr>
        <w:pStyle w:val="Compact"/>
        <w:numPr>
          <w:ilvl w:val="0"/>
          <w:numId w:val="1004"/>
        </w:numPr>
      </w:pPr>
      <w:r>
        <w:rPr>
          <w:rStyle w:val="VerbatimChar"/>
        </w:rPr>
        <w:t xml:space="preserve">uid_topk.csv</w:t>
      </w:r>
      <w:r>
        <w:t xml:space="preserve">, containing ranked recommendation lists for canonical users;</w:t>
      </w:r>
    </w:p>
    <w:p>
      <w:pPr>
        <w:pStyle w:val="Compact"/>
        <w:numPr>
          <w:ilvl w:val="0"/>
          <w:numId w:val="1004"/>
        </w:numPr>
      </w:pPr>
      <w:r>
        <w:rPr>
          <w:rStyle w:val="VerbatimChar"/>
        </w:rPr>
        <w:t xml:space="preserve">pred_paths.csv</w:t>
      </w:r>
      <w:r>
        <w:t xml:space="preserve">, containing candidate or selected recommendation paths;</w:t>
      </w:r>
    </w:p>
    <w:p>
      <w:pPr>
        <w:pStyle w:val="Compact"/>
        <w:numPr>
          <w:ilvl w:val="0"/>
          <w:numId w:val="1004"/>
        </w:numPr>
      </w:pPr>
      <w:r>
        <w:rPr>
          <w:rStyle w:val="VerbatimChar"/>
        </w:rPr>
        <w:t xml:space="preserve">uid_pid_explanation.csv</w:t>
      </w:r>
      <w:r>
        <w:t xml:space="preserve">, containing the path used to explain each user-item recommendation.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Required content</w:t>
            </w:r>
          </w:p>
        </w:tc>
        <w:tc>
          <w:tcPr/>
          <w:p>
            <w:pPr>
              <w:pStyle w:val="Compact"/>
            </w:pPr>
            <w:r>
              <w:t xml:space="preserve">Canonical requirement</w:t>
            </w:r>
          </w:p>
        </w:tc>
        <w:tc>
          <w:tcPr/>
          <w:p>
            <w:pPr>
              <w:pStyle w:val="Compact"/>
            </w:pPr>
            <w:r>
              <w:t xml:space="preserve">Evaluation role</w:t>
            </w:r>
          </w:p>
        </w:tc>
      </w:tr>
      <w:tr>
        <w:tc>
          <w:tcPr/>
          <w:p>
            <w:pPr>
              <w:pStyle w:val="Compact"/>
            </w:pPr>
            <w:r>
              <w:rPr>
                <w:rStyle w:val="VerbatimChar"/>
              </w:rPr>
              <w:t xml:space="preserve">uid_topk.csv</w:t>
            </w:r>
          </w:p>
        </w:tc>
        <w:tc>
          <w:tcPr/>
          <w:p>
            <w:pPr>
              <w:pStyle w:val="Compact"/>
            </w:pPr>
            <w:r>
              <w:t xml:space="preserve">Ranked recommendation lists for canonical users</w:t>
            </w:r>
          </w:p>
        </w:tc>
        <w:tc>
          <w:tcPr/>
          <w:p>
            <w:pPr>
              <w:pStyle w:val="Compact"/>
            </w:pPr>
            <w:r>
              <w:t xml:space="preserve">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w:t>
            </w:r>
          </w:p>
        </w:tc>
        <w:tc>
          <w:tcPr/>
          <w:p>
            <w:pPr>
              <w:pStyle w:val="Compact"/>
            </w:pPr>
            <w:r>
              <w:t xml:space="preserve">Strict ranking evaluation and recommendation alignment</w:t>
            </w:r>
          </w:p>
        </w:tc>
      </w:tr>
      <w:tr>
        <w:tc>
          <w:tcPr/>
          <w:p>
            <w:pPr>
              <w:pStyle w:val="Compact"/>
            </w:pPr>
            <w:r>
              <w:rPr>
                <w:rStyle w:val="VerbatimChar"/>
              </w:rPr>
              <w:t xml:space="preserve">pred_paths.csv</w:t>
            </w:r>
          </w:p>
        </w:tc>
        <w:tc>
          <w:tcPr/>
          <w:p>
            <w:pPr>
              <w:pStyle w:val="Compact"/>
            </w:pPr>
            <w:r>
              <w:t xml:space="preserve">Candidate or selected recommendation paths</w:t>
            </w:r>
          </w:p>
        </w:tc>
        <w:tc>
          <w:tcPr/>
          <w:p>
            <w:pPr>
              <w:pStyle w:val="Compact"/>
            </w:pPr>
            <w:r>
              <w:t xml:space="preserve">Canonical endpoints and registered relation/entity representation</w:t>
            </w:r>
          </w:p>
        </w:tc>
        <w:tc>
          <w:tcPr/>
          <w:p>
            <w:pPr>
              <w:pStyle w:val="Compact"/>
            </w:pPr>
            <w:r>
              <w:t xml:space="preserve">Candidate-path and endpoint validation</w:t>
            </w:r>
          </w:p>
        </w:tc>
      </w:tr>
      <w:tr>
        <w:tc>
          <w:tcPr/>
          <w:p>
            <w:pPr>
              <w:pStyle w:val="Compact"/>
            </w:pPr>
            <w:r>
              <w:rPr>
                <w:rStyle w:val="VerbatimChar"/>
              </w:rPr>
              <w:t xml:space="preserve">uid_pid_explanation.csv</w:t>
            </w:r>
          </w:p>
        </w:tc>
        <w:tc>
          <w:tcPr/>
          <w:p>
            <w:pPr>
              <w:pStyle w:val="Compact"/>
            </w:pPr>
            <w:r>
              <w:t xml:space="preserve">Path used to explain each user-item recommendation</w:t>
            </w:r>
          </w:p>
        </w:tc>
        <w:tc>
          <w:tcPr/>
          <w:p>
            <w:pPr>
              <w:pStyle w:val="Compact"/>
            </w:pPr>
            <w:r>
              <w:t xml:space="preserve">Same canonical user-item pair as the recommendation export</w:t>
            </w:r>
          </w:p>
        </w:tc>
        <w:tc>
          <w:tcPr/>
          <w:p>
            <w:pPr>
              <w:pStyle w:val="Compact"/>
            </w:pPr>
            <w:r>
              <w:t xml:space="preserve">Native-path explanation metrics and recommendation-explanation alignment</w:t>
            </w:r>
          </w:p>
        </w:tc>
      </w:tr>
    </w:tbl>
    <w:p>
      <w:pPr>
        <w:pStyle w:val="BodyText"/>
      </w:pPr>
      <w:r>
        <w:rPr>
          <w:b/>
          <w:bCs/>
        </w:rPr>
        <w:t xml:space="preserve">Table 3.3. Canonical native-path export contract.</w:t>
      </w:r>
    </w:p>
    <w:p>
      <w:pPr>
        <w:pStyle w:val="BodyText"/>
      </w:pPr>
      <w:r>
        <w:t xml:space="preserve">Formally, the ranked recommendation list is</w:t>
      </w:r>
    </w:p>
    <w:p>
      <w:pPr>
        <w:pStyle w:val="BodyText"/>
      </w:pPr>
      <w:r>
        <w:t xml:space="preserve">[</w:t>
      </w:r>
      <w:r>
        <w:t xml:space="preserve"> </w:t>
      </w:r>
      <w:r>
        <w:rPr>
          <w:i/>
          <w:iCs/>
        </w:rPr>
        <w:t xml:space="preserve">{u}^{K,m,d}</w:t>
      </w:r>
      <w:r>
        <w:rPr>
          <w:i/>
          <w:iCs/>
        </w:rPr>
        <w:t xml:space="preserve"> </w:t>
      </w:r>
      <w:r>
        <w:rPr>
          <w:i/>
          <w:iCs/>
        </w:rPr>
        <w:t xml:space="preserve">=</w:t>
      </w:r>
      <w:r>
        <w:rPr>
          <w:i/>
          <w:iCs/>
        </w:rPr>
        <w:t xml:space="preserve"> </w:t>
      </w:r>
      <w:r>
        <w:rPr>
          <w:i/>
          <w:iCs/>
        </w:rPr>
        <w:t xml:space="preserve">[i_{u,1}, i_{u,2},</w:t>
      </w:r>
      <w:r>
        <w:rPr>
          <w:i/>
          <w:iCs/>
        </w:rPr>
        <w:t xml:space="preserve"> </w:t>
      </w:r>
      <w:r>
        <w:rPr>
          <w:i/>
          <w:iCs/>
        </w:rPr>
        <w:t xml:space="preserve">, i_{u,K}],</w:t>
      </w:r>
      <w:r>
        <w:rPr>
          <w:i/>
          <w:iCs/>
        </w:rPr>
        <w:t xml:space="preserve"> </w:t>
      </w:r>
      <w:r>
        <w:rPr>
          <w:i/>
          <w:iCs/>
        </w:rPr>
        <w:t xml:space="preserve"> </w:t>
      </w:r>
      <w:r>
        <w:rPr>
          <w:i/>
          <w:iCs/>
        </w:rPr>
        <w:t xml:space="preserve">i</w:t>
      </w:r>
      <w:r>
        <w:t xml:space="preserve">{u,j}</w:t>
      </w:r>
      <w:r>
        <w:t xml:space="preserve"> </w:t>
      </w:r>
      <w:r>
        <w:t xml:space="preserve">_d.</w:t>
      </w:r>
      <w:r>
        <w:t xml:space="preserve"> </w:t>
      </w:r>
      <w:r>
        <w:t xml:space="preserve">]</w:t>
      </w:r>
    </w:p>
    <w:p>
      <w:pPr>
        <w:pStyle w:val="BodyText"/>
      </w:pPr>
      <w:r>
        <w:t xml:space="preserve">A native path associated with a reportable recommendation is represented as</w:t>
      </w:r>
    </w:p>
    <w:p>
      <w:pPr>
        <w:pStyle w:val="BodyText"/>
      </w:pPr>
      <w:r>
        <w:t xml:space="preserve">[</w:t>
      </w:r>
      <w:r>
        <w:t xml:space="preserve"> </w:t>
      </w:r>
      <w:r>
        <w:t xml:space="preserve">p_{u,i}^{m,d}</w:t>
      </w:r>
      <w:r>
        <w:t xml:space="preserve"> </w:t>
      </w:r>
      <w:r>
        <w:t xml:space="preserve">=</w:t>
      </w:r>
      <w:r>
        <w:t xml:space="preserve"> </w:t>
      </w:r>
      <w:r>
        <w:t xml:space="preserve">,</w:t>
      </w:r>
      <w:r>
        <w:t xml:space="preserve"> </w:t>
      </w:r>
      <w:r>
        <w:t xml:space="preserve">]</w:t>
      </w:r>
    </w:p>
    <w:p>
      <w:pPr>
        <w:pStyle w:val="BodyText"/>
      </w:pPr>
      <w:r>
        <w:t xml:space="preserve">subject to the endpoint conditions</w:t>
      </w:r>
    </w:p>
    <w:p>
      <w:pPr>
        <w:pStyle w:val="BodyText"/>
      </w:pPr>
      <w:r>
        <w:t xml:space="preserve">[</w:t>
      </w:r>
      <w:r>
        <w:t xml:space="preserve"> </w:t>
      </w:r>
      <w:r>
        <w:t xml:space="preserve">(r_0,t_0,e_0) = (</w:t>
      </w:r>
      <w:r>
        <w:t xml:space="preserve">,</w:t>
      </w:r>
      <w:r>
        <w:t xml:space="preserve"> </w:t>
      </w:r>
      <w:r>
        <w:t xml:space="preserve">, u)</w:t>
      </w:r>
      <w:r>
        <w:t xml:space="preserve"> </w:t>
      </w:r>
      <w:r>
        <w:t xml:space="preserve">]</w:t>
      </w:r>
    </w:p>
    <w:p>
      <w:pPr>
        <w:pStyle w:val="BodyText"/>
      </w:pPr>
      <w:r>
        <w:t xml:space="preserve">and</w:t>
      </w:r>
    </w:p>
    <w:p>
      <w:pPr>
        <w:pStyle w:val="BodyText"/>
      </w:pPr>
      <w:r>
        <w:t xml:space="preserve">[</w:t>
      </w:r>
      <w:r>
        <w:t xml:space="preserve"> </w:t>
      </w:r>
      <w:r>
        <w:t xml:space="preserve">e_L = i.</w:t>
      </w:r>
      <w:r>
        <w:t xml:space="preserve"> </w:t>
      </w:r>
      <w:r>
        <w:t xml:space="preserve">]</w:t>
      </w:r>
    </w:p>
    <w:p>
      <w:pPr>
        <w:pStyle w:val="BodyText"/>
      </w:pPr>
      <w:r>
        <w:t xml:space="preserve">The corresponding validity predicate is</w:t>
      </w:r>
    </w:p>
    <w:p>
      <w:pPr>
        <w:pStyle w:val="BodyText"/>
      </w:pPr>
      <w:r>
        <w:t xml:space="preserve">[</w:t>
      </w:r>
      <w:r>
        <w:t xml:space="preserve"> </w:t>
      </w:r>
      <w:r>
        <w:t xml:space="preserve">(p_{u,i}^{m,d}) =</w:t>
      </w:r>
      <w:r>
        <w:t xml:space="preserve"> </w:t>
      </w:r>
      <w:r>
        <w:t xml:space="preserve"> </w:t>
      </w:r>
      <w:r>
        <w:t xml:space="preserve">.</w:t>
      </w:r>
      <w:r>
        <w:t xml:space="preserve"> </w:t>
      </w:r>
      <w:r>
        <w:t xml:space="preserve">]</w:t>
      </w:r>
    </w:p>
    <w:p>
      <w:pPr>
        <w:pStyle w:val="BodyText"/>
      </w:pPr>
      <w:r>
        <w:t xml:space="preserve">A native path is reportable only when it is aligned with the same canonical user-item pair that appears in the recommendation export.</w:t>
      </w:r>
    </w:p>
    <w:p>
      <w:pPr>
        <w:pStyle w:val="BodyText"/>
      </w:pPr>
      <w:r>
        <w:t xml:space="preserve">The minimum export evidence package for each row is</w:t>
      </w:r>
    </w:p>
    <w:p>
      <w:pPr>
        <w:pStyle w:val="BodyText"/>
      </w:pPr>
      <w:r>
        <w:t xml:space="preserve">[</w:t>
      </w:r>
      <w:r>
        <w:t xml:space="preserve"> </w:t>
      </w:r>
      <w:r>
        <w:rPr>
          <w:i/>
          <w:iCs/>
        </w:rPr>
        <w:t xml:space="preserve">{m,d}</w:t>
      </w:r>
      <w:r>
        <w:rPr>
          <w:i/>
          <w:iCs/>
        </w:rPr>
        <w:t xml:space="preserve"> </w:t>
      </w:r>
      <w:r>
        <w:rPr>
          <w:i/>
          <w:iCs/>
        </w:rPr>
        <w:t xml:space="preserve">=</w:t>
      </w:r>
      <w:r>
        <w:rPr>
          <w:i/>
          <w:iCs/>
        </w:rPr>
        <w:t xml:space="preserve"> </w:t>
      </w:r>
      <w:r>
        <w:rPr>
          <w:i/>
          <w:iCs/>
        </w:rPr>
        <w:t xml:space="preserve">(</w:t>
      </w:r>
      <w:r>
        <w:rPr>
          <w:i/>
          <w:iCs/>
        </w:rPr>
        <w:t xml:space="preserve"> </w:t>
      </w:r>
      <w:r>
        <w:rPr>
          <w:i/>
          <w:iCs/>
        </w:rPr>
        <w:t xml:space="preserve">T</w:t>
      </w:r>
      <w:r>
        <w:t xml:space="preserve">{m,d},</w:t>
      </w:r>
      <w:r>
        <w:t xml:space="preserve"> </w:t>
      </w:r>
      <w:r>
        <w:t xml:space="preserve">P_{m,d},</w:t>
      </w:r>
      <w:r>
        <w:t xml:space="preserve"> </w:t>
      </w:r>
      <w:r>
        <w:t xml:space="preserve">X_{m,d}</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T_{m,d} =</w:t>
      </w:r>
      <w:r>
        <w:t xml:space="preserve"> </w:t>
      </w:r>
      <w:r>
        <w:t xml:space="preserve">,</w:t>
      </w:r>
      <w:r>
        <w:t xml:space="preserve"> </w:t>
      </w:r>
      <w:r>
        <w:t xml:space="preserve"> </w:t>
      </w:r>
      <w:r>
        <w:t xml:space="preserve">P_{m,d} =</w:t>
      </w:r>
      <w:r>
        <w:t xml:space="preserve"> </w:t>
      </w:r>
      <w:r>
        <w:t xml:space="preserve">,</w:t>
      </w:r>
      <w:r>
        <w:t xml:space="preserve"> </w:t>
      </w:r>
      <w:r>
        <w:t xml:space="preserve"> </w:t>
      </w:r>
      <w:r>
        <w:t xml:space="preserve">X_{m,d} =</w:t>
      </w:r>
      <w:r>
        <w:t xml:space="preserve"> </w:t>
      </w:r>
      <w:r>
        <w:t xml:space="preserve">.</w:t>
      </w:r>
      <w:r>
        <w:t xml:space="preserve"> </w:t>
      </w:r>
      <w:r>
        <w:t xml:space="preserve">]</w:t>
      </w:r>
    </w:p>
    <w:p>
      <w:pPr>
        <w:pStyle w:val="BodyText"/>
      </w:pPr>
      <w:r>
        <w:t xml:space="preserve">The explanation export is the set</w:t>
      </w:r>
    </w:p>
    <w:p>
      <w:pPr>
        <w:pStyle w:val="BodyText"/>
      </w:pPr>
      <w:r>
        <w:t xml:space="preserve">[</w:t>
      </w:r>
      <w:r>
        <w:t xml:space="preserve"> </w:t>
      </w:r>
      <w:r>
        <w:t xml:space="preserve">X_{m,d}</w:t>
      </w:r>
      <w:r>
        <w:t xml:space="preserve"> </w:t>
      </w:r>
      <w:r>
        <w:t xml:space="preserve">=</w:t>
      </w:r>
      <w:r>
        <w:t xml:space="preserve"> </w:t>
      </w:r>
      <w:r>
        <w:t xml:space="preserve">{(u,i,p_{u,i}^{m,d}) : u</w:t>
      </w:r>
      <w:r>
        <w:t xml:space="preserve"> </w:t>
      </w:r>
      <w:r>
        <w:rPr>
          <w:i/>
          <w:iCs/>
        </w:rPr>
        <w:t xml:space="preserve">{test}, i</w:t>
      </w:r>
      <w:r>
        <w:rPr>
          <w:i/>
          <w:iCs/>
        </w:rPr>
        <w:t xml:space="preserve"> </w:t>
      </w:r>
      <w:r>
        <w:t xml:space="preserve">{u}^{K,m,d}}.</w:t>
      </w:r>
      <w:r>
        <w:t xml:space="preserve"> </w:t>
      </w:r>
      <w:r>
        <w:t xml:space="preserve">]</w:t>
      </w:r>
    </w:p>
    <w:p>
      <w:pPr>
        <w:pStyle w:val="BodyText"/>
      </w:pPr>
      <w:r>
        <w:t xml:space="preserve">The export contract is a minimum evidence contract. It does not require all models to share the same internal scoring architecture.</w:t>
      </w:r>
    </w:p>
    <w:p>
      <w:pPr>
        <w:pStyle w:val="BodyText"/>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44"/>
    <w:bookmarkStart w:id="51" w:name="evaluation-and-validation-pipeline"/>
    <w:p>
      <w:pPr>
        <w:pStyle w:val="Heading2"/>
      </w:pPr>
      <w:r>
        <w:t xml:space="preserve">3.4 Evaluation and Validation Pipeline</w:t>
      </w:r>
    </w:p>
    <w:p>
      <w:pPr>
        <w:pStyle w:val="FirstParagrap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pPr>
      <w:r>
        <w:t xml:space="preserve">Strict accuracy is computed from canonical labels and the recommendation export. The reported metrics are HR@10, NDCG@10, Precision@10, and Recall@10. Explanation metrics are computed from native paths through the xrecsys path-metric stack documented in</w:t>
      </w:r>
      <w:r>
        <w:t xml:space="preserve"> </w:t>
      </w:r>
      <w:r>
        <w:rPr>
          <w:rStyle w:val="VerbatimChar"/>
        </w:rPr>
        <w:t xml:space="preserve">docs/guides/PATH_METRICS_GUIDE.md</w:t>
      </w:r>
      <w:r>
        <w:t xml:space="preserve">. The dissertation cites XRecSys for the conceptual origin of recency, shared-entity scoring, and explanation-type diversity, while the exact evaluated LIR, SEP, and ETD formulas remain repository-specific</w:t>
      </w:r>
      <w:r>
        <w:t xml:space="preserve"> </w:t>
      </w:r>
      <w:r>
        <w:t xml:space="preserve">(Balloccu et al. 2022a)</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Validation gate</w:t>
            </w:r>
          </w:p>
        </w:tc>
        <w:tc>
          <w:tcPr/>
          <w:p>
            <w:pPr>
              <w:pStyle w:val="Compact"/>
            </w:pPr>
            <w:r>
              <w:t xml:space="preserve">Check</w:t>
            </w:r>
          </w:p>
        </w:tc>
        <w:tc>
          <w:tcPr/>
          <w:p>
            <w:pPr>
              <w:pStyle w:val="Compact"/>
            </w:pPr>
            <w:r>
              <w:t xml:space="preserve">Failure interpretation</w:t>
            </w:r>
          </w:p>
        </w:tc>
      </w:tr>
      <w:tr>
        <w:tc>
          <w:tcPr/>
          <w:p>
            <w:pPr>
              <w:pStyle w:val="Compact"/>
            </w:pPr>
            <w:r>
              <w:t xml:space="preserve">Coverage</w:t>
            </w:r>
          </w:p>
        </w:tc>
        <w:tc>
          <w:tcPr/>
          <w:p>
            <w:pPr>
              <w:pStyle w:val="Compact"/>
            </w:pPr>
            <w:r>
              <w:t xml:space="preserve">Canonical test-user and top-k coverage are complete.</w:t>
            </w:r>
          </w:p>
        </w:tc>
        <w:tc>
          <w:tcPr/>
          <w:p>
            <w:pPr>
              <w:pStyle w:val="Compact"/>
            </w:pPr>
            <w:r>
              <w:t xml:space="preserve">BLOCKED or PARTIAL evidence; not low recommendation performance.</w:t>
            </w:r>
          </w:p>
        </w:tc>
      </w:tr>
      <w:tr>
        <w:tc>
          <w:tcPr/>
          <w:p>
            <w:pPr>
              <w:pStyle w:val="Compact"/>
            </w:pPr>
            <w:r>
              <w:t xml:space="preserve">Duplicates</w:t>
            </w:r>
          </w:p>
        </w:tc>
        <w:tc>
          <w:tcPr/>
          <w:p>
            <w:pPr>
              <w:pStyle w:val="Compact"/>
            </w:pPr>
            <w:r>
              <w:t xml:space="preserve">Each top-k list contains unique recommended items.</w:t>
            </w:r>
          </w:p>
        </w:tc>
        <w:tc>
          <w:tcPr/>
          <w:p>
            <w:pPr>
              <w:pStyle w:val="Compact"/>
            </w:pPr>
            <w:r>
              <w:t xml:space="preserve">Export-contract failure.</w:t>
            </w:r>
          </w:p>
        </w:tc>
      </w:tr>
      <w:tr>
        <w:tc>
          <w:tcPr/>
          <w:p>
            <w:pPr>
              <w:pStyle w:val="Compact"/>
            </w:pPr>
            <w:r>
              <w:t xml:space="preserve">Seen-item leakage</w:t>
            </w:r>
          </w:p>
        </w:tc>
        <w:tc>
          <w:tcPr/>
          <w:p>
            <w:pPr>
              <w:pStyle w:val="Compact"/>
            </w:pPr>
            <w:r>
              <w:t xml:space="preserve">Recommended items do not leak from the registered seen set.</w:t>
            </w:r>
          </w:p>
        </w:tc>
        <w:tc>
          <w:tcPr/>
          <w:p>
            <w:pPr>
              <w:pStyle w:val="Compact"/>
            </w:pPr>
            <w:r>
              <w:t xml:space="preserve">Evaluation-integrity failure.</w:t>
            </w:r>
          </w:p>
        </w:tc>
      </w:tr>
      <w:tr>
        <w:tc>
          <w:tcPr/>
          <w:p>
            <w:pPr>
              <w:pStyle w:val="Compact"/>
            </w:pPr>
            <w:r>
              <w:t xml:space="preserve">Canonical identifiers</w:t>
            </w:r>
          </w:p>
        </w:tc>
        <w:tc>
          <w:tcPr/>
          <w:p>
            <w:pPr>
              <w:pStyle w:val="Compact"/>
            </w:pPr>
            <w:r>
              <w:t xml:space="preserve">Exported</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are consistent with canonical mappings.</w:t>
            </w:r>
          </w:p>
        </w:tc>
        <w:tc>
          <w:tcPr/>
          <w:p>
            <w:pPr>
              <w:pStyle w:val="Compact"/>
            </w:pPr>
            <w:r>
              <w:t xml:space="preserve">Identifier-alignment failure.</w:t>
            </w:r>
          </w:p>
        </w:tc>
      </w:tr>
      <w:tr>
        <w:tc>
          <w:tcPr/>
          <w:p>
            <w:pPr>
              <w:pStyle w:val="Compact"/>
            </w:pPr>
            <w:r>
              <w:t xml:space="preserve">Path endpoints</w:t>
            </w:r>
          </w:p>
        </w:tc>
        <w:tc>
          <w:tcPr/>
          <w:p>
            <w:pPr>
              <w:pStyle w:val="Compact"/>
            </w:pPr>
            <w:r>
              <w:t xml:space="preserve">Each native path begins at the canonical user and terminates at the reported item.</w:t>
            </w:r>
          </w:p>
        </w:tc>
        <w:tc>
          <w:tcPr/>
          <w:p>
            <w:pPr>
              <w:pStyle w:val="Compact"/>
            </w:pPr>
            <w:r>
              <w:t xml:space="preserve">Path-fidelity failure.</w:t>
            </w:r>
          </w:p>
        </w:tc>
      </w:tr>
      <w:tr>
        <w:tc>
          <w:tcPr/>
          <w:p>
            <w:pPr>
              <w:pStyle w:val="Compact"/>
            </w:pPr>
            <w:r>
              <w:t xml:space="preserve">Recommendation-explanation alignment</w:t>
            </w:r>
          </w:p>
        </w:tc>
        <w:tc>
          <w:tcPr/>
          <w:p>
            <w:pPr>
              <w:pStyle w:val="Compact"/>
            </w:pPr>
            <w:r>
              <w:t xml:space="preserve">Top-k and explanation rows refer to the same user-item pairs.</w:t>
            </w:r>
          </w:p>
        </w:tc>
        <w:tc>
          <w:tcPr/>
          <w:p>
            <w:pPr>
              <w:pStyle w:val="Compact"/>
            </w:pPr>
            <w:r>
              <w:t xml:space="preserve">Artifact-alignment failure.</w:t>
            </w:r>
          </w:p>
        </w:tc>
      </w:tr>
      <w:tr>
        <w:tc>
          <w:tcPr/>
          <w:p>
            <w:pPr>
              <w:pStyle w:val="Compact"/>
            </w:pPr>
            <w:r>
              <w:t xml:space="preserve">Candidate consistency</w:t>
            </w:r>
          </w:p>
        </w:tc>
        <w:tc>
          <w:tcPr/>
          <w:p>
            <w:pPr>
              <w:pStyle w:val="Compact"/>
            </w:pPr>
            <w:r>
              <w:t xml:space="preserve">Selected explanations are consistent with the registered candidate paths.</w:t>
            </w:r>
          </w:p>
        </w:tc>
        <w:tc>
          <w:tcPr/>
          <w:p>
            <w:pPr>
              <w:pStyle w:val="Compact"/>
            </w:pPr>
            <w:r>
              <w:t xml:space="preserve">Candidate-contract failure.</w:t>
            </w:r>
          </w:p>
        </w:tc>
      </w:tr>
      <w:tr>
        <w:tc>
          <w:tcPr/>
          <w:p>
            <w:pPr>
              <w:pStyle w:val="Compact"/>
            </w:pPr>
            <w:r>
              <w:t xml:space="preserve">Score sanity</w:t>
            </w:r>
          </w:p>
        </w:tc>
        <w:tc>
          <w:tcPr/>
          <w:p>
            <w:pPr>
              <w:pStyle w:val="Compact"/>
            </w:pPr>
            <w:r>
              <w:t xml:space="preserve">Registered scores fall within their expected ranges.</w:t>
            </w:r>
          </w:p>
        </w:tc>
        <w:tc>
          <w:tcPr/>
          <w:p>
            <w:pPr>
              <w:pStyle w:val="Compact"/>
            </w:pPr>
            <w:r>
              <w:t xml:space="preserve">Metric or export validation failure.</w:t>
            </w:r>
          </w:p>
        </w:tc>
      </w:tr>
    </w:tbl>
    <w:p>
      <w:pPr>
        <w:pStyle w:val="BodyText"/>
      </w:pPr>
      <w:r>
        <w:rPr>
          <w:b/>
          <w:bCs/>
        </w:rPr>
        <w:t xml:space="preserve">Table 3.4. Validation gates applied before comparative reporting.</w:t>
      </w:r>
      <w:r>
        <w:t xml:space="preserve"> </w:t>
      </w:r>
      <w:r>
        <w:t xml:space="preserve">The table records validation eligibility rather than model performance.</w:t>
      </w:r>
    </w:p>
    <w:p>
      <w:pPr>
        <w:pStyle w:val="BodyText"/>
      </w:pPr>
      <w:r>
        <w:t xml:space="preserve">These checks are represented by the binary validation gate</w:t>
      </w:r>
    </w:p>
    <w:p>
      <w:pPr>
        <w:pStyle w:val="BodyText"/>
      </w:pPr>
      <w:r>
        <w:t xml:space="preserve">[</w:t>
      </w:r>
      <w:r>
        <w:t xml:space="preserve"> </w:t>
      </w:r>
      <w:r>
        <w:t xml:space="preserve">V_{m,d}</w:t>
      </w:r>
      <w:r>
        <w:t xml:space="preserve"> </w:t>
      </w:r>
      <w:r>
        <w:t xml:space="preserve">=</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{0,1}.</w:t>
      </w:r>
      <w:r>
        <w:t xml:space="preserve"> </w:t>
      </w:r>
      <w:r>
        <w:t xml:space="preserve">]</w:t>
      </w:r>
    </w:p>
    <w:p>
      <w:pPr>
        <w:pStyle w:val="BodyText"/>
      </w:pPr>
      <w:r>
        <w:t xml:space="preserve">Only rows with (V_{m,d}=1) are eligible for main result reporting. Rows that fail or remain incomplete are treated as boundary evidence rather than performance evidence. This gate admits the twelve complete LastFM and ML-1M rows to the main comparison while retaining the incomplete Amazon-Book KGAT rows as a partial boundary case.</w:t>
      </w:r>
    </w:p>
    <w:p>
      <w:pPr>
        <w:pStyle w:val="BodyText"/>
      </w:pPr>
      <w:r>
        <w:t xml:space="preserve">The validation-gate flowchart expands these checks as a reportability decision sequence. Its PASS and BLOCKED or PARTIAL terminals describe evidence eligibility and do not represent recommendation-performance levels.</w:t>
      </w:r>
    </w:p>
    <w:p>
      <w:pPr>
        <w:pStyle w:val="BodyText"/>
      </w:pPr>
      <w:r>
        <w:t xml:space="preserve">Let (R_u^+) denote the relevant canonical test items for user (u). The strict ranking metrics are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(u)</w:t>
      </w:r>
      <w:r>
        <w:t xml:space="preserve"> </w:t>
      </w:r>
      <w:r>
        <w:t xml:space="preserve">=</w:t>
      </w:r>
      <w:r>
        <w:t xml:space="preserve"> </w:t>
      </w:r>
      <w:r>
        <w:t xml:space="preserve">_{j=1}^{K}</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Here, (</w:t>
      </w:r>
      <w:r>
        <w:t xml:space="preserve">(u)) uses (</w:t>
      </w:r>
      <w:r>
        <w:t xml:space="preserve">(K,</w:t>
      </w:r>
      <w:r>
        <w:t xml:space="preserve">R_u^+</w:t>
      </w:r>
      <w:r>
        <w:t xml:space="preserve"> </w:t>
      </w:r>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pPr>
      <w:r>
        <w:t xml:space="preserve">For explanation scoring, the repository-specific path anchors are</w:t>
      </w:r>
    </w:p>
    <w:p>
      <w:pPr>
        <w:pStyle w:val="BodyText"/>
      </w:pPr>
      <w:r>
        <w:t xml:space="preserve">[</w:t>
      </w:r>
      <w:r>
        <w:t xml:space="preserve"> </w:t>
      </w:r>
      <w:r>
        <w:t xml:space="preserve">a(p_{u,i}) = e_1,</w:t>
      </w:r>
      <w:r>
        <w:t xml:space="preserve"> </w:t>
      </w:r>
      <w:r>
        <w:t xml:space="preserve"> </w:t>
      </w:r>
      <w:r>
        <w:t xml:space="preserve">b(p_{u,i}) = e_{L-1},</w:t>
      </w:r>
      <w:r>
        <w:t xml:space="preserve"> </w:t>
      </w:r>
      <w:r>
        <w:t xml:space="preserve"> </w:t>
      </w:r>
      <w:r>
        <w:t xml:space="preserve">(p_{u,i}) = r_L.</w:t>
      </w:r>
      <w:r>
        <w:t xml:space="preserve"> </w:t>
      </w:r>
      <w:r>
        <w:t xml:space="preserve">]</w:t>
      </w:r>
    </w:p>
    <w:p>
      <w:pPr>
        <w:pStyle w:val="BodyText"/>
      </w:pPr>
      <w:r>
        <w:t xml:space="preserve">The function (a(p_{u,i})) denotes the linked historical seed item, (b(p_{u,i})) denotes the bridge entity, and (</w:t>
      </w:r>
      <w:r>
        <w:t xml:space="preserve">(p_{u,i})) 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pPr>
      <w:r>
        <w:t xml:space="preserve">[</w:t>
      </w:r>
      <w:r>
        <w:t xml:space="preserve"> </w:t>
      </w:r>
      <w:r>
        <w:t xml:space="preserve">(p_{u,i})</w:t>
      </w:r>
      <w:r>
        <w:t xml:space="preserve"> </w:t>
      </w:r>
      <w:r>
        <w:t xml:space="preserve">=</w:t>
      </w:r>
      <w:r>
        <w:t xml:space="preserve"> </w:t>
      </w:r>
      <w:r>
        <w:rPr>
          <w:i/>
          <w:iCs/>
        </w:rPr>
        <w:t xml:space="preserve">u(a(p</w:t>
      </w:r>
      <w:r>
        <w:t xml:space="preserve">{u,i})),</w:t>
      </w:r>
      <w:r>
        <w:t xml:space="preserve"> </w:t>
      </w:r>
      <w:r>
        <w:t xml:space="preserve"> </w:t>
      </w:r>
      <w:r>
        <w:t xml:space="preserve">_u(</w:t>
      </w:r>
      <w:r>
        <w:t xml:space="preserve">)</w:t>
      </w:r>
      <w:r>
        <w:t xml:space="preserve"> </w:t>
      </w:r>
      <w:r>
        <w:t xml:space="preserve">,</w:t>
      </w:r>
      <w:r>
        <w:t xml:space="preserve"> </w:t>
      </w:r>
      <w:r>
        <w:t xml:space="preserve">]</w:t>
      </w:r>
    </w:p>
    <w:p>
      <w:pPr>
        <w:pStyle w:val="BodyText"/>
      </w:pPr>
      <w:r>
        <w:t xml:space="preserve">and</w:t>
      </w:r>
    </w:p>
    <w:p>
      <w:pPr>
        <w:pStyle w:val="BodyText"/>
      </w:pPr>
      <w:r>
        <w:t xml:space="preserve">[</w:t>
      </w:r>
      <w:r>
        <w:t xml:space="preserve"> </w:t>
      </w:r>
      <w:r>
        <w:t xml:space="preserve">(p_{u,i})</w:t>
      </w:r>
      <w:r>
        <w:t xml:space="preserve"> </w:t>
      </w:r>
      <w:r>
        <w:t xml:space="preserve">=</w:t>
      </w:r>
      <w:r>
        <w:t xml:space="preserve"> </w:t>
      </w:r>
      <w:r>
        <w:rPr>
          <w:i/>
          <w:iCs/>
        </w:rPr>
        <w:t xml:space="preserve">d(b(p</w:t>
      </w:r>
      <w:r>
        <w:t xml:space="preserve">{u,i})),</w:t>
      </w:r>
      <w:r>
        <w:t xml:space="preserve"> </w:t>
      </w:r>
      <w:r>
        <w:t xml:space="preserve"> </w:t>
      </w:r>
      <w:r>
        <w:t xml:space="preserve">_d(</w:t>
      </w:r>
      <w:r>
        <w:t xml:space="preserve">)</w:t>
      </w:r>
      <w:r>
        <w:t xml:space="preserve"> </w:t>
      </w:r>
      <w:r>
        <w:t xml:space="preserve">.</w:t>
      </w:r>
      <w:r>
        <w:t xml:space="preserve"> </w:t>
      </w:r>
      <w:r>
        <w:t xml:space="preserve">]</w:t>
      </w:r>
    </w:p>
    <w:p>
      <w:pPr>
        <w:pStyle w:val="BodyText"/>
      </w:pPr>
      <w:r>
        <w:t xml:space="preserve">In the repository implementation, (a(p_{u,i})) is the seed item at the path position used by the path-metric guide, and (</w:t>
      </w:r>
      <w:r>
        <w:t xml:space="preserve">_u) is derived from the user’s training interaction timestamps. The exact implementation is repository-specific. (</w:t>
      </w:r>
      <w:r>
        <w:t xml:space="preserve">_d)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pPr>
      <w:r>
        <w:t xml:space="preserve">ETD is defined at user level as</w:t>
      </w:r>
    </w:p>
    <w:p>
      <w:pPr>
        <w:pStyle w:val="BodyText"/>
      </w:pPr>
      <w:r>
        <w:t xml:space="preserve">[</w:t>
      </w:r>
      <w:r>
        <w:t xml:space="preserve"> </w:t>
      </w:r>
      <w:r>
        <w:t xml:space="preserve">(u)</w:t>
      </w:r>
      <w:r>
        <w:t xml:space="preserve"> </w:t>
      </w:r>
      <w:r>
        <w:t xml:space="preserve">=</w:t>
      </w:r>
      <w:r>
        <w:t xml:space="preserve"> </w:t>
      </w:r>
      <w:r>
        <w:t xml:space="preserve">,</w:t>
      </w:r>
      <w:r>
        <w:t xml:space="preserve"> </w:t>
      </w:r>
      <w:r>
        <w:t xml:space="preserve">]</w:t>
      </w:r>
    </w:p>
    <w:p>
      <w:pPr>
        <w:pStyle w:val="BodyText"/>
      </w:pPr>
      <w:r>
        <w:t xml:space="preserve">where (</w:t>
      </w:r>
      <w:r>
        <w:t xml:space="preserve">_d) denotes the legal path-type set for dataset (d). ETD is user-level path-type diversity over the top-(K) explanation set.</w:t>
      </w:r>
    </w:p>
    <w:p>
      <w:pPr>
        <w:pStyle w:val="BodyText"/>
      </w:pPr>
      <w:r>
        <w:t xml:space="preserve">For (q</w:t>
      </w:r>
      <w:r>
        <w:t xml:space="preserve"> </w:t>
      </w:r>
      <w:r>
        <w:t xml:space="preserve">{</w:t>
      </w:r>
      <w:r>
        <w:t xml:space="preserve">,</w:t>
      </w:r>
      <w:r>
        <w:t xml:space="preserve">}), user- and dataset-level aggregation are</w:t>
      </w:r>
    </w:p>
    <w:p>
      <w:pPr>
        <w:pStyle w:val="BodyText"/>
      </w:pPr>
      <w:r>
        <w:t xml:space="preserve">[</w:t>
      </w:r>
      <w:r>
        <w:t xml:space="preserve"> </w:t>
      </w:r>
      <w:r>
        <w:t xml:space="preserve">Q_{u,m,d}^{q}</w:t>
      </w:r>
      <w:r>
        <w:t xml:space="preserve"> </w:t>
      </w:r>
      <w:r>
        <w:t xml:space="preserve">=</w:t>
      </w:r>
      <w:r>
        <w:t xml:space="preserve"> </w:t>
      </w:r>
      <w:r>
        <w:t xml:space="preserve"> </w:t>
      </w:r>
      <w:r>
        <w:rPr>
          <w:i/>
          <w:iCs/>
        </w:rPr>
        <w:t xml:space="preserve">{i</w:t>
      </w:r>
      <w:r>
        <w:rPr>
          <w:i/>
          <w:iCs/>
        </w:rPr>
        <w:t xml:space="preserve"> </w:t>
      </w:r>
      <w:r>
        <w:t xml:space="preserve">{u}^{K,m,d}}</w:t>
      </w:r>
      <w:r>
        <w:t xml:space="preserve"> </w:t>
      </w:r>
      <w:r>
        <w:t xml:space="preserve">q(p_{u,i}^{m,d})</w:t>
      </w:r>
      <w:r>
        <w:t xml:space="preserve"> </w:t>
      </w:r>
      <w:r>
        <w:t xml:space="preserve">]</w:t>
      </w:r>
    </w:p>
    <w:p>
      <w:pPr>
        <w:pStyle w:val="BodyText"/>
      </w:pPr>
      <w:r>
        <w:t xml:space="preserve">and</w:t>
      </w:r>
    </w:p>
    <w:p>
      <w:pPr>
        <w:pStyle w:val="BodyText"/>
      </w:pPr>
      <w:r>
        <w:t xml:space="preserve">[</w:t>
      </w:r>
      <w:r>
        <w:t xml:space="preserve"> </w:t>
      </w:r>
      <w:r>
        <w:t xml:space="preserve">Q_{m,d}^{q}</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Q_{u,m,d}^{q}.</w:t>
      </w:r>
      <w:r>
        <w:t xml:space="preserve"> </w:t>
      </w:r>
      <w:r>
        <w:t xml:space="preserve">]</w:t>
      </w:r>
    </w:p>
    <w:p>
      <w:pPr>
        <w:pStyle w:val="BodyText"/>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pPr>
      <w:r>
        <w:t xml:space="preserve">The pipeline also separates strict accuracy from alpha-sweep trade-off evidence. The strict values used in this draft are currently traceable to</w:t>
      </w:r>
      <w:r>
        <w:t xml:space="preserve"> </w:t>
      </w:r>
      <w:r>
        <w:rPr>
          <w:rStyle w:val="VerbatimChar"/>
        </w:rPr>
        <w:t xml:space="preserve">reports/tables/canonical_native_path_status_matrix.csv</w:t>
      </w:r>
      <w:r>
        <w:t xml:space="preserve"> </w:t>
      </w:r>
      <w:r>
        <w:t xml:space="preserve">and the exactly matching</w:t>
      </w:r>
      <w:r>
        <w:t xml:space="preserve"> </w:t>
      </w:r>
      <w:r>
        <w:rPr>
          <w:rStyle w:val="VerbatimChar"/>
        </w:rPr>
        <w:t xml:space="preserve">thesis_analysis_pack/final_accuracy_summary_table.md</w:t>
      </w:r>
      <w:r>
        <w:t xml:space="preserve">.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w:pPr>
        <w:pStyle w:val="BodyText"/>
      </w:pPr>
      <w:r>
        <w:drawing>
          <wp:inline>
            <wp:extent cx="4699000" cy="2384742"/>
            <wp:effectExtent b="0" l="0" r="0" t="0"/>
            <wp:docPr descr="Figure 3.2 alpha-sweep design" title="" id="46" name="Picture"/>
            <a:graphic>
              <a:graphicData uri="http://schemas.openxmlformats.org/drawingml/2006/picture">
                <pic:pic>
                  <pic:nvPicPr>
                    <pic:cNvPr descr="paper/current_dissertation/figures/png/figure_3_2_alpha_sweep_design_final.png" id="47" name="Picture"/>
                    <pic:cNvPicPr>
                      <a:picLocks noChangeArrowheads="1" noChangeAspect="1"/>
                    </pic:cNvPicPr>
                  </pic:nvPicPr>
                  <pic:blipFill>
                    <a:blip r:embed="rId45"/>
                    <a:stretch>
                      <a:fillRect/>
                    </a:stretch>
                  </pic:blipFill>
                  <pic:spPr bwMode="auto">
                    <a:xfrm>
                      <a:off x="0" y="0"/>
                      <a:ext cx="4699000" cy="2384742"/>
                    </a:xfrm>
                    <a:prstGeom prst="rect">
                      <a:avLst/>
                    </a:prstGeom>
                    <a:noFill/>
                    <a:ln w="9525">
                      <a:noFill/>
                      <a:headEnd/>
                      <a:tailEnd/>
                    </a:ln>
                  </pic:spPr>
                </pic:pic>
              </a:graphicData>
            </a:graphic>
          </wp:inline>
        </w:drawing>
      </w:r>
    </w:p>
    <w:p>
      <w:pPr>
        <w:pStyle w:val="BodyText"/>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p>
    <w:p>
      <w:pPr>
        <w:pStyle w:val="BodyText"/>
      </w:pPr>
      <w:r>
        <w:drawing>
          <wp:inline>
            <wp:extent cx="4699000" cy="3308389"/>
            <wp:effectExtent b="0" l="0" r="0" t="0"/>
            <wp:docPr descr="Figure 3.3 validation gate" title="" id="49" name="Picture"/>
            <a:graphic>
              <a:graphicData uri="http://schemas.openxmlformats.org/drawingml/2006/picture">
                <pic:pic>
                  <pic:nvPicPr>
                    <pic:cNvPr descr="paper/current_dissertation/figures/png/figure_3_3_validation_gate_flow_final.png" id="50" name="Picture"/>
                    <pic:cNvPicPr>
                      <a:picLocks noChangeArrowheads="1" noChangeAspect="1"/>
                    </pic:cNvPicPr>
                  </pic:nvPicPr>
                  <pic:blipFill>
                    <a:blip r:embed="rId48"/>
                    <a:stretch>
                      <a:fillRect/>
                    </a:stretch>
                  </pic:blipFill>
                  <pic:spPr bwMode="auto">
                    <a:xfrm>
                      <a:off x="0" y="0"/>
                      <a:ext cx="4699000" cy="3308389"/>
                    </a:xfrm>
                    <a:prstGeom prst="rect">
                      <a:avLst/>
                    </a:prstGeom>
                    <a:noFill/>
                    <a:ln w="9525">
                      <a:noFill/>
                      <a:headEnd/>
                      <a:tailEnd/>
                    </a:ln>
                  </pic:spPr>
                </pic:pic>
              </a:graphicData>
            </a:graphic>
          </wp:inline>
        </w:drawing>
      </w:r>
    </w:p>
    <w:p>
      <w:pPr>
        <w:pStyle w:val="BodyText"/>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p>
    <w:bookmarkEnd w:id="51"/>
    <w:bookmarkStart w:id="52" w:name="framework-verification-results"/>
    <w:p>
      <w:pPr>
        <w:pStyle w:val="Heading2"/>
      </w:pPr>
      <w:r>
        <w:t xml:space="preserve">3.5 Framework Verification Results</w:t>
      </w:r>
    </w:p>
    <w:p>
      <w:pPr>
        <w:pStyle w:val="FirstParagrap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pPr>
      <w:r>
        <w:t xml:space="preserve">Representative endpoints additionally verify that the trade-off pipeline operates on the two complete datasets. LastFM PGPR LIR moves from 0.0062 at alpha=0 to 0.0219 at alpha=1, while ML-1M PGPR LIR moves from 0.4655 to 0.9627. At this stage, these values confirm computation and export continuity. Their interpretation as model behaviour belongs to Chapters 4 and 5.</w:t>
      </w:r>
    </w:p>
    <w:bookmarkEnd w:id="52"/>
    <w:bookmarkStart w:id="53" w:name="trade-off-and-ablation-experiment-setup"/>
    <w:p>
      <w:pPr>
        <w:pStyle w:val="Heading2"/>
      </w:pPr>
      <w:r>
        <w:t xml:space="preserve">3.6 Trade-off and Ablation Experiment Setup</w:t>
      </w:r>
    </w:p>
    <w:p>
      <w:pPr>
        <w:pStyle w:val="FirstParagrap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 item</w:t>
            </w:r>
          </w:p>
        </w:tc>
        <w:tc>
          <w:tcPr/>
          <w:p>
            <w:pPr>
              <w:pStyle w:val="Compact"/>
            </w:pPr>
            <w:r>
              <w:t xml:space="preserve">Setting / provenance</w:t>
            </w:r>
          </w:p>
        </w:tc>
        <w:tc>
          <w:tcPr/>
          <w:p>
            <w:pPr>
              <w:pStyle w:val="Compact"/>
            </w:pPr>
            <w:r>
              <w:t xml:space="preserve">Evidence source</w:t>
            </w:r>
          </w:p>
        </w:tc>
        <w:tc>
          <w:tcPr/>
          <w:p>
            <w:pPr>
              <w:pStyle w:val="Compact"/>
            </w:pPr>
            <w:r>
              <w:t xml:space="preserve">Interpretation boundary</w:t>
            </w:r>
          </w:p>
        </w:tc>
      </w:tr>
      <w:tr>
        <w:tc>
          <w:tcPr/>
          <w:p>
            <w:pPr>
              <w:pStyle w:val="Compact"/>
            </w:pPr>
            <w:r>
              <w:t xml:space="preserve">Main datasets and models</w:t>
            </w:r>
          </w:p>
        </w:tc>
        <w:tc>
          <w:tcPr/>
          <w:p>
            <w:pPr>
              <w:pStyle w:val="Compact"/>
            </w:pPr>
            <w:r>
              <w:t xml:space="preserve">LastFM and ML-1M; six validated native-path models on each dataset</w:t>
            </w:r>
          </w:p>
        </w:tc>
        <w:tc>
          <w:tcPr/>
          <w:p>
            <w:pPr>
              <w:pStyle w:val="Compact"/>
            </w:pPr>
            <w:r>
              <w:t xml:space="preserve">Export validation manifest and canonical status matrix</w:t>
            </w:r>
          </w:p>
        </w:tc>
        <w:tc>
          <w:tcPr/>
          <w:p>
            <w:pPr>
              <w:pStyle w:val="Compact"/>
            </w:pPr>
            <w:r>
              <w:t xml:space="preserve">Amazon-Book KGAT is a partial boundary case, not a third complete main experiment.</w:t>
            </w:r>
          </w:p>
        </w:tc>
      </w:tr>
      <w:tr>
        <w:tc>
          <w:tcPr/>
          <w:p>
            <w:pPr>
              <w:pStyle w:val="Compact"/>
            </w:pPr>
            <w:r>
              <w:t xml:space="preserve">Model-native training and inference</w:t>
            </w:r>
          </w:p>
        </w:tc>
        <w:tc>
          <w:tcPr/>
          <w:p>
            <w:pPr>
              <w:pStyle w:val="Compact"/>
            </w:pPr>
            <w:r>
              <w:t xml:space="preserve">Heterogeneous model-specific pipelines; directly available settings are recorded in the evidence provenance record</w:t>
            </w:r>
          </w:p>
        </w:tc>
        <w:tc>
          <w:tcPr/>
          <w:p>
            <w:pPr>
              <w:pStyle w:val="Compact"/>
            </w:pPr>
            <w:r>
              <w:t xml:space="preserve">Model pipeline scripts, implementation log, and export registry</w:t>
            </w:r>
          </w:p>
        </w:tc>
        <w:tc>
          <w:tcPr/>
          <w:p>
            <w:pPr>
              <w:pStyle w:val="Compact"/>
            </w:pPr>
            <w:r>
              <w:t xml:space="preserve">The framework does not impose or imply one shared hyperparameter space.</w:t>
            </w:r>
          </w:p>
        </w:tc>
      </w:tr>
      <w:tr>
        <w:tc>
          <w:tcPr/>
          <w:p>
            <w:pPr>
              <w:pStyle w:val="Compact"/>
            </w:pPr>
            <w:r>
              <w:t xml:space="preserve">Canonical recommendation cut-off</w:t>
            </w:r>
          </w:p>
        </w:tc>
        <w:tc>
          <w:tcPr/>
          <w:p>
            <w:pPr>
              <w:pStyle w:val="Compact"/>
            </w:pPr>
            <w:r>
              <w:t xml:space="preserve">Top-k 10</w:t>
            </w:r>
          </w:p>
        </w:tc>
        <w:tc>
          <w:tcPr/>
          <w:p>
            <w:pPr>
              <w:pStyle w:val="Compact"/>
            </w:pPr>
            <w:r>
              <w:rPr>
                <w:rStyle w:val="VerbatimChar"/>
              </w:rPr>
              <w:t xml:space="preserve">scripts/validation/validate_xrecsys_export.py</w:t>
            </w:r>
            <w:r>
              <w:t xml:space="preserve">;</w:t>
            </w:r>
            <w:r>
              <w:t xml:space="preserve"> </w:t>
            </w:r>
            <w:r>
              <w:rPr>
                <w:rStyle w:val="VerbatimChar"/>
              </w:rPr>
              <w:t xml:space="preserve">scripts/validation/evaluate_uid_topk.py</w:t>
            </w:r>
          </w:p>
        </w:tc>
        <w:tc>
          <w:tcPr/>
          <w:p>
            <w:pPr>
              <w:pStyle w:val="Compact"/>
            </w:pPr>
            <w:r>
              <w:t xml:space="preserve">Short native-path lists may remain short; non-path recommendations are not used for padding.</w:t>
            </w:r>
          </w:p>
        </w:tc>
      </w:tr>
      <w:tr>
        <w:tc>
          <w:tcPr/>
          <w:p>
            <w:pPr>
              <w:pStyle w:val="Compact"/>
            </w:pPr>
            <w:r>
              <w:t xml:space="preserve">Strict ranking evaluation</w:t>
            </w:r>
          </w:p>
        </w:tc>
        <w:tc>
          <w:tcPr/>
          <w:p>
            <w:pPr>
              <w:pStyle w:val="Compact"/>
            </w:pPr>
            <w:r>
              <w:t xml:space="preserve">HR@10, NDCG@10, Precision@10, and Recall@10</w:t>
            </w:r>
          </w:p>
        </w:tc>
        <w:tc>
          <w:tcPr/>
          <w:p>
            <w:pPr>
              <w:pStyle w:val="Compact"/>
            </w:pPr>
            <w:r>
              <w:t xml:space="preserve">Canonical status matrix and final accuracy summary</w:t>
            </w:r>
          </w:p>
        </w:tc>
        <w:tc>
          <w:tcPr/>
          <w:p>
            <w:pPr>
              <w:pStyle w:val="Compact"/>
            </w:pPr>
            <w:r>
              <w:t xml:space="preserve">The twelve expected primary row-level accuracy JSON files are unavailable.</w:t>
            </w:r>
          </w:p>
        </w:tc>
      </w:tr>
      <w:tr>
        <w:tc>
          <w:tcPr/>
          <w:p>
            <w:pPr>
              <w:pStyle w:val="Compact"/>
            </w:pPr>
            <w:r>
              <w:t xml:space="preserve">Explanation objectives</w:t>
            </w:r>
          </w:p>
        </w:tc>
        <w:tc>
          <w:tcPr/>
          <w:p>
            <w:pPr>
              <w:pStyle w:val="Compact"/>
            </w:pPr>
            <w:r>
              <w:t xml:space="preserve">Separate LIR-, SEP-, and ETD-oriented sweeps</w:t>
            </w:r>
          </w:p>
        </w:tc>
        <w:tc>
          <w:tcPr/>
          <w:p>
            <w:pPr>
              <w:pStyle w:val="Compact"/>
            </w:pPr>
            <w:r>
              <w:rPr>
                <w:rStyle w:val="VerbatimChar"/>
              </w:rPr>
              <w:t xml:space="preserve">scripts/hopwise/run_canonical_xrecsys_protocol.sh</w:t>
            </w:r>
          </w:p>
        </w:tc>
        <w:tc>
          <w:tcPr/>
          <w:p>
            <w:pPr>
              <w:pStyle w:val="Compact"/>
            </w:pPr>
            <w:r>
              <w:t xml:space="preserve">The exact metric implementation and data assumptions remain repository-specific.</w:t>
            </w:r>
          </w:p>
        </w:tc>
      </w:tr>
      <w:tr>
        <w:tc>
          <w:tcPr/>
          <w:p>
            <w:pPr>
              <w:pStyle w:val="Compact"/>
            </w:pPr>
            <w:r>
              <w:t xml:space="preserve">Alpha grid</w:t>
            </w:r>
          </w:p>
        </w:tc>
        <w:tc>
          <w:tcPr/>
          <w:p>
            <w:pPr>
              <w:pStyle w:val="Compact"/>
            </w:pPr>
            <w:r>
              <w:t xml:space="preserve">0.00 to 1.00 inclusive at 0.05 intervals, yielding 21 points</w:t>
            </w:r>
          </w:p>
        </w:tc>
        <w:tc>
          <w:tcPr/>
          <w:p>
            <w:pPr>
              <w:pStyle w:val="Compact"/>
            </w:pPr>
            <w:r>
              <w:rPr>
                <w:rStyle w:val="VerbatimChar"/>
              </w:rPr>
              <w:t xml:space="preserve">scripts/validation/validate_xrecsys_sweeps.py</w:t>
            </w:r>
          </w:p>
        </w:tc>
        <w:tc>
          <w:tcPr/>
          <w:p>
            <w:pPr>
              <w:pStyle w:val="Compact"/>
            </w:pPr>
            <w:r>
              <w:t xml:space="preserve">Paired sweep ranking metrics are not substitutes for strict accuracy.</w:t>
            </w:r>
          </w:p>
        </w:tc>
      </w:tr>
      <w:tr>
        <w:tc>
          <w:tcPr/>
          <w:p>
            <w:pPr>
              <w:pStyle w:val="Compact"/>
            </w:pPr>
            <w:r>
              <w:t xml:space="preserve">Validation gate</w:t>
            </w:r>
          </w:p>
        </w:tc>
        <w:tc>
          <w:tcPr/>
          <w:p>
            <w:pPr>
              <w:pStyle w:val="Compact"/>
            </w:pPr>
            <w:r>
              <w:t xml:space="preserve">Exact canonical test-user coverage, unique top-k items, leakage checks, endpoint checks, candidate consistency, and explanation alignment</w:t>
            </w:r>
          </w:p>
        </w:tc>
        <w:tc>
          <w:tcPr/>
          <w:p>
            <w:pPr>
              <w:pStyle w:val="Compact"/>
            </w:pPr>
            <w:r>
              <w:t xml:space="preserve">Export validator and per-row validation summaries</w:t>
            </w:r>
          </w:p>
        </w:tc>
        <w:tc>
          <w:tcPr/>
          <w:p>
            <w:pPr>
              <w:pStyle w:val="Compact"/>
            </w:pPr>
            <w:r>
              <w:t xml:space="preserve">PASS establishes conformity with the registered contract rather than universal correctness.</w:t>
            </w:r>
          </w:p>
        </w:tc>
      </w:tr>
      <w:tr>
        <w:tc>
          <w:tcPr/>
          <w:p>
            <w:pPr>
              <w:pStyle w:val="Compact"/>
            </w:pPr>
            <w:r>
              <w:t xml:space="preserve">Random seeds and exact checkpoint identities</w:t>
            </w:r>
          </w:p>
        </w:tc>
        <w:tc>
          <w:tcPr/>
          <w:p>
            <w:pPr>
              <w:pStyle w:val="Compact"/>
            </w:pPr>
            <w:r>
              <w:t xml:space="preserve">Not available in the current evidence package for the complete six-model set</w:t>
            </w:r>
          </w:p>
        </w:tc>
        <w:tc>
          <w:tcPr/>
          <w:p>
            <w:pPr>
              <w:pStyle w:val="Compact"/>
            </w:pPr>
            <w:r>
              <w:t xml:space="preserve">Evidence provenance record</w:t>
            </w:r>
          </w:p>
        </w:tc>
        <w:tc>
          <w:tcPr/>
          <w:p>
            <w:pPr>
              <w:pStyle w:val="Compact"/>
            </w:pPr>
            <w:r>
              <w:t xml:space="preserve">Missing values are not inferred from framework or library defaults.</w:t>
            </w:r>
          </w:p>
        </w:tc>
      </w:tr>
      <w:tr>
        <w:tc>
          <w:tcPr/>
          <w:p>
            <w:pPr>
              <w:pStyle w:val="Compact"/>
            </w:pPr>
            <w:r>
              <w:t xml:space="preserve">PGPR/UCPR ablation</w:t>
            </w:r>
          </w:p>
        </w:tc>
        <w:tc>
          <w:tcPr/>
          <w:p>
            <w:pPr>
              <w:pStyle w:val="Compact"/>
            </w:pPr>
            <w:r>
              <w:t xml:space="preserve">Frozen original top-k item set with exact alpha=0 preservation and a declared NDCG-retention analysis</w:t>
            </w:r>
          </w:p>
        </w:tc>
        <w:tc>
          <w:tcPr/>
          <w:p>
            <w:pPr>
              <w:pStyle w:val="Compact"/>
            </w:pPr>
            <w:r>
              <w:rPr>
                <w:rStyle w:val="VerbatimChar"/>
              </w:rPr>
              <w:t xml:space="preserve">reports/tables/ablation/pgpr_ucpr_path_module/</w:t>
            </w:r>
          </w:p>
        </w:tc>
        <w:tc>
          <w:tcPr/>
          <w:p>
            <w:pPr>
              <w:pStyle w:val="Compact"/>
            </w:pPr>
            <w:r>
              <w:t xml:space="preserve">Separate from both the six-model sweep and strict final accuracy.</w:t>
            </w:r>
          </w:p>
        </w:tc>
      </w:tr>
    </w:tbl>
    <w:p>
      <w:pPr>
        <w:pStyle w:val="BodyText"/>
      </w:pPr>
      <w:r>
        <w:rPr>
          <w:b/>
          <w:bCs/>
        </w:rPr>
        <w:t xml:space="preserve">Table 3.5. Experiment configuration and provenance boundary.</w:t>
      </w:r>
    </w:p>
    <w:p>
      <w:pPr>
        <w:pStyle w:val="BodyText"/>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pPr>
      <w:r>
        <w:t xml:space="preserve">The sweep output for objective (q) is represented abstractly as</w:t>
      </w:r>
    </w:p>
    <w:p>
      <w:pPr>
        <w:pStyle w:val="BodyText"/>
      </w:pPr>
      <w:r>
        <w:t xml:space="preserve">[</w:t>
      </w:r>
      <w:r>
        <w:t xml:space="preserve"> </w:t>
      </w:r>
      <w:r>
        <w:rPr>
          <w:i/>
          <w:iCs/>
        </w:rPr>
        <w:t xml:space="preserve">{u,</w:t>
      </w:r>
      <w:r>
        <w:rPr>
          <w:i/>
          <w:iCs/>
        </w:rPr>
        <w:t xml:space="preserve">}^{K,m,d,q}</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S</w:t>
      </w:r>
      <w:r>
        <w:t xml:space="preserve">{</w:t>
      </w:r>
      <w:r>
        <w:t xml:space="preserve">}^{m,d,q}(u,i,p)</w:t>
      </w:r>
      <w:r>
        <w:t xml:space="preserve"> </w:t>
      </w:r>
      <w:r>
        <w:t xml:space="preserve">),</w:t>
      </w:r>
      <w:r>
        <w:t xml:space="preserve"> </w:t>
      </w:r>
      <w:r>
        <w:t xml:space="preserve">]</w:t>
      </w:r>
    </w:p>
    <w:p>
      <w:pPr>
        <w:pStyle w:val="BodyText"/>
      </w:pPr>
      <w:r>
        <w:t xml:space="preserve">where</w:t>
      </w:r>
    </w:p>
    <w:p>
      <w:pPr>
        <w:pStyle w:val="BodyText"/>
      </w:pPr>
      <w:r>
        <w:t xml:space="preserve">[</w:t>
      </w:r>
      <w:r>
        <w:t xml:space="preserve"> </w:t>
      </w:r>
      <w:r>
        <w:t xml:space="preserve">,</w:t>
      </w:r>
      <w:r>
        <w:t xml:space="preserve"> </w:t>
      </w:r>
      <w:r>
        <w:t xml:space="preserve"> </w:t>
      </w:r>
      <w:r>
        <w:t xml:space="preserve">q</w:t>
      </w:r>
      <w:r>
        <w:t xml:space="preserve"> </w:t>
      </w:r>
      <w:r>
        <w:t xml:space="preserve">{</w:t>
      </w:r>
      <w:r>
        <w:t xml:space="preserve">,</w:t>
      </w:r>
      <w:r>
        <w:t xml:space="preserve"> </w:t>
      </w:r>
      <w:r>
        <w:t xml:space="preserve">,</w:t>
      </w:r>
      <w:r>
        <w:t xml:space="preserve"> </w:t>
      </w:r>
      <w:r>
        <w:t xml:space="preserve">}.</w:t>
      </w:r>
      <w:r>
        <w:t xml:space="preserve"> </w:t>
      </w:r>
      <w:r>
        <w:t xml:space="preserve">]</w:t>
      </w:r>
    </w:p>
    <w:p>
      <w:pPr>
        <w:pStyle w:val="BodyText"/>
      </w:pPr>
      <w:r>
        <w:t xml:space="preserve">(S_{</w:t>
      </w:r>
      <w:r>
        <w:t xml:space="preserve">}^{m,d,q}) denotes the sweep scoring function used to generate a top-(K) list under explanation objective (q). Unless a linear score-combination rule is directly verified from implementation files, this dissertation treats (S_{</w:t>
      </w:r>
      <w:r>
        <w:t xml:space="preserve">}^{m,d,q})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pPr>
      <w:r>
        <w:t xml:space="preserve">The evidence streams used by the later chapters are separated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Evidence category</w:t>
            </w:r>
          </w:p>
        </w:tc>
        <w:tc>
          <w:tcPr/>
          <w:p>
            <w:pPr>
              <w:pStyle w:val="Compact"/>
            </w:pPr>
            <w:r>
              <w:t xml:space="preserve">Current source</w:t>
            </w:r>
          </w:p>
        </w:tc>
        <w:tc>
          <w:tcPr/>
          <w:p>
            <w:pPr>
              <w:pStyle w:val="Compact"/>
            </w:pPr>
            <w:r>
              <w:t xml:space="preserve">Used for</w:t>
            </w:r>
          </w:p>
        </w:tc>
        <w:tc>
          <w:tcPr/>
          <w:p>
            <w:pPr>
              <w:pStyle w:val="Compact"/>
            </w:pPr>
            <w:r>
              <w:t xml:space="preserve">Current status</w:t>
            </w:r>
          </w:p>
        </w:tc>
        <w:tc>
          <w:tcPr/>
          <w:p>
            <w:pPr>
              <w:pStyle w:val="Compact"/>
            </w:pPr>
            <w:r>
              <w:t xml:space="preserve">Must not be used for</w:t>
            </w:r>
          </w:p>
        </w:tc>
      </w:tr>
      <w:tr>
        <w:tc>
          <w:tcPr/>
          <w:p>
            <w:pPr>
              <w:pStyle w:val="Compact"/>
            </w:pPr>
            <w:r>
              <w:t xml:space="preserve">Strict accuracy</w:t>
            </w:r>
          </w:p>
        </w:tc>
        <w:tc>
          <w:tcPr/>
          <w:p>
            <w:pPr>
              <w:pStyle w:val="Compact"/>
            </w:pPr>
            <w:r>
              <w:rPr>
                <w:rStyle w:val="VerbatimChar"/>
              </w:rPr>
              <w:t xml:space="preserve">reports/tables/canonical_native_path_status_matrix.csv</w:t>
            </w:r>
            <w:r>
              <w:t xml:space="preserve">;</w:t>
            </w:r>
            <w:r>
              <w:t xml:space="preserve"> </w:t>
            </w:r>
            <w:r>
              <w:rPr>
                <w:rStyle w:val="VerbatimChar"/>
              </w:rPr>
              <w:t xml:space="preserve">thesis_analysis_pack/final_accuracy_summary_table.md</w:t>
            </w:r>
          </w:p>
        </w:tc>
        <w:tc>
          <w:tcPr/>
          <w:p>
            <w:pPr>
              <w:pStyle w:val="Compact"/>
            </w:pPr>
            <w:r>
              <w:t xml:space="preserve">Main LastFM and ML-1M HR@10, NDCG@10, Precision@10, and Recall@10 comparison</w:t>
            </w:r>
          </w:p>
        </w:tc>
        <w:tc>
          <w:tcPr/>
          <w:p>
            <w:pPr>
              <w:pStyle w:val="Compact"/>
            </w:pPr>
            <w:r>
              <w:t xml:space="preserve">The two accessible summaries match exactly;</w:t>
            </w:r>
            <w:r>
              <w:t xml:space="preserve"> </w:t>
            </w:r>
            <w:r>
              <w:rPr>
                <w:rStyle w:val="VerbatimChar"/>
              </w:rPr>
              <w:t xml:space="preserve">0/12</w:t>
            </w:r>
            <w:r>
              <w:t xml:space="preserve"> </w:t>
            </w:r>
            <w:r>
              <w:t xml:space="preserve">expected primary row-level JSON artifacts are accessible.</w:t>
            </w:r>
          </w:p>
        </w:tc>
        <w:tc>
          <w:tcPr/>
          <w:p>
            <w:pPr>
              <w:pStyle w:val="Compact"/>
            </w:pPr>
            <w:r>
              <w:t xml:space="preserve">Claiming that primary JSON files were inspected; replacing alpha-sweep trajectories</w:t>
            </w:r>
          </w:p>
        </w:tc>
      </w:tr>
      <w:tr>
        <w:tc>
          <w:tcPr/>
          <w:p>
            <w:pPr>
              <w:pStyle w:val="Compact"/>
            </w:pPr>
            <w:r>
              <w:t xml:space="preserve">Explanation endpoints</w:t>
            </w:r>
          </w:p>
        </w:tc>
        <w:tc>
          <w:tcPr/>
          <w:p>
            <w:pPr>
              <w:pStyle w:val="Compact"/>
            </w:pPr>
            <w:r>
              <w:rPr>
                <w:rStyle w:val="VerbatimChar"/>
              </w:rPr>
              <w:t xml:space="preserve">thesis_analysis_pack/final_explanation_summary_table.md</w:t>
            </w:r>
            <w:r>
              <w:t xml:space="preserve">; registered trade-off CSVs</w:t>
            </w:r>
          </w:p>
        </w:tc>
        <w:tc>
          <w:tcPr/>
          <w:p>
            <w:pPr>
              <w:pStyle w:val="Compact"/>
            </w:pPr>
            <w:r>
              <w:t xml:space="preserve">LIR, SEP, and ETD endpoint response</w:t>
            </w:r>
          </w:p>
        </w:tc>
        <w:tc>
          <w:tcPr/>
          <w:p>
            <w:pPr>
              <w:pStyle w:val="Compact"/>
            </w:pPr>
            <w:r>
              <w:t xml:space="preserve">Available for the complete LastFM and ML-1M six-model scope</w:t>
            </w:r>
          </w:p>
        </w:tc>
        <w:tc>
          <w:tcPr/>
          <w:p>
            <w:pPr>
              <w:pStyle w:val="Compact"/>
            </w:pPr>
            <w:r>
              <w:t xml:space="preserve">Strict accuracy reporting; user-perceived explanation quality</w:t>
            </w:r>
          </w:p>
        </w:tc>
      </w:tr>
      <w:tr>
        <w:tc>
          <w:tcPr/>
          <w:p>
            <w:pPr>
              <w:pStyle w:val="Compact"/>
            </w:pPr>
            <w:r>
              <w:t xml:space="preserve">Alpha-sweep curves</w:t>
            </w:r>
          </w:p>
        </w:tc>
        <w:tc>
          <w:tcPr/>
          <w:p>
            <w:pPr>
              <w:pStyle w:val="Compact"/>
            </w:pPr>
            <w:r>
              <w:t xml:space="preserve">Canonical LastFM and ML-1M trade-off CSV and figure bundles</w:t>
            </w:r>
          </w:p>
        </w:tc>
        <w:tc>
          <w:tcPr/>
          <w:p>
            <w:pPr>
              <w:pStyle w:val="Compact"/>
            </w:pPr>
            <w:r>
              <w:t xml:space="preserve">Paired ranking and explanation-property response over the registered alpha grid</w:t>
            </w:r>
          </w:p>
        </w:tc>
        <w:tc>
          <w:tcPr/>
          <w:p>
            <w:pPr>
              <w:pStyle w:val="Compact"/>
            </w:pPr>
            <w:r>
              <w:t xml:space="preserve">Available as three objective-specific 21-point sweeps</w:t>
            </w:r>
          </w:p>
        </w:tc>
        <w:tc>
          <w:tcPr/>
          <w:p>
            <w:pPr>
              <w:pStyle w:val="Compact"/>
            </w:pPr>
            <w:r>
              <w:t xml:space="preserve">Strict model ranking; causal mechanism; statistical inference</w:t>
            </w:r>
          </w:p>
        </w:tc>
      </w:tr>
      <w:tr>
        <w:tc>
          <w:tcPr/>
          <w:p>
            <w:pPr>
              <w:pStyle w:val="Compact"/>
            </w:pPr>
            <w:r>
              <w:t xml:space="preserve">PGPR/UCPR ablation</w:t>
            </w:r>
          </w:p>
        </w:tc>
        <w:tc>
          <w:tcPr/>
          <w:p>
            <w:pPr>
              <w:pStyle w:val="Compact"/>
            </w:pPr>
            <w:r>
              <w:rPr>
                <w:rStyle w:val="VerbatimChar"/>
              </w:rPr>
              <w:t xml:space="preserve">reports/tables/ablation/pgpr_ucpr_path_module/</w:t>
            </w:r>
            <w:r>
              <w:t xml:space="preserve">;</w:t>
            </w:r>
            <w:r>
              <w:t xml:space="preserve"> </w:t>
            </w:r>
            <w:r>
              <w:rPr>
                <w:rStyle w:val="VerbatimChar"/>
              </w:rPr>
              <w:t xml:space="preserve">reports/figures/ablation/pgpr_ucpr_path_module/</w:t>
            </w:r>
          </w:p>
        </w:tc>
        <w:tc>
          <w:tcPr/>
          <w:p>
            <w:pPr>
              <w:pStyle w:val="Compact"/>
            </w:pPr>
            <w:r>
              <w:t xml:space="preserve">Alpha-zero preservation and bounded controllability under the 95% NDCG-retention protocol</w:t>
            </w:r>
          </w:p>
        </w:tc>
        <w:tc>
          <w:tcPr/>
          <w:p>
            <w:pPr>
              <w:pStyle w:val="Compact"/>
            </w:pPr>
            <w:r>
              <w:t xml:space="preserve">Stronger registered evidence within the frozen-item-set ablation scope</w:t>
            </w:r>
          </w:p>
        </w:tc>
        <w:tc>
          <w:tcPr/>
          <w:p>
            <w:pPr>
              <w:pStyle w:val="Compact"/>
            </w:pPr>
            <w:r>
              <w:t xml:space="preserve">Six-model superiority; mechanism claims for CAFE, TPRec, KGGLM, or PEARLM</w:t>
            </w:r>
          </w:p>
        </w:tc>
      </w:tr>
      <w:tr>
        <w:tc>
          <w:tcPr/>
          <w:p>
            <w:pPr>
              <w:pStyle w:val="Compact"/>
            </w:pPr>
            <w:r>
              <w:t xml:space="preserve">Amazon readiness and validation</w:t>
            </w:r>
          </w:p>
        </w:tc>
        <w:tc>
          <w:tcPr/>
          <w:p>
            <w:pPr>
              <w:pStyle w:val="Compact"/>
            </w:pPr>
            <w:r>
              <w:t xml:space="preserve">Canonical status matrix;</w:t>
            </w:r>
            <w:r>
              <w:t xml:space="preserve"> </w:t>
            </w:r>
            <w:r>
              <w:rPr>
                <w:rStyle w:val="VerbatimChar"/>
              </w:rPr>
              <w:t xml:space="preserve">reports/tables/amazon_classic_port_readiness.json</w:t>
            </w:r>
          </w:p>
        </w:tc>
        <w:tc>
          <w:tcPr/>
          <w:p>
            <w:pPr>
              <w:pStyle w:val="Compact"/>
            </w:pPr>
            <w:r>
              <w:t xml:space="preserve">Boundary-case and reportability analysis</w:t>
            </w:r>
          </w:p>
        </w:tc>
        <w:tc>
          <w:tcPr/>
          <w:p>
            <w:pPr>
              <w:pStyle w:val="Compact"/>
            </w:pPr>
            <w:r>
              <w:t xml:space="preserve">Three PASS and three BLOCKED / N/A rows; no approved explanation sweeps</w:t>
            </w:r>
          </w:p>
        </w:tc>
        <w:tc>
          <w:tcPr/>
          <w:p>
            <w:pPr>
              <w:pStyle w:val="Compact"/>
            </w:pPr>
            <w:r>
              <w:t xml:space="preserve">Complete third-dataset comparison; ranking blocked rows</w:t>
            </w:r>
          </w:p>
        </w:tc>
      </w:tr>
      <w:tr>
        <w:tc>
          <w:tcPr/>
          <w:p>
            <w:pPr>
              <w:pStyle w:val="Compact"/>
            </w:pPr>
            <w:r>
              <w:t xml:space="preserve">Model-native configuration</w:t>
            </w:r>
          </w:p>
        </w:tc>
        <w:tc>
          <w:tcPr/>
          <w:p>
            <w:pPr>
              <w:pStyle w:val="Compact"/>
            </w:pPr>
            <w:r>
              <w:t xml:space="preserve">Batch 1</w:t>
            </w:r>
            <w:r>
              <w:t xml:space="preserve"> </w:t>
            </w:r>
            <w:r>
              <w:rPr>
                <w:rStyle w:val="VerbatimChar"/>
              </w:rPr>
              <w:t xml:space="preserve">EXPERIMENT_CONFIGURATION_PROVENANCE.md</w:t>
            </w:r>
            <w:r>
              <w:t xml:space="preserve">; accessible scripts and implementation log</w:t>
            </w:r>
          </w:p>
        </w:tc>
        <w:tc>
          <w:tcPr/>
          <w:p>
            <w:pPr>
              <w:pStyle w:val="Compact"/>
            </w:pPr>
            <w:r>
              <w:t xml:space="preserve">Document settings that can be directly inspected</w:t>
            </w:r>
          </w:p>
        </w:tc>
        <w:tc>
          <w:tcPr/>
          <w:p>
            <w:pPr>
              <w:pStyle w:val="Compact"/>
            </w:pPr>
            <w:r>
              <w:t xml:space="preserve">Model-native hyperparameters are incomplete and cannot be frozen as one complete configuration set.</w:t>
            </w:r>
          </w:p>
        </w:tc>
        <w:tc>
          <w:tcPr/>
          <w:p>
            <w:pPr>
              <w:pStyle w:val="Compact"/>
            </w:pPr>
            <w:r>
              <w:t xml:space="preserve">Inferring absent values from defaults or transferring settings across datasets</w:t>
            </w:r>
          </w:p>
        </w:tc>
      </w:tr>
      <w:tr>
        <w:tc>
          <w:tcPr/>
          <w:p>
            <w:pPr>
              <w:pStyle w:val="Compact"/>
            </w:pPr>
            <w:r>
              <w:t xml:space="preserve">Reproducibility identifiers</w:t>
            </w:r>
          </w:p>
        </w:tc>
        <w:tc>
          <w:tcPr/>
          <w:p>
            <w:pPr>
              <w:pStyle w:val="Compact"/>
            </w:pPr>
            <w:r>
              <w:t xml:space="preserve">Accessible export registry and artifact manifest</w:t>
            </w:r>
          </w:p>
        </w:tc>
        <w:tc>
          <w:tcPr/>
          <w:p>
            <w:pPr>
              <w:pStyle w:val="Compact"/>
            </w:pPr>
            <w:r>
              <w:t xml:space="preserve">Register known output identities and accessible hashes</w:t>
            </w:r>
          </w:p>
        </w:tc>
        <w:tc>
          <w:tcPr/>
          <w:p>
            <w:pPr>
              <w:pStyle w:val="Compact"/>
            </w:pPr>
            <w:r>
              <w:t xml:space="preserve">Exact checkpoint paths and hashes, seeds, and several model-native settings require manual verification.</w:t>
            </w:r>
          </w:p>
        </w:tc>
        <w:tc>
          <w:tcPr/>
          <w:p>
            <w:pPr>
              <w:pStyle w:val="Compact"/>
            </w:pPr>
            <w:r>
              <w:t xml:space="preserve">Claiming complete run-level reproducibility</w:t>
            </w:r>
          </w:p>
        </w:tc>
      </w:tr>
    </w:tbl>
    <w:p>
      <w:pPr>
        <w:pStyle w:val="BodyText"/>
      </w:pPr>
      <w:r>
        <w:rPr>
          <w:b/>
          <w:bCs/>
        </w:rPr>
        <w:t xml:space="preserve">Table 3.6. Evidence streams, configuration provenance, and interpretation boundaries.</w:t>
      </w:r>
    </w:p>
    <w:p>
      <w:pPr>
        <w:pStyle w:val="BodyText"/>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pPr>
      <w:r>
        <w:t xml:space="preserve">The configuration and provenance boundary is summarised below. The detailed model-by-dataset audit is retained in</w:t>
      </w:r>
      <w:r>
        <w:t xml:space="preserve"> </w:t>
      </w:r>
      <w:r>
        <w:rPr>
          <w:rStyle w:val="VerbatimChar"/>
        </w:rPr>
        <w:t xml:space="preserve">EXPERIMENT_CONFIGURATION_PROVENANCE.md</w:t>
      </w:r>
      <w:r>
        <w:t xml:space="preserve"> </w:t>
      </w:r>
      <w:r>
        <w:t xml:space="preserve">for later appendix use.</w:t>
      </w:r>
    </w:p>
    <w:p>
      <w:pPr>
        <w:pStyle w:val="BodyText"/>
      </w:pPr>
      <w:r>
        <w:t xml:space="preserve">The ablation experiments therefore form a separate evidence stream. The PGPR/UCPR path-module evidence is stored under</w:t>
      </w:r>
      <w:r>
        <w:t xml:space="preserve"> </w:t>
      </w:r>
      <w:r>
        <w:rPr>
          <w:rStyle w:val="VerbatimChar"/>
        </w:rPr>
        <w:t xml:space="preserve">reports/tables/ablation/pgpr_ucpr_path_module/</w:t>
      </w:r>
      <w:r>
        <w:t xml:space="preserve"> </w:t>
      </w:r>
      <w:r>
        <w:t xml:space="preserve">and</w:t>
      </w:r>
      <w:r>
        <w:t xml:space="preserve"> </w:t>
      </w:r>
      <w:r>
        <w:rPr>
          <w:rStyle w:val="VerbatimChar"/>
        </w:rPr>
        <w:t xml:space="preserve">reports/figures/ablation/pgpr_ucpr_path_module/</w:t>
      </w:r>
      <w:r>
        <w:t xml:space="preserve">. Chapter 5 uses these files to examine bounded controllability and mechanism-level effects; they do not replace the six-model trade-off comparison or supply mechanism evidence for CAFE, TPRec, KGGLM, or PEARLM.</w:t>
      </w:r>
    </w:p>
    <w:p>
      <w:pPr>
        <w:pStyle w:val="BodyText"/>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p>
      <w:r>
        <w:pict>
          <v:rect style="width:0;height:1.5pt" o:hralign="center" o:hrstd="t" o:hr="t"/>
        </w:pict>
      </w:r>
    </w:p>
    <w:bookmarkEnd w:id="53"/>
    <w:bookmarkEnd w:id="54"/>
    <w:bookmarkStart w:id="77" w:name="X80c99d47f51d5a02f0fc398da959a930f4c0f47"/>
    <w:p>
      <w:pPr>
        <w:pStyle w:val="Heading1"/>
      </w:pPr>
      <w:r>
        <w:t xml:space="preserve">Chapter 4 Accuracy–Explainability Trade-off Results</w:t>
      </w:r>
    </w:p>
    <w:bookmarkStart w:id="55" w:name="X3661d8a09a51fddd5a9b9fc51d816a91ad9f270"/>
    <w:p>
      <w:pPr>
        <w:pStyle w:val="Heading2"/>
      </w:pPr>
      <w:r>
        <w:t xml:space="preserve">4.1 Experimental Scope and Result Organisation</w:t>
      </w:r>
    </w:p>
    <w:p>
      <w:pPr>
        <w:pStyle w:val="FirstParagrap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pPr>
      <w:r>
        <w:t xml:space="preserve">The alpha-sweep process diagram shows how objective-specific endpoint movement and paired sweep NDCG movement are carried into the result-level analysis. It does not define a universal score function, and its sweep NDCG must not be interpreted as strict NDCG@10.</w:t>
      </w:r>
    </w:p>
    <w:p>
      <w:pPr>
        <w:pStyle w:val="BodyText"/>
      </w:pPr>
      <w:r>
        <w:t xml:space="preserve">For an explanation objective (q), endpoint movement is summarised by</w:t>
      </w:r>
    </w:p>
    <w:p>
      <w:pPr>
        <w:pStyle w:val="BodyText"/>
      </w:pPr>
      <w:r>
        <w:t xml:space="preserve">[</w:t>
      </w:r>
      <w:r>
        <w:t xml:space="preserve"> </w:t>
      </w:r>
      <w:r>
        <w:t xml:space="preserve">q_{m,d}</w:t>
      </w:r>
      <w:r>
        <w:t xml:space="preserve"> </w:t>
      </w:r>
      <w:r>
        <w:t xml:space="preserve">=</w:t>
      </w:r>
      <w:r>
        <w:t xml:space="preserve"> </w:t>
      </w:r>
      <w:r>
        <w:t xml:space="preserve">Q_{m,d}^{q}(</w:t>
      </w:r>
      <w:r>
        <w:t xml:space="preserve">)</w:t>
      </w:r>
      <w:r>
        <w:t xml:space="preserve"> </w:t>
      </w:r>
      <w:r>
        <w:t xml:space="preserve">-</w:t>
      </w:r>
      <w:r>
        <w:t xml:space="preserve"> </w:t>
      </w:r>
      <w:r>
        <w:t xml:space="preserve">Q_{m,d}^{q}(</w:t>
      </w:r>
      <w:r>
        <w:t xml:space="preserve">)</w:t>
      </w:r>
      <w:r>
        <w:t xml:space="preserve"> </w:t>
      </w:r>
      <w:r>
        <w:t xml:space="preserve">]</w:t>
      </w:r>
    </w:p>
    <w:p>
      <w:pPr>
        <w:pStyle w:val="BodyText"/>
      </w:pPr>
      <w:r>
        <w:t xml:space="preserve">and</w:t>
      </w:r>
    </w:p>
    <w:p>
      <w:pPr>
        <w:pStyle w:val="BodyText"/>
      </w:pPr>
      <w:r>
        <w:t xml:space="preserve">[</w:t>
      </w:r>
      <w:r>
        <w:t xml:space="preserve"> </w:t>
      </w:r>
      <w:r>
        <w:rPr>
          <w:i/>
          <w:iCs/>
        </w:rPr>
        <w:t xml:space="preserve">{m,d}^{</w:t>
      </w:r>
      <w:r>
        <w:rPr>
          <w:i/>
          <w:iCs/>
        </w:rPr>
        <w:t xml:space="preserve">,q}</w:t>
      </w:r>
      <w:r>
        <w:rPr>
          <w:i/>
          <w:iCs/>
        </w:rPr>
        <w:t xml:space="preserve"> </w:t>
      </w:r>
      <w:r>
        <w:rPr>
          <w:i/>
          <w:iCs/>
        </w:rPr>
        <w:t xml:space="preserve">=</w:t>
      </w:r>
      <w:r>
        <w:rPr>
          <w:i/>
          <w:iCs/>
        </w:rPr>
        <w:t xml:space="preserve"> </w:t>
      </w:r>
      <w:r>
        <w:t xml:space="preserve">{m,d}^{</w:t>
      </w:r>
      <w:r>
        <w:t xml:space="preserve">,q}(</w:t>
      </w:r>
      <w:r>
        <w:t xml:space="preserve">)</w:t>
      </w:r>
      <w:r>
        <w:t xml:space="preserve"> </w:t>
      </w:r>
      <w:r>
        <w:t xml:space="preserve">-</w:t>
      </w:r>
      <w:r>
        <w:t xml:space="preserve"> </w:t>
      </w:r>
      <w:r>
        <w:t xml:space="preserve">_{m,d}^{</w:t>
      </w:r>
      <w:r>
        <w:t xml:space="preserve">,q}(</w:t>
      </w:r>
      <w:r>
        <w:t xml:space="preserve">).</w:t>
      </w:r>
      <w:r>
        <w:t xml:space="preserve"> </w:t>
      </w:r>
      <w:r>
        <w:t xml:space="preserve">]</w:t>
      </w:r>
    </w:p>
    <w:p>
      <w:pPr>
        <w:pStyle w:val="BodyText"/>
      </w:pPr>
      <w:r>
        <w:t xml:space="preserve">A positive (</w:t>
      </w:r>
      <w:r>
        <w:t xml:space="preserve">q) with negative (</w:t>
      </w:r>
      <w:r>
        <w:t xml:space="preserve">^{</w:t>
      </w:r>
      <w:r>
        <w:t xml:space="preserve">}) indicates an empirical trade-off under the selected sweep objective. This does not replace strict NDCG@10. The deltas are descriptive endpoint differences, not statistical estimates or tests.</w:t>
      </w:r>
    </w:p>
    <w:bookmarkEnd w:id="55"/>
    <w:bookmarkStart w:id="59" w:name="strict-accuracy-results"/>
    <w:p>
      <w:pPr>
        <w:pStyle w:val="Heading2"/>
      </w:pPr>
      <w:r>
        <w:t xml:space="preserve">4.2 Strict Accuracy Results</w:t>
      </w:r>
    </w:p>
    <w:p>
      <w:pPr>
        <w:pStyle w:val="FirstParagraph"/>
      </w:pPr>
      <w:r>
        <w:t xml:space="preserve">The strict results do not identify a universal winner across datasets and metrics. Table 4.1 reports HR@10, NDCG@10, Precision@10, and Recall@10, while Figure 4.1 visualises NDCG@10 for LastFM and ML-1M. This section uses no alpha-sweep evidence.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Model</w:t>
            </w:r>
          </w:p>
        </w:tc>
        <w:tc>
          <w:tcPr/>
          <w:p>
            <w:pPr>
              <w:pStyle w:val="Compact"/>
            </w:pPr>
            <w:r>
              <w:t xml:space="preserve">HR@10</w:t>
            </w:r>
          </w:p>
        </w:tc>
        <w:tc>
          <w:tcPr/>
          <w:p>
            <w:pPr>
              <w:pStyle w:val="Compact"/>
            </w:pPr>
            <w:r>
              <w:t xml:space="preserve">NDCG@10</w:t>
            </w:r>
          </w:p>
        </w:tc>
        <w:tc>
          <w:tcPr/>
          <w:p>
            <w:pPr>
              <w:pStyle w:val="Compact"/>
            </w:pPr>
            <w:r>
              <w:t xml:space="preserve">Precision@10</w:t>
            </w:r>
          </w:p>
        </w:tc>
        <w:tc>
          <w:tcPr/>
          <w:p>
            <w:pPr>
              <w:pStyle w:val="Compact"/>
            </w:pPr>
            <w:r>
              <w:t xml:space="preserve">Recall@10</w:t>
            </w:r>
          </w:p>
        </w:tc>
      </w:tr>
      <w:tr>
        <w:tc>
          <w:tcPr/>
          <w:p>
            <w:pPr>
              <w:pStyle w:val="Compact"/>
            </w:pPr>
            <w:r>
              <w:t xml:space="preserve">LastFM</w:t>
            </w:r>
          </w:p>
        </w:tc>
        <w:tc>
          <w:tcPr/>
          <w:p>
            <w:pPr>
              <w:pStyle w:val="Compact"/>
            </w:pPr>
            <w:r>
              <w:t xml:space="preserve">PGPR</w:t>
            </w:r>
          </w:p>
        </w:tc>
        <w:tc>
          <w:tcPr/>
          <w:p>
            <w:pPr>
              <w:pStyle w:val="Compact"/>
            </w:pPr>
            <w:r>
              <w:t xml:space="preserve">0.186389</w:t>
            </w:r>
          </w:p>
        </w:tc>
        <w:tc>
          <w:tcPr/>
          <w:p>
            <w:pPr>
              <w:pStyle w:val="Compact"/>
            </w:pPr>
            <w:r>
              <w:t xml:space="preserve">0.030905</w:t>
            </w:r>
          </w:p>
        </w:tc>
        <w:tc>
          <w:tcPr/>
          <w:p>
            <w:pPr>
              <w:pStyle w:val="Compact"/>
            </w:pPr>
            <w:r>
              <w:t xml:space="preserve">0.025356</w:t>
            </w:r>
          </w:p>
        </w:tc>
        <w:tc>
          <w:tcPr/>
          <w:p>
            <w:pPr>
              <w:pStyle w:val="Compact"/>
            </w:pPr>
            <w:r>
              <w:t xml:space="preserve">0.017731</w:t>
            </w:r>
          </w:p>
        </w:tc>
      </w:tr>
      <w:tr>
        <w:tc>
          <w:tcPr/>
          <w:p>
            <w:pPr>
              <w:pStyle w:val="Compact"/>
            </w:pPr>
            <w:r>
              <w:t xml:space="preserve">LastFM</w:t>
            </w:r>
          </w:p>
        </w:tc>
        <w:tc>
          <w:tcPr/>
          <w:p>
            <w:pPr>
              <w:pStyle w:val="Compact"/>
            </w:pPr>
            <w:r>
              <w:t xml:space="preserve">UCPR</w:t>
            </w:r>
          </w:p>
        </w:tc>
        <w:tc>
          <w:tcPr/>
          <w:p>
            <w:pPr>
              <w:pStyle w:val="Compact"/>
            </w:pPr>
            <w:r>
              <w:t xml:space="preserve">0.216416</w:t>
            </w:r>
          </w:p>
        </w:tc>
        <w:tc>
          <w:tcPr/>
          <w:p>
            <w:pPr>
              <w:pStyle w:val="Compact"/>
            </w:pPr>
            <w:r>
              <w:t xml:space="preserve">0.037377</w:t>
            </w:r>
          </w:p>
        </w:tc>
        <w:tc>
          <w:tcPr/>
          <w:p>
            <w:pPr>
              <w:pStyle w:val="Compact"/>
            </w:pPr>
            <w:r>
              <w:t xml:space="preserve">0.031129</w:t>
            </w:r>
          </w:p>
        </w:tc>
        <w:tc>
          <w:tcPr/>
          <w:p>
            <w:pPr>
              <w:pStyle w:val="Compact"/>
            </w:pPr>
            <w:r>
              <w:t xml:space="preserve">0.023155</w:t>
            </w:r>
          </w:p>
        </w:tc>
      </w:tr>
      <w:tr>
        <w:tc>
          <w:tcPr/>
          <w:p>
            <w:pPr>
              <w:pStyle w:val="Compact"/>
            </w:pPr>
            <w:r>
              <w:t xml:space="preserve">LastFM</w:t>
            </w:r>
          </w:p>
        </w:tc>
        <w:tc>
          <w:tcPr/>
          <w:p>
            <w:pPr>
              <w:pStyle w:val="Compact"/>
            </w:pPr>
            <w:r>
              <w:t xml:space="preserve">CAFE</w:t>
            </w:r>
          </w:p>
        </w:tc>
        <w:tc>
          <w:tcPr/>
          <w:p>
            <w:pPr>
              <w:pStyle w:val="Compact"/>
            </w:pPr>
            <w:r>
              <w:t xml:space="preserve">0.180233</w:t>
            </w:r>
          </w:p>
        </w:tc>
        <w:tc>
          <w:tcPr/>
          <w:p>
            <w:pPr>
              <w:pStyle w:val="Compact"/>
            </w:pPr>
            <w:r>
              <w:t xml:space="preserve">0.030214</w:t>
            </w:r>
          </w:p>
        </w:tc>
        <w:tc>
          <w:tcPr/>
          <w:p>
            <w:pPr>
              <w:pStyle w:val="Compact"/>
            </w:pPr>
            <w:r>
              <w:t xml:space="preserve">0.025718</w:t>
            </w:r>
          </w:p>
        </w:tc>
        <w:tc>
          <w:tcPr/>
          <w:p>
            <w:pPr>
              <w:pStyle w:val="Compact"/>
            </w:pPr>
            <w:r>
              <w:t xml:space="preserve">0.018639</w:t>
            </w:r>
          </w:p>
        </w:tc>
      </w:tr>
      <w:tr>
        <w:tc>
          <w:tcPr/>
          <w:p>
            <w:pPr>
              <w:pStyle w:val="Compact"/>
            </w:pPr>
            <w:r>
              <w:t xml:space="preserve">LastFM</w:t>
            </w:r>
          </w:p>
        </w:tc>
        <w:tc>
          <w:tcPr/>
          <w:p>
            <w:pPr>
              <w:pStyle w:val="Compact"/>
            </w:pPr>
            <w:r>
              <w:t xml:space="preserve">TPRec</w:t>
            </w:r>
          </w:p>
        </w:tc>
        <w:tc>
          <w:tcPr/>
          <w:p>
            <w:pPr>
              <w:pStyle w:val="Compact"/>
            </w:pPr>
            <w:r>
              <w:t xml:space="preserve">0.188919</w:t>
            </w:r>
          </w:p>
        </w:tc>
        <w:tc>
          <w:tcPr/>
          <w:p>
            <w:pPr>
              <w:pStyle w:val="Compact"/>
            </w:pPr>
            <w:r>
              <w:t xml:space="preserve">0.038981</w:t>
            </w:r>
          </w:p>
        </w:tc>
        <w:tc>
          <w:tcPr/>
          <w:p>
            <w:pPr>
              <w:pStyle w:val="Compact"/>
            </w:pPr>
            <w:r>
              <w:t xml:space="preserve">0.032736</w:t>
            </w:r>
          </w:p>
        </w:tc>
        <w:tc>
          <w:tcPr/>
          <w:p>
            <w:pPr>
              <w:pStyle w:val="Compact"/>
            </w:pPr>
            <w:r>
              <w:t xml:space="preserve">0.022307</w:t>
            </w:r>
          </w:p>
        </w:tc>
      </w:tr>
      <w:tr>
        <w:tc>
          <w:tcPr/>
          <w:p>
            <w:pPr>
              <w:pStyle w:val="Compact"/>
            </w:pPr>
            <w:r>
              <w:t xml:space="preserve">LastFM</w:t>
            </w:r>
          </w:p>
        </w:tc>
        <w:tc>
          <w:tcPr/>
          <w:p>
            <w:pPr>
              <w:pStyle w:val="Compact"/>
            </w:pPr>
            <w:r>
              <w:t xml:space="preserve">KGGLM</w:t>
            </w:r>
          </w:p>
        </w:tc>
        <w:tc>
          <w:tcPr/>
          <w:p>
            <w:pPr>
              <w:pStyle w:val="Compact"/>
            </w:pPr>
            <w:r>
              <w:t xml:space="preserve">0.125855</w:t>
            </w:r>
          </w:p>
        </w:tc>
        <w:tc>
          <w:tcPr/>
          <w:p>
            <w:pPr>
              <w:pStyle w:val="Compact"/>
            </w:pPr>
            <w:r>
              <w:t xml:space="preserve">0.021319</w:t>
            </w:r>
          </w:p>
        </w:tc>
        <w:tc>
          <w:tcPr/>
          <w:p>
            <w:pPr>
              <w:pStyle w:val="Compact"/>
            </w:pPr>
            <w:r>
              <w:t xml:space="preserve">0.016409</w:t>
            </w:r>
          </w:p>
        </w:tc>
        <w:tc>
          <w:tcPr/>
          <w:p>
            <w:pPr>
              <w:pStyle w:val="Compact"/>
            </w:pPr>
            <w:r>
              <w:t xml:space="preserve">0.014191</w:t>
            </w:r>
          </w:p>
        </w:tc>
      </w:tr>
      <w:tr>
        <w:tc>
          <w:tcPr/>
          <w:p>
            <w:pPr>
              <w:pStyle w:val="Compact"/>
            </w:pPr>
            <w:r>
              <w:t xml:space="preserve">LastFM</w:t>
            </w:r>
          </w:p>
        </w:tc>
        <w:tc>
          <w:tcPr/>
          <w:p>
            <w:pPr>
              <w:pStyle w:val="Compact"/>
            </w:pPr>
            <w:r>
              <w:t xml:space="preserve">PEARLM</w:t>
            </w:r>
          </w:p>
        </w:tc>
        <w:tc>
          <w:tcPr/>
          <w:p>
            <w:pPr>
              <w:pStyle w:val="Compact"/>
            </w:pPr>
            <w:r>
              <w:t xml:space="preserve">0.099590</w:t>
            </w:r>
          </w:p>
        </w:tc>
        <w:tc>
          <w:tcPr/>
          <w:p>
            <w:pPr>
              <w:pStyle w:val="Compact"/>
            </w:pPr>
            <w:r>
              <w:t xml:space="preserve">0.015960</w:t>
            </w:r>
          </w:p>
        </w:tc>
        <w:tc>
          <w:tcPr/>
          <w:p>
            <w:pPr>
              <w:pStyle w:val="Compact"/>
            </w:pPr>
            <w:r>
              <w:t xml:space="preserve">0.012736</w:t>
            </w:r>
          </w:p>
        </w:tc>
        <w:tc>
          <w:tcPr/>
          <w:p>
            <w:pPr>
              <w:pStyle w:val="Compact"/>
            </w:pPr>
            <w:r>
              <w:t xml:space="preserve">0.009047</w:t>
            </w:r>
          </w:p>
        </w:tc>
      </w:tr>
      <w:tr>
        <w:tc>
          <w:tcPr/>
          <w:p>
            <w:pPr>
              <w:pStyle w:val="Compact"/>
            </w:pPr>
            <w:r>
              <w:t xml:space="preserve">ML-1M</w:t>
            </w:r>
          </w:p>
        </w:tc>
        <w:tc>
          <w:tcPr/>
          <w:p>
            <w:pPr>
              <w:pStyle w:val="Compact"/>
            </w:pPr>
            <w:r>
              <w:t xml:space="preserve">PGPR</w:t>
            </w:r>
          </w:p>
        </w:tc>
        <w:tc>
          <w:tcPr/>
          <w:p>
            <w:pPr>
              <w:pStyle w:val="Compact"/>
            </w:pPr>
            <w:r>
              <w:t xml:space="preserve">0.511258</w:t>
            </w:r>
          </w:p>
        </w:tc>
        <w:tc>
          <w:tcPr/>
          <w:p>
            <w:pPr>
              <w:pStyle w:val="Compact"/>
            </w:pPr>
            <w:r>
              <w:t xml:space="preserve">0.101896</w:t>
            </w:r>
          </w:p>
        </w:tc>
        <w:tc>
          <w:tcPr/>
          <w:p>
            <w:pPr>
              <w:pStyle w:val="Compact"/>
            </w:pPr>
            <w:r>
              <w:t xml:space="preserve">0.092914</w:t>
            </w:r>
          </w:p>
        </w:tc>
        <w:tc>
          <w:tcPr/>
          <w:p>
            <w:pPr>
              <w:pStyle w:val="Compact"/>
            </w:pPr>
            <w:r>
              <w:t xml:space="preserve">0.042342</w:t>
            </w:r>
          </w:p>
        </w:tc>
      </w:tr>
      <w:tr>
        <w:tc>
          <w:tcPr/>
          <w:p>
            <w:pPr>
              <w:pStyle w:val="Compact"/>
            </w:pPr>
            <w:r>
              <w:t xml:space="preserve">ML-1M</w:t>
            </w:r>
          </w:p>
        </w:tc>
        <w:tc>
          <w:tcPr/>
          <w:p>
            <w:pPr>
              <w:pStyle w:val="Compact"/>
            </w:pPr>
            <w:r>
              <w:t xml:space="preserve">UCPR</w:t>
            </w:r>
          </w:p>
        </w:tc>
        <w:tc>
          <w:tcPr/>
          <w:p>
            <w:pPr>
              <w:pStyle w:val="Compact"/>
            </w:pPr>
            <w:r>
              <w:t xml:space="preserve">0.441887</w:t>
            </w:r>
          </w:p>
        </w:tc>
        <w:tc>
          <w:tcPr/>
          <w:p>
            <w:pPr>
              <w:pStyle w:val="Compact"/>
            </w:pPr>
            <w:r>
              <w:t xml:space="preserve">0.086215</w:t>
            </w:r>
          </w:p>
        </w:tc>
        <w:tc>
          <w:tcPr/>
          <w:p>
            <w:pPr>
              <w:pStyle w:val="Compact"/>
            </w:pPr>
            <w:r>
              <w:t xml:space="preserve">0.066391</w:t>
            </w:r>
          </w:p>
        </w:tc>
        <w:tc>
          <w:tcPr/>
          <w:p>
            <w:pPr>
              <w:pStyle w:val="Compact"/>
            </w:pPr>
            <w:r>
              <w:t xml:space="preserve">0.037913</w:t>
            </w:r>
          </w:p>
        </w:tc>
      </w:tr>
      <w:tr>
        <w:tc>
          <w:tcPr/>
          <w:p>
            <w:pPr>
              <w:pStyle w:val="Compact"/>
            </w:pPr>
            <w:r>
              <w:t xml:space="preserve">ML-1M</w:t>
            </w:r>
          </w:p>
        </w:tc>
        <w:tc>
          <w:tcPr/>
          <w:p>
            <w:pPr>
              <w:pStyle w:val="Compact"/>
            </w:pPr>
            <w:r>
              <w:t xml:space="preserve">CAFE</w:t>
            </w:r>
          </w:p>
        </w:tc>
        <w:tc>
          <w:tcPr/>
          <w:p>
            <w:pPr>
              <w:pStyle w:val="Compact"/>
            </w:pPr>
            <w:r>
              <w:t xml:space="preserve">0.554305</w:t>
            </w:r>
          </w:p>
        </w:tc>
        <w:tc>
          <w:tcPr/>
          <w:p>
            <w:pPr>
              <w:pStyle w:val="Compact"/>
            </w:pPr>
            <w:r>
              <w:t xml:space="preserve">0.116655</w:t>
            </w:r>
          </w:p>
        </w:tc>
        <w:tc>
          <w:tcPr/>
          <w:p>
            <w:pPr>
              <w:pStyle w:val="Compact"/>
            </w:pPr>
            <w:r>
              <w:t xml:space="preserve">0.107119</w:t>
            </w:r>
          </w:p>
        </w:tc>
        <w:tc>
          <w:tcPr/>
          <w:p>
            <w:pPr>
              <w:pStyle w:val="Compact"/>
            </w:pPr>
            <w:r>
              <w:t xml:space="preserve">0.052024</w:t>
            </w:r>
          </w:p>
        </w:tc>
      </w:tr>
      <w:tr>
        <w:tc>
          <w:tcPr/>
          <w:p>
            <w:pPr>
              <w:pStyle w:val="Compact"/>
            </w:pPr>
            <w:r>
              <w:t xml:space="preserve">ML-1M</w:t>
            </w:r>
          </w:p>
        </w:tc>
        <w:tc>
          <w:tcPr/>
          <w:p>
            <w:pPr>
              <w:pStyle w:val="Compact"/>
            </w:pPr>
            <w:r>
              <w:t xml:space="preserve">TPRec</w:t>
            </w:r>
          </w:p>
        </w:tc>
        <w:tc>
          <w:tcPr/>
          <w:p>
            <w:pPr>
              <w:pStyle w:val="Compact"/>
            </w:pPr>
            <w:r>
              <w:t xml:space="preserve">0.474503</w:t>
            </w:r>
          </w:p>
        </w:tc>
        <w:tc>
          <w:tcPr/>
          <w:p>
            <w:pPr>
              <w:pStyle w:val="Compact"/>
            </w:pPr>
            <w:r>
              <w:t xml:space="preserve">0.094220</w:t>
            </w:r>
          </w:p>
        </w:tc>
        <w:tc>
          <w:tcPr/>
          <w:p>
            <w:pPr>
              <w:pStyle w:val="Compact"/>
            </w:pPr>
            <w:r>
              <w:t xml:space="preserve">0.089702</w:t>
            </w:r>
          </w:p>
        </w:tc>
        <w:tc>
          <w:tcPr/>
          <w:p>
            <w:pPr>
              <w:pStyle w:val="Compact"/>
            </w:pPr>
            <w:r>
              <w:t xml:space="preserve">0.043772</w:t>
            </w:r>
          </w:p>
        </w:tc>
      </w:tr>
      <w:tr>
        <w:tc>
          <w:tcPr/>
          <w:p>
            <w:pPr>
              <w:pStyle w:val="Compact"/>
            </w:pPr>
            <w:r>
              <w:t xml:space="preserve">ML-1M</w:t>
            </w:r>
          </w:p>
        </w:tc>
        <w:tc>
          <w:tcPr/>
          <w:p>
            <w:pPr>
              <w:pStyle w:val="Compact"/>
            </w:pPr>
            <w:r>
              <w:t xml:space="preserve">KGGLM</w:t>
            </w:r>
          </w:p>
        </w:tc>
        <w:tc>
          <w:tcPr/>
          <w:p>
            <w:pPr>
              <w:pStyle w:val="Compact"/>
            </w:pPr>
            <w:r>
              <w:t xml:space="preserve">0.168874</w:t>
            </w:r>
          </w:p>
        </w:tc>
        <w:tc>
          <w:tcPr/>
          <w:p>
            <w:pPr>
              <w:pStyle w:val="Compact"/>
            </w:pPr>
            <w:r>
              <w:t xml:space="preserve">0.033649</w:t>
            </w:r>
          </w:p>
        </w:tc>
        <w:tc>
          <w:tcPr/>
          <w:p>
            <w:pPr>
              <w:pStyle w:val="Compact"/>
            </w:pPr>
            <w:r>
              <w:t xml:space="preserve">0.019305</w:t>
            </w:r>
          </w:p>
        </w:tc>
        <w:tc>
          <w:tcPr/>
          <w:p>
            <w:pPr>
              <w:pStyle w:val="Compact"/>
            </w:pPr>
            <w:r>
              <w:t xml:space="preserve">0.010506</w:t>
            </w:r>
          </w:p>
        </w:tc>
      </w:tr>
      <w:tr>
        <w:tc>
          <w:tcPr/>
          <w:p>
            <w:pPr>
              <w:pStyle w:val="Compact"/>
            </w:pPr>
            <w:r>
              <w:t xml:space="preserve">ML-1M</w:t>
            </w:r>
          </w:p>
        </w:tc>
        <w:tc>
          <w:tcPr/>
          <w:p>
            <w:pPr>
              <w:pStyle w:val="Compact"/>
            </w:pPr>
            <w:r>
              <w:t xml:space="preserve">PEARLM</w:t>
            </w:r>
          </w:p>
        </w:tc>
        <w:tc>
          <w:tcPr/>
          <w:p>
            <w:pPr>
              <w:pStyle w:val="Compact"/>
            </w:pPr>
            <w:r>
              <w:t xml:space="preserve">0.214735</w:t>
            </w:r>
          </w:p>
        </w:tc>
        <w:tc>
          <w:tcPr/>
          <w:p>
            <w:pPr>
              <w:pStyle w:val="Compact"/>
            </w:pPr>
            <w:r>
              <w:t xml:space="preserve">0.035303</w:t>
            </w:r>
          </w:p>
        </w:tc>
        <w:tc>
          <w:tcPr/>
          <w:p>
            <w:pPr>
              <w:pStyle w:val="Compact"/>
            </w:pPr>
            <w:r>
              <w:t xml:space="preserve">0.027119</w:t>
            </w:r>
          </w:p>
        </w:tc>
        <w:tc>
          <w:tcPr/>
          <w:p>
            <w:pPr>
              <w:pStyle w:val="Compact"/>
            </w:pPr>
            <w:r>
              <w:t xml:space="preserve">0.011040</w:t>
            </w:r>
          </w:p>
        </w:tc>
      </w:tr>
    </w:tbl>
    <w:p>
      <w:pPr>
        <w:pStyle w:val="BodyText"/>
      </w:pPr>
      <w:r>
        <w:rPr>
          <w:b/>
          <w:bCs/>
        </w:rPr>
        <w:t xml:space="preserve">Table 4.1.</w:t>
      </w:r>
      <w:r>
        <w:t xml:space="preserve"> </w:t>
      </w:r>
      <w:r>
        <w:t xml:space="preserve">Strict HR@10, NDCG@10, Precision@10, and Recall@10 results for the complete LastFM and ML-1M six-model scope. Values are traceable to the accessible canonical status matrix and matching dissertation summary; the expected primary row-level JSON artifacts are not accessible.</w:t>
      </w:r>
    </w:p>
    <w:p>
      <w:pPr>
        <w:pStyle w:val="BodyText"/>
      </w:pPr>
      <w:r>
        <w:drawing>
          <wp:inline>
            <wp:extent cx="4699000" cy="1895525"/>
            <wp:effectExtent b="0" l="0" r="0" t="0"/>
            <wp:docPr descr="Figure 4.1 strict NDCG comparison" title="" id="57" name="Picture"/>
            <a:graphic>
              <a:graphicData uri="http://schemas.openxmlformats.org/drawingml/2006/picture">
                <pic:pic>
                  <pic:nvPicPr>
                    <pic:cNvPr descr="paper/current_dissertation/figures/png/figure_4_1_strict_ndcg_comparison_final.png" id="58" name="Picture"/>
                    <pic:cNvPicPr>
                      <a:picLocks noChangeArrowheads="1" noChangeAspect="1"/>
                    </pic:cNvPicPr>
                  </pic:nvPicPr>
                  <pic:blipFill>
                    <a:blip r:embed="rId56"/>
                    <a:stretch>
                      <a:fillRect/>
                    </a:stretch>
                  </pic:blipFill>
                  <pic:spPr bwMode="auto">
                    <a:xfrm>
                      <a:off x="0" y="0"/>
                      <a:ext cx="4699000" cy="1895525"/>
                    </a:xfrm>
                    <a:prstGeom prst="rect">
                      <a:avLst/>
                    </a:prstGeom>
                    <a:noFill/>
                    <a:ln w="9525">
                      <a:noFill/>
                      <a:headEnd/>
                      <a:tailEnd/>
                    </a:ln>
                  </pic:spPr>
                </pic:pic>
              </a:graphicData>
            </a:graphic>
          </wp:inline>
        </w:drawing>
      </w:r>
    </w:p>
    <w:p>
      <w:pPr>
        <w:pStyle w:val="BodyText"/>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p>
    <w:p>
      <w:pPr>
        <w:pStyle w:val="BodyText"/>
      </w:pPr>
      <w:r>
        <w:t xml:space="preserve">LastFM divides leadership between two models. UCPR records the highest HR@10 at 0.216416 and the highest Recall@10 at 0.023155. TPRec records the highest NDCG@10 at 0.038981 and the highest Precision@10 at 0.032736. PGPR, CAFE, KGGLM, and PEARLM are lower than these metric-specific leaders on all four measures. The result is therefore a metric-dependent ordering rather than a single LastFM leader.</w:t>
      </w:r>
    </w:p>
    <w:p>
      <w:pPr>
        <w:pStyle w:val="BodyText"/>
      </w:pPr>
      <w:r>
        <w:t xml:space="preserve">ML-1M produces a different pattern. CAFE leads all four strict metrics, with HR@10 of 0.554305, NDCG@10 of 0.116655, Precision@10 of 0.107119, and Recall@10 of 0.052024.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pPr>
      <w:r>
        <w:t xml:space="preserve">This conclusion applies only to the registered strict evidence stream. The paired NDCG values reported later are generated inside individual alpha sweeps and characterise those trajectories; they are not alternative measurements of the strict NDCG@10 values in Table 4.1. Keeping the two sources separate is necessary even when their metric names appear similar.</w:t>
      </w:r>
    </w:p>
    <w:bookmarkEnd w:id="59"/>
    <w:bookmarkStart w:id="63" w:name="explanation-metric-endpoint-results"/>
    <w:p>
      <w:pPr>
        <w:pStyle w:val="Heading2"/>
      </w:pPr>
      <w:r>
        <w:t xml:space="preserve">4.3 Explanation Metric Endpoint Results</w:t>
      </w:r>
    </w:p>
    <w:p>
      <w:pPr>
        <w:pStyle w:val="FirstParagraph"/>
      </w:pPr>
      <w:r>
        <w:t xml:space="preserve">The next question is whether explanation behaviour can be reduced to a single dimension or common response pattern. Table 4.2 and Figure 4.2 report alpha=0 and alpha=1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Model</w:t>
            </w:r>
          </w:p>
        </w:tc>
        <w:tc>
          <w:tcPr/>
          <w:p>
            <w:pPr>
              <w:pStyle w:val="Compact"/>
            </w:pPr>
            <w:r>
              <w:t xml:space="preserve">LIR alpha=0 -&gt; alpha=1</w:t>
            </w:r>
          </w:p>
        </w:tc>
        <w:tc>
          <w:tcPr/>
          <w:p>
            <w:pPr>
              <w:pStyle w:val="Compact"/>
            </w:pPr>
            <w:r>
              <w:t xml:space="preserve">SEP alpha=0 -&gt; alpha=1</w:t>
            </w:r>
          </w:p>
        </w:tc>
        <w:tc>
          <w:tcPr/>
          <w:p>
            <w:pPr>
              <w:pStyle w:val="Compact"/>
            </w:pPr>
            <w:r>
              <w:t xml:space="preserve">ETD alpha=0 -&gt; alpha=1</w:t>
            </w:r>
          </w:p>
        </w:tc>
      </w:tr>
      <w:tr>
        <w:tc>
          <w:tcPr/>
          <w:p>
            <w:pPr>
              <w:pStyle w:val="Compact"/>
            </w:pPr>
            <w:r>
              <w:t xml:space="preserve">LastFM</w:t>
            </w:r>
          </w:p>
        </w:tc>
        <w:tc>
          <w:tcPr/>
          <w:p>
            <w:pPr>
              <w:pStyle w:val="Compact"/>
            </w:pPr>
            <w:r>
              <w:t xml:space="preserve">PGPR</w:t>
            </w:r>
          </w:p>
        </w:tc>
        <w:tc>
          <w:tcPr/>
          <w:p>
            <w:pPr>
              <w:pStyle w:val="Compact"/>
            </w:pPr>
            <w:r>
              <w:t xml:space="preserve">0.0062 -&gt; 0.0219</w:t>
            </w:r>
          </w:p>
        </w:tc>
        <w:tc>
          <w:tcPr/>
          <w:p>
            <w:pPr>
              <w:pStyle w:val="Compact"/>
            </w:pPr>
            <w:r>
              <w:t xml:space="preserve">0.5688 -&gt; 0.9877</w:t>
            </w:r>
          </w:p>
        </w:tc>
        <w:tc>
          <w:tcPr/>
          <w:p>
            <w:pPr>
              <w:pStyle w:val="Compact"/>
            </w:pPr>
            <w:r>
              <w:t xml:space="preserve">0.1396 -&gt; 0.3552</w:t>
            </w:r>
          </w:p>
        </w:tc>
      </w:tr>
      <w:tr>
        <w:tc>
          <w:tcPr/>
          <w:p>
            <w:pPr>
              <w:pStyle w:val="Compact"/>
            </w:pPr>
            <w:r>
              <w:t xml:space="preserve">LastFM</w:t>
            </w:r>
          </w:p>
        </w:tc>
        <w:tc>
          <w:tcPr/>
          <w:p>
            <w:pPr>
              <w:pStyle w:val="Compact"/>
            </w:pPr>
            <w:r>
              <w:t xml:space="preserve">UCPR</w:t>
            </w:r>
          </w:p>
        </w:tc>
        <w:tc>
          <w:tcPr/>
          <w:p>
            <w:pPr>
              <w:pStyle w:val="Compact"/>
            </w:pPr>
            <w:r>
              <w:t xml:space="preserve">0.0050 -&gt; 0.0118</w:t>
            </w:r>
          </w:p>
        </w:tc>
        <w:tc>
          <w:tcPr/>
          <w:p>
            <w:pPr>
              <w:pStyle w:val="Compact"/>
            </w:pPr>
            <w:r>
              <w:t xml:space="preserve">0.5170 -&gt; 0.9336</w:t>
            </w:r>
          </w:p>
        </w:tc>
        <w:tc>
          <w:tcPr/>
          <w:p>
            <w:pPr>
              <w:pStyle w:val="Compact"/>
            </w:pPr>
            <w:r>
              <w:t xml:space="preserve">0.1196 -&gt; 0.1856</w:t>
            </w:r>
          </w:p>
        </w:tc>
      </w:tr>
      <w:tr>
        <w:tc>
          <w:tcPr/>
          <w:p>
            <w:pPr>
              <w:pStyle w:val="Compact"/>
            </w:pPr>
            <w:r>
              <w:t xml:space="preserve">LastFM</w:t>
            </w:r>
          </w:p>
        </w:tc>
        <w:tc>
          <w:tcPr/>
          <w:p>
            <w:pPr>
              <w:pStyle w:val="Compact"/>
            </w:pPr>
            <w:r>
              <w:t xml:space="preserve">CAFE</w:t>
            </w:r>
          </w:p>
        </w:tc>
        <w:tc>
          <w:tcPr/>
          <w:p>
            <w:pPr>
              <w:pStyle w:val="Compact"/>
            </w:pPr>
            <w:r>
              <w:t xml:space="preserve">0.0012 -&gt; 0.0042</w:t>
            </w:r>
          </w:p>
        </w:tc>
        <w:tc>
          <w:tcPr/>
          <w:p>
            <w:pPr>
              <w:pStyle w:val="Compact"/>
            </w:pPr>
            <w:r>
              <w:t xml:space="preserve">0.7308 -&gt; 0.9890</w:t>
            </w:r>
          </w:p>
        </w:tc>
        <w:tc>
          <w:tcPr/>
          <w:p>
            <w:pPr>
              <w:pStyle w:val="Compact"/>
            </w:pPr>
            <w:r>
              <w:t xml:space="preserve">0.2314 -&gt; 0.3728</w:t>
            </w:r>
          </w:p>
        </w:tc>
      </w:tr>
      <w:tr>
        <w:tc>
          <w:tcPr/>
          <w:p>
            <w:pPr>
              <w:pStyle w:val="Compact"/>
            </w:pPr>
            <w:r>
              <w:t xml:space="preserve">LastFM</w:t>
            </w:r>
          </w:p>
        </w:tc>
        <w:tc>
          <w:tcPr/>
          <w:p>
            <w:pPr>
              <w:pStyle w:val="Compact"/>
            </w:pPr>
            <w:r>
              <w:t xml:space="preserve">TPRec</w:t>
            </w:r>
          </w:p>
        </w:tc>
        <w:tc>
          <w:tcPr/>
          <w:p>
            <w:pPr>
              <w:pStyle w:val="Compact"/>
            </w:pPr>
            <w:r>
              <w:t xml:space="preserve">0.0056 -&gt; 0.0111</w:t>
            </w:r>
          </w:p>
        </w:tc>
        <w:tc>
          <w:tcPr/>
          <w:p>
            <w:pPr>
              <w:pStyle w:val="Compact"/>
            </w:pPr>
            <w:r>
              <w:t xml:space="preserve">0.5499 -&gt; 0.9132</w:t>
            </w:r>
          </w:p>
        </w:tc>
        <w:tc>
          <w:tcPr/>
          <w:p>
            <w:pPr>
              <w:pStyle w:val="Compact"/>
            </w:pPr>
            <w:r>
              <w:t xml:space="preserve">0.1766 -&gt; 0.3983</w:t>
            </w:r>
          </w:p>
        </w:tc>
      </w:tr>
      <w:tr>
        <w:tc>
          <w:tcPr/>
          <w:p>
            <w:pPr>
              <w:pStyle w:val="Compact"/>
            </w:pPr>
            <w:r>
              <w:t xml:space="preserve">LastFM</w:t>
            </w:r>
          </w:p>
        </w:tc>
        <w:tc>
          <w:tcPr/>
          <w:p>
            <w:pPr>
              <w:pStyle w:val="Compact"/>
            </w:pPr>
            <w:r>
              <w:t xml:space="preserve">KGGLM</w:t>
            </w:r>
          </w:p>
        </w:tc>
        <w:tc>
          <w:tcPr/>
          <w:p>
            <w:pPr>
              <w:pStyle w:val="Compact"/>
            </w:pPr>
            <w:r>
              <w:t xml:space="preserve">0.0007 -&gt; 0.0009</w:t>
            </w:r>
          </w:p>
        </w:tc>
        <w:tc>
          <w:tcPr/>
          <w:p>
            <w:pPr>
              <w:pStyle w:val="Compact"/>
            </w:pPr>
            <w:r>
              <w:t xml:space="preserve">0.6963 -&gt; 0.7187</w:t>
            </w:r>
          </w:p>
        </w:tc>
        <w:tc>
          <w:tcPr/>
          <w:p>
            <w:pPr>
              <w:pStyle w:val="Compact"/>
            </w:pPr>
            <w:r>
              <w:t xml:space="preserve">0.1265 -&gt; 0.1294</w:t>
            </w:r>
          </w:p>
        </w:tc>
      </w:tr>
      <w:tr>
        <w:tc>
          <w:tcPr/>
          <w:p>
            <w:pPr>
              <w:pStyle w:val="Compact"/>
            </w:pPr>
            <w:r>
              <w:t xml:space="preserve">LastFM</w:t>
            </w:r>
          </w:p>
        </w:tc>
        <w:tc>
          <w:tcPr/>
          <w:p>
            <w:pPr>
              <w:pStyle w:val="Compact"/>
            </w:pPr>
            <w:r>
              <w:t xml:space="preserve">PEARLM</w:t>
            </w:r>
          </w:p>
        </w:tc>
        <w:tc>
          <w:tcPr/>
          <w:p>
            <w:pPr>
              <w:pStyle w:val="Compact"/>
            </w:pPr>
            <w:r>
              <w:t xml:space="preserve">0.0011 -&gt; 0.0014</w:t>
            </w:r>
          </w:p>
        </w:tc>
        <w:tc>
          <w:tcPr/>
          <w:p>
            <w:pPr>
              <w:pStyle w:val="Compact"/>
            </w:pPr>
            <w:r>
              <w:t xml:space="preserve">0.5267 -&gt; 0.6106</w:t>
            </w:r>
          </w:p>
        </w:tc>
        <w:tc>
          <w:tcPr/>
          <w:p>
            <w:pPr>
              <w:pStyle w:val="Compact"/>
            </w:pPr>
            <w:r>
              <w:t xml:space="preserve">0.1111 -&gt; 0.1117</w:t>
            </w:r>
          </w:p>
        </w:tc>
      </w:tr>
      <w:tr>
        <w:tc>
          <w:tcPr/>
          <w:p>
            <w:pPr>
              <w:pStyle w:val="Compact"/>
            </w:pPr>
            <w:r>
              <w:t xml:space="preserve">ML-1M</w:t>
            </w:r>
          </w:p>
        </w:tc>
        <w:tc>
          <w:tcPr/>
          <w:p>
            <w:pPr>
              <w:pStyle w:val="Compact"/>
            </w:pPr>
            <w:r>
              <w:t xml:space="preserve">PGPR</w:t>
            </w:r>
          </w:p>
        </w:tc>
        <w:tc>
          <w:tcPr/>
          <w:p>
            <w:pPr>
              <w:pStyle w:val="Compact"/>
            </w:pPr>
            <w:r>
              <w:t xml:space="preserve">0.4655 -&gt; 0.9627</w:t>
            </w:r>
          </w:p>
        </w:tc>
        <w:tc>
          <w:tcPr/>
          <w:p>
            <w:pPr>
              <w:pStyle w:val="Compact"/>
            </w:pPr>
            <w:r>
              <w:t xml:space="preserve">0.4798 -&gt; 0.9833</w:t>
            </w:r>
          </w:p>
        </w:tc>
        <w:tc>
          <w:tcPr/>
          <w:p>
            <w:pPr>
              <w:pStyle w:val="Compact"/>
            </w:pPr>
            <w:r>
              <w:t xml:space="preserve">0.1611 -&gt; 0.5191</w:t>
            </w:r>
          </w:p>
        </w:tc>
      </w:tr>
      <w:tr>
        <w:tc>
          <w:tcPr/>
          <w:p>
            <w:pPr>
              <w:pStyle w:val="Compact"/>
            </w:pPr>
            <w:r>
              <w:t xml:space="preserve">ML-1M</w:t>
            </w:r>
          </w:p>
        </w:tc>
        <w:tc>
          <w:tcPr/>
          <w:p>
            <w:pPr>
              <w:pStyle w:val="Compact"/>
            </w:pPr>
            <w:r>
              <w:t xml:space="preserve">UCPR</w:t>
            </w:r>
          </w:p>
        </w:tc>
        <w:tc>
          <w:tcPr/>
          <w:p>
            <w:pPr>
              <w:pStyle w:val="Compact"/>
            </w:pPr>
            <w:r>
              <w:t xml:space="preserve">0.4568 -&gt; 0.7342</w:t>
            </w:r>
          </w:p>
        </w:tc>
        <w:tc>
          <w:tcPr/>
          <w:p>
            <w:pPr>
              <w:pStyle w:val="Compact"/>
            </w:pPr>
            <w:r>
              <w:t xml:space="preserve">0.4935 -&gt; 0.7406</w:t>
            </w:r>
          </w:p>
        </w:tc>
        <w:tc>
          <w:tcPr/>
          <w:p>
            <w:pPr>
              <w:pStyle w:val="Compact"/>
            </w:pPr>
            <w:r>
              <w:t xml:space="preserve">0.2088 -&gt; 0.2555</w:t>
            </w:r>
          </w:p>
        </w:tc>
      </w:tr>
      <w:tr>
        <w:tc>
          <w:tcPr/>
          <w:p>
            <w:pPr>
              <w:pStyle w:val="Compact"/>
            </w:pPr>
            <w:r>
              <w:t xml:space="preserve">ML-1M</w:t>
            </w:r>
          </w:p>
        </w:tc>
        <w:tc>
          <w:tcPr/>
          <w:p>
            <w:pPr>
              <w:pStyle w:val="Compact"/>
            </w:pPr>
            <w:r>
              <w:t xml:space="preserve">CAFE</w:t>
            </w:r>
          </w:p>
        </w:tc>
        <w:tc>
          <w:tcPr/>
          <w:p>
            <w:pPr>
              <w:pStyle w:val="Compact"/>
            </w:pPr>
            <w:r>
              <w:t xml:space="preserve">0.3949 -&gt; 0.6986</w:t>
            </w:r>
          </w:p>
        </w:tc>
        <w:tc>
          <w:tcPr/>
          <w:p>
            <w:pPr>
              <w:pStyle w:val="Compact"/>
            </w:pPr>
            <w:r>
              <w:t xml:space="preserve">0.4619 -&gt; 0.9791</w:t>
            </w:r>
          </w:p>
        </w:tc>
        <w:tc>
          <w:tcPr/>
          <w:p>
            <w:pPr>
              <w:pStyle w:val="Compact"/>
            </w:pPr>
            <w:r>
              <w:t xml:space="preserve">0.2902 -&gt; 0.8542</w:t>
            </w:r>
          </w:p>
        </w:tc>
      </w:tr>
      <w:tr>
        <w:tc>
          <w:tcPr/>
          <w:p>
            <w:pPr>
              <w:pStyle w:val="Compact"/>
            </w:pPr>
            <w:r>
              <w:t xml:space="preserve">ML-1M</w:t>
            </w:r>
          </w:p>
        </w:tc>
        <w:tc>
          <w:tcPr/>
          <w:p>
            <w:pPr>
              <w:pStyle w:val="Compact"/>
            </w:pPr>
            <w:r>
              <w:t xml:space="preserve">TPRec</w:t>
            </w:r>
          </w:p>
        </w:tc>
        <w:tc>
          <w:tcPr/>
          <w:p>
            <w:pPr>
              <w:pStyle w:val="Compact"/>
            </w:pPr>
            <w:r>
              <w:t xml:space="preserve">0.4502 -&gt; 0.9451</w:t>
            </w:r>
          </w:p>
        </w:tc>
        <w:tc>
          <w:tcPr/>
          <w:p>
            <w:pPr>
              <w:pStyle w:val="Compact"/>
            </w:pPr>
            <w:r>
              <w:t xml:space="preserve">0.4948 -&gt; 0.9704</w:t>
            </w:r>
          </w:p>
        </w:tc>
        <w:tc>
          <w:tcPr/>
          <w:p>
            <w:pPr>
              <w:pStyle w:val="Compact"/>
            </w:pPr>
            <w:r>
              <w:t xml:space="preserve">0.2874 -&gt; 0.7301</w:t>
            </w:r>
          </w:p>
        </w:tc>
      </w:tr>
      <w:tr>
        <w:tc>
          <w:tcPr/>
          <w:p>
            <w:pPr>
              <w:pStyle w:val="Compact"/>
            </w:pPr>
            <w:r>
              <w:t xml:space="preserve">ML-1M</w:t>
            </w:r>
          </w:p>
        </w:tc>
        <w:tc>
          <w:tcPr/>
          <w:p>
            <w:pPr>
              <w:pStyle w:val="Compact"/>
            </w:pPr>
            <w:r>
              <w:t xml:space="preserve">KGGLM</w:t>
            </w:r>
          </w:p>
        </w:tc>
        <w:tc>
          <w:tcPr/>
          <w:p>
            <w:pPr>
              <w:pStyle w:val="Compact"/>
            </w:pPr>
            <w:r>
              <w:t xml:space="preserve">0.3161 -&gt; 0.3161</w:t>
            </w:r>
          </w:p>
        </w:tc>
        <w:tc>
          <w:tcPr/>
          <w:p>
            <w:pPr>
              <w:pStyle w:val="Compact"/>
            </w:pPr>
            <w:r>
              <w:t xml:space="preserve">0.4791 -&gt; 0.4791</w:t>
            </w:r>
          </w:p>
        </w:tc>
        <w:tc>
          <w:tcPr/>
          <w:p>
            <w:pPr>
              <w:pStyle w:val="Compact"/>
            </w:pPr>
            <w:r>
              <w:t xml:space="preserve">0.0950 -&gt; 0.0950</w:t>
            </w:r>
          </w:p>
        </w:tc>
      </w:tr>
      <w:tr>
        <w:tc>
          <w:tcPr/>
          <w:p>
            <w:pPr>
              <w:pStyle w:val="Compact"/>
            </w:pPr>
            <w:r>
              <w:t xml:space="preserve">ML-1M</w:t>
            </w:r>
          </w:p>
        </w:tc>
        <w:tc>
          <w:tcPr/>
          <w:p>
            <w:pPr>
              <w:pStyle w:val="Compact"/>
            </w:pPr>
            <w:r>
              <w:t xml:space="preserve">PEARLM</w:t>
            </w:r>
          </w:p>
        </w:tc>
        <w:tc>
          <w:tcPr/>
          <w:p>
            <w:pPr>
              <w:pStyle w:val="Compact"/>
            </w:pPr>
            <w:r>
              <w:t xml:space="preserve">0.4225 -&gt; 0.4272</w:t>
            </w:r>
          </w:p>
        </w:tc>
        <w:tc>
          <w:tcPr/>
          <w:p>
            <w:pPr>
              <w:pStyle w:val="Compact"/>
            </w:pPr>
            <w:r>
              <w:t xml:space="preserve">0.5094 -&gt; 0.5266</w:t>
            </w:r>
          </w:p>
        </w:tc>
        <w:tc>
          <w:tcPr/>
          <w:p>
            <w:pPr>
              <w:pStyle w:val="Compact"/>
            </w:pPr>
            <w:r>
              <w:t xml:space="preserve">0.0984 -&gt; 0.0989</w:t>
            </w:r>
          </w:p>
        </w:tc>
      </w:tr>
    </w:tbl>
    <w:p>
      <w:pPr>
        <w:pStyle w:val="BodyText"/>
      </w:pPr>
      <w:r>
        <w:rPr>
          <w:b/>
          <w:bCs/>
        </w:rPr>
        <w:t xml:space="preserve">Table 4.2.</w:t>
      </w:r>
      <w:r>
        <w:t xml:space="preserve"> </w:t>
      </w:r>
      <w:r>
        <w:t xml:space="preserve">LIR, SEP, and ETD endpoints at alpha=0 and alpha=1 for the validated LastFM and ML-1M native-path rows. These endpoints use the registered repository-specific metric implementation, belong to the alpha-sweep evidence stream, and are not strict accuracy measurements or user-study evidence.</w:t>
      </w:r>
    </w:p>
    <w:p>
      <w:pPr>
        <w:pStyle w:val="BodyText"/>
      </w:pPr>
      <w:r>
        <w:drawing>
          <wp:inline>
            <wp:extent cx="4699000" cy="3233464"/>
            <wp:effectExtent b="0" l="0" r="0" t="0"/>
            <wp:docPr descr="Figure 4.2 explanation metric endpoints" title="" id="61" name="Picture"/>
            <a:graphic>
              <a:graphicData uri="http://schemas.openxmlformats.org/drawingml/2006/picture">
                <pic:pic>
                  <pic:nvPicPr>
                    <pic:cNvPr descr="paper/current_dissertation/figures/png/figure_4_2_explanation_endpoint_summary_final.png" id="62" name="Picture"/>
                    <pic:cNvPicPr>
                      <a:picLocks noChangeArrowheads="1" noChangeAspect="1"/>
                    </pic:cNvPicPr>
                  </pic:nvPicPr>
                  <pic:blipFill>
                    <a:blip r:embed="rId60"/>
                    <a:stretch>
                      <a:fillRect/>
                    </a:stretch>
                  </pic:blipFill>
                  <pic:spPr bwMode="auto">
                    <a:xfrm>
                      <a:off x="0" y="0"/>
                      <a:ext cx="4699000" cy="3233464"/>
                    </a:xfrm>
                    <a:prstGeom prst="rect">
                      <a:avLst/>
                    </a:prstGeom>
                    <a:noFill/>
                    <a:ln w="9525">
                      <a:noFill/>
                      <a:headEnd/>
                      <a:tailEnd/>
                    </a:ln>
                  </pic:spPr>
                </pic:pic>
              </a:graphicData>
            </a:graphic>
          </wp:inline>
        </w:drawing>
      </w:r>
    </w:p>
    <w:p>
      <w:pPr>
        <w:pStyle w:val="BodyText"/>
      </w:pPr>
      <w:r>
        <w:rPr>
          <w:b/>
          <w:bCs/>
        </w:rPr>
        <w:t xml:space="preserve">Figure 4.2.</w:t>
      </w:r>
      <w:r>
        <w:t xml:space="preserve"> </w:t>
      </w:r>
      <w:r>
        <w:t xml:space="preserve">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p>
    <w:p>
      <w:pPr>
        <w:pStyle w:val="BodyText"/>
      </w:pPr>
      <w:r>
        <w:t xml:space="preserve">On LastFM, PGPR shows the largest LIR endpoint movement, from 0.0062 to 0.0219. SEP increases for all six models, reaching alpha=1 values from 0.6106 for PEARLM to 0.9890 for CAFE. ETD responses are more varied: TPRec has the largest movement, while PGPR and CAFE also move visibly and KGGLM and PEARLM change only slightly. Table 4.2 retains the complete endpoint set.</w:t>
      </w:r>
    </w:p>
    <w:p>
      <w:pPr>
        <w:pStyle w:val="BodyText"/>
      </w:pPr>
      <w:r>
        <w:t xml:space="preserve">ML-1M yields both larger movements and a different ordering in several cases. PGPR and TPRec show large LIR responses, and PGPR, CAFE, and TPRec all approach the upper end of the SEP scale at alpha=1. CAFE records the largest ETD movement, from 0.2902 to 0.8542, followed by visible TPRec and PGPR changes. KGGLM has identical alpha=0 and alpha=1 values for all three metrics, and PEARLM changes only slightly. Explanation-objective controllability is therefore conditional on metric, model, and dataset rather than captured by one endpoint ranking.</w:t>
      </w:r>
    </w:p>
    <w:p>
      <w:pPr>
        <w:pStyle w:val="BodyText"/>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63"/>
    <w:bookmarkStart w:id="67" w:name="lir-oriented-trade-off-results"/>
    <w:p>
      <w:pPr>
        <w:pStyle w:val="Heading2"/>
      </w:pPr>
      <w:r>
        <w:t xml:space="preserve">4.4 LIR-oriented Trade-off Results</w:t>
      </w:r>
    </w:p>
    <w:p>
      <w:pPr>
        <w:pStyle w:val="FirstParagraph"/>
      </w:pPr>
      <w:r>
        <w:t xml:space="preserve">The LIR sweep tests how favouring paths linked to more recent historical interactions affects the paired ranking metric. Figure 4.3 plots LIR against the NDCG sweep metric for both datasets. These NDCG values belong to the alpha-sweep evidence stream and are distinct from the strict NDCG@10 results in Section 4.2.</w:t>
      </w:r>
    </w:p>
    <w:p>
      <w:pPr>
        <w:pStyle w:val="BodyText"/>
      </w:pPr>
      <w:r>
        <w:drawing>
          <wp:inline>
            <wp:extent cx="4699000" cy="2030364"/>
            <wp:effectExtent b="0" l="0" r="0" t="0"/>
            <wp:docPr descr="Figure 4.3 LIR-oriented trade-off" title="" id="65" name="Picture"/>
            <a:graphic>
              <a:graphicData uri="http://schemas.openxmlformats.org/drawingml/2006/picture">
                <pic:pic>
                  <pic:nvPicPr>
                    <pic:cNvPr descr="paper/current_dissertation/figures/png/figure_4_3_lir_tradeoff_final.png" id="66" name="Picture"/>
                    <pic:cNvPicPr>
                      <a:picLocks noChangeArrowheads="1" noChangeAspect="1"/>
                    </pic:cNvPicPr>
                  </pic:nvPicPr>
                  <pic:blipFill>
                    <a:blip r:embed="rId64"/>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4.3.</w:t>
      </w:r>
      <w:r>
        <w:t xml:space="preserve"> </w:t>
      </w:r>
      <w:r>
        <w:t xml:space="preserve">LIR-oriented trade-off curves for (a) LastFM and (b) ML-1M. The paired NDCG values belong to the alpha-sweep evidence stream and should not be interpreted as strict NDCG@10. Panel x-axis ranges may differ because the implemented metric ranges are dataset-dependent.</w:t>
      </w:r>
    </w:p>
    <w:p>
      <w:pPr>
        <w:pStyle w:val="BodyText"/>
      </w:pPr>
      <w:r>
        <w:t xml:space="preserve">LastFM separates a costly LIR response from more strongly preserved or limited responses. PGPR increases LIR from 0.0062 to 0.0219 while sweep NDCG changes from 0.1130 to 0.0680. UCPR increases LIR from 0.0050 to 0.0118 with a much smaller NDCG change, from 0.1256 to 0.1231. CAFE and TPRec also increase LIR, whereas KGGLM and PEARLM show only small movement and essentially unchanged sweep NDCG endpoints. Figure 4.3 retains the complete trajectories.</w:t>
      </w:r>
    </w:p>
    <w:p>
      <w:pPr>
        <w:pStyle w:val="BodyText"/>
      </w:pPr>
      <w:r>
        <w:t xml:space="preserve">The ML-1M profiles differ in both scale and ranking cost. PGPR moves from 0.4655 to 0.9627 in LIR while NDCG changes from 0.1019 to 0.0619. UCPR again preserves more of the paired ranking metric, moving from 0.4568 to 0.7342 in LIR and from 0.0862 to 0.0829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pPr>
      <w:r>
        <w:t xml:space="preserve">In the notation above, these profiles compare (</w:t>
      </w:r>
      <w:r>
        <w:rPr>
          <w:i/>
          <w:iCs/>
        </w:rPr>
        <w:t xml:space="preserve">{m,d}) with (</w:t>
      </w:r>
      <w:r>
        <w:t xml:space="preserve">{m,d}^{</w:t>
      </w:r>
      <w:r>
        <w:t xml:space="preserve">,</w:t>
      </w:r>
      <w:r>
        <w:t xml:space="preserve">}). The notation records the direction and magnitude already shown by the registered endpoints; it does not add a new result or infer a mechanism.</w:t>
      </w:r>
    </w:p>
    <w:bookmarkEnd w:id="67"/>
    <w:bookmarkStart w:id="71" w:name="sep-oriented-trade-off-results"/>
    <w:p>
      <w:pPr>
        <w:pStyle w:val="Heading2"/>
      </w:pPr>
      <w:r>
        <w:t xml:space="preserve">4.5 SEP-oriented Trade-off Results</w:t>
      </w:r>
    </w:p>
    <w:p>
      <w:pPr>
        <w:pStyle w:val="FirstParagrap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w:pPr>
        <w:pStyle w:val="BodyText"/>
      </w:pPr>
      <w:r>
        <w:drawing>
          <wp:inline>
            <wp:extent cx="4699000" cy="2030364"/>
            <wp:effectExtent b="0" l="0" r="0" t="0"/>
            <wp:docPr descr="Figure 4.4 SEP-oriented trade-off" title="" id="69" name="Picture"/>
            <a:graphic>
              <a:graphicData uri="http://schemas.openxmlformats.org/drawingml/2006/picture">
                <pic:pic>
                  <pic:nvPicPr>
                    <pic:cNvPr descr="paper/current_dissertation/figures/png/figure_4_4_sep_tradeoff_final.png" id="70" name="Picture"/>
                    <pic:cNvPicPr>
                      <a:picLocks noChangeArrowheads="1" noChangeAspect="1"/>
                    </pic:cNvPicPr>
                  </pic:nvPicPr>
                  <pic:blipFill>
                    <a:blip r:embed="rId68"/>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4.4.</w:t>
      </w:r>
      <w:r>
        <w:t xml:space="preserve"> </w:t>
      </w:r>
      <w:r>
        <w:t xml:space="preserve">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w:t>
      </w:r>
    </w:p>
    <w:p>
      <w:pPr>
        <w:pStyle w:val="BodyText"/>
      </w:pPr>
      <w:r>
        <w:t xml:space="preserve">On LastFM, PGPR increases SEP from 0.5688 to 0.9877 while sweep NDCG changes from 0.1130 to 0.0676. UCPR reaches SEP 0.9336 from 0.5170 while NDCG changes only from 0.1256 to 0.1238. CAFE and TPRec also reach high SEP endpoints, whereas KGGLM and PEARLM show smaller movement. The contrast shows that similar directional SEP gains can carry different paired ranking costs.</w:t>
      </w:r>
    </w:p>
    <w:p>
      <w:pPr>
        <w:pStyle w:val="BodyText"/>
      </w:pPr>
      <w:r>
        <w:t xml:space="preserve">On ML-1M, PGPR, CAFE, and TPRec again reach high alpha=1 SEP values but incur different NDCG changes. UCPR increases SEP from 0.4935 to 0.7406 while NDCG changes only from 0.0862 to 0.0825. KGGLM remains unchanged on both measures, and PEARLM records a small SEP increase with nearly unchanged NDCG. Figure 4.4 retains the complete trajectories.</w:t>
      </w:r>
    </w:p>
    <w:p>
      <w:pPr>
        <w:pStyle w:val="BodyText"/>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pPr>
      <w:r>
        <w:t xml:space="preserve">SEP remains a repository-specific bridge-entity score interpreted through the implemented metric pipeline. Movement in (</w:t>
      </w:r>
      <w:r>
        <w:rPr>
          <w:i/>
          <w:iCs/>
        </w:rPr>
        <w:t xml:space="preserve">{m,d}) and its paired (</w:t>
      </w:r>
      <w:r>
        <w:t xml:space="preserve">{m,d}^{</w:t>
      </w:r>
      <w:r>
        <w:t xml:space="preserve">,</w:t>
      </w:r>
      <w:r>
        <w:t xml:space="preserve">}) is descriptive evidence of objective response, not statistical inference or causal mechanism evidence. It is not direct evidence of user-perceived serendipity, surprise, novelty, usefulness, or explanation quality.</w:t>
      </w:r>
    </w:p>
    <w:bookmarkEnd w:id="71"/>
    <w:bookmarkStart w:id="75" w:name="etd-oriented-trade-off-results"/>
    <w:p>
      <w:pPr>
        <w:pStyle w:val="Heading2"/>
      </w:pPr>
      <w:r>
        <w:t xml:space="preserve">4.6 ETD-oriented Trade-off Results</w:t>
      </w:r>
    </w:p>
    <w:p>
      <w:pPr>
        <w:pStyle w:val="FirstParagrap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w:pPr>
        <w:pStyle w:val="BodyText"/>
      </w:pPr>
      <w:r>
        <w:drawing>
          <wp:inline>
            <wp:extent cx="4699000" cy="2030364"/>
            <wp:effectExtent b="0" l="0" r="0" t="0"/>
            <wp:docPr descr="Figure 4.5 ETD-oriented trade-off" title="" id="73" name="Picture"/>
            <a:graphic>
              <a:graphicData uri="http://schemas.openxmlformats.org/drawingml/2006/picture">
                <pic:pic>
                  <pic:nvPicPr>
                    <pic:cNvPr descr="paper/current_dissertation/figures/png/figure_4_5_etd_tradeoff_final.png" id="74" name="Picture"/>
                    <pic:cNvPicPr>
                      <a:picLocks noChangeArrowheads="1" noChangeAspect="1"/>
                    </pic:cNvPicPr>
                  </pic:nvPicPr>
                  <pic:blipFill>
                    <a:blip r:embed="rId72"/>
                    <a:stretch>
                      <a:fillRect/>
                    </a:stretch>
                  </pic:blipFill>
                  <pic:spPr bwMode="auto">
                    <a:xfrm>
                      <a:off x="0" y="0"/>
                      <a:ext cx="4699000" cy="2030364"/>
                    </a:xfrm>
                    <a:prstGeom prst="rect">
                      <a:avLst/>
                    </a:prstGeom>
                    <a:noFill/>
                    <a:ln w="9525">
                      <a:noFill/>
                      <a:headEnd/>
                      <a:tailEnd/>
                    </a:ln>
                  </pic:spPr>
                </pic:pic>
              </a:graphicData>
            </a:graphic>
          </wp:inline>
        </w:drawing>
      </w:r>
    </w:p>
    <w:p>
      <w:pPr>
        <w:pStyle w:val="BodyText"/>
      </w:pPr>
      <w:r>
        <w:rPr>
          <w:b/>
          <w:bCs/>
        </w:rPr>
        <w:t xml:space="preserve">Figure 4.5.</w:t>
      </w:r>
      <w:r>
        <w:t xml:space="preserve"> </w:t>
      </w:r>
      <w:r>
        <w:t xml:space="preserve">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w:t>
      </w:r>
    </w:p>
    <w:p>
      <w:pPr>
        <w:pStyle w:val="BodyText"/>
      </w:pPr>
      <w:r>
        <w:t xml:space="preserve">On LastFM, TPRec has the largest ETD endpoint increase, from 0.1766 to 0.3983, while its sweep NDCG changes from 0.1178 to 0.1138.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pPr>
      <w:r>
        <w:t xml:space="preserve">ML-1M again changes the scale and ordering. CAFE records the largest ETD movement, from 0.2902 to 0.8542, while its sweep NDCG changes from 0.1115 to 0.0862. TPRec and PGPR also move substantially. UCPR increases ETD from 0.2088 to 0.2555 with a smaller NDCG change from 0.1008 to 0.0992,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pPr>
      <w:r>
        <w:t xml:space="preserve">The ETD trajectories are therefore summarised by (</w:t>
      </w:r>
      <w:r>
        <w:rPr>
          <w:i/>
          <w:iCs/>
        </w:rPr>
        <w:t xml:space="preserve">{m,d}) together with (</w:t>
      </w:r>
      <w:r>
        <w:t xml:space="preserve">{m,d}^{</w:t>
      </w:r>
      <w:r>
        <w:t xml:space="preserve">,</w:t>
      </w:r>
      <w:r>
        <w:t xml:space="preserve">}). As in the LIR and SEP sections, this notation formalises an observed endpoint trade-off without creating an efficiency ratio, significance claim, or causal conclusion.</w:t>
      </w:r>
    </w:p>
    <w:bookmarkEnd w:id="75"/>
    <w:bookmarkStart w:id="76" w:name="cross-dataset-comparison"/>
    <w:p>
      <w:pPr>
        <w:pStyle w:val="Heading2"/>
      </w:pPr>
      <w:r>
        <w:t xml:space="preserve">4.7 Cross-Dataset Comparison</w:t>
      </w:r>
    </w:p>
    <w:p>
      <w:pPr>
        <w:pStyle w:val="FirstParagrap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pPr>
      <w:r>
        <w:t xml:space="preserve">The empirical findings can be summarised without converting the observed associations into mechanism claims: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Empirical pattern</w:t>
            </w:r>
          </w:p>
        </w:tc>
        <w:tc>
          <w:tcPr/>
          <w:p>
            <w:pPr>
              <w:pStyle w:val="Compact"/>
            </w:pPr>
            <w:r>
              <w:t xml:space="preserve">Evidence from Chapter 4</w:t>
            </w:r>
          </w:p>
        </w:tc>
        <w:tc>
          <w:tcPr/>
          <w:p>
            <w:pPr>
              <w:pStyle w:val="Compact"/>
            </w:pPr>
            <w:r>
              <w:t xml:space="preserve">Example models / datasets</w:t>
            </w:r>
          </w:p>
        </w:tc>
        <w:tc>
          <w:tcPr/>
          <w:p>
            <w:pPr>
              <w:pStyle w:val="Compact"/>
            </w:pPr>
            <w:r>
              <w:t xml:space="preserve">Result-level interpretation</w:t>
            </w:r>
          </w:p>
        </w:tc>
        <w:tc>
          <w:tcPr/>
          <w:p>
            <w:pPr>
              <w:pStyle w:val="Compact"/>
            </w:pPr>
            <w:r>
              <w:t xml:space="preserve">Evidence limit</w:t>
            </w:r>
          </w:p>
        </w:tc>
      </w:tr>
      <w:tr>
        <w:tc>
          <w:tcPr/>
          <w:p>
            <w:pPr>
              <w:pStyle w:val="Compact"/>
            </w:pPr>
            <w:r>
              <w:t xml:space="preserve">No universal strict-accuracy winner</w:t>
            </w:r>
          </w:p>
        </w:tc>
        <w:tc>
          <w:tcPr/>
          <w:p>
            <w:pPr>
              <w:pStyle w:val="Compact"/>
            </w:pPr>
            <w:r>
              <w:t xml:space="preserve">Strict leadership is split between UCPR and TPRec on LastFM, whereas CAFE leads all four strict metrics on ML-1M.</w:t>
            </w:r>
          </w:p>
        </w:tc>
        <w:tc>
          <w:tcPr/>
          <w:p>
            <w:pPr>
              <w:pStyle w:val="Compact"/>
            </w:pPr>
            <w:r>
              <w:t xml:space="preserve">UCPR and TPRec on LastFM; CAFE on ML-1M</w:t>
            </w:r>
          </w:p>
        </w:tc>
        <w:tc>
          <w:tcPr/>
          <w:p>
            <w:pPr>
              <w:pStyle w:val="Compact"/>
            </w:pPr>
            <w:r>
              <w:t xml:space="preserve">Accuracy leadership is conditional on dataset and metric.</w:t>
            </w:r>
          </w:p>
        </w:tc>
        <w:tc>
          <w:tcPr/>
          <w:p>
            <w:pPr>
              <w:pStyle w:val="Compact"/>
            </w:pPr>
            <w:r>
              <w:t xml:space="preserve">The primary row-level strict JSON files are unavailable, and no statistical-significance artifact is registered.</w:t>
            </w:r>
          </w:p>
        </w:tc>
      </w:tr>
      <w:tr>
        <w:tc>
          <w:tcPr/>
          <w:p>
            <w:pPr>
              <w:pStyle w:val="Compact"/>
            </w:pPr>
            <w:r>
              <w:t xml:space="preserve">Accuracy leadership and explanation movement are different properties</w:t>
            </w:r>
          </w:p>
        </w:tc>
        <w:tc>
          <w:tcPr/>
          <w:p>
            <w:pPr>
              <w:pStyle w:val="Compact"/>
            </w:pPr>
            <w:r>
              <w:t xml:space="preserve">The strict leaders do not form one common ordering across the LIR, SEP, and ETD sweeps.</w:t>
            </w:r>
          </w:p>
        </w:tc>
        <w:tc>
          <w:tcPr/>
          <w:p>
            <w:pPr>
              <w:pStyle w:val="Compact"/>
            </w:pPr>
            <w:r>
              <w:t xml:space="preserve">LastFM strict leaders compared with PGPR LIR movement and TPRec ETD movement; CAFE on ML-1M</w:t>
            </w:r>
          </w:p>
        </w:tc>
        <w:tc>
          <w:tcPr/>
          <w:p>
            <w:pPr>
              <w:pStyle w:val="Compact"/>
            </w:pPr>
            <w:r>
              <w:t xml:space="preserve">Strict ranking position does not directly predict explanation-objective controllability.</w:t>
            </w:r>
          </w:p>
        </w:tc>
        <w:tc>
          <w:tcPr/>
          <w:p>
            <w:pPr>
              <w:pStyle w:val="Compact"/>
            </w:pPr>
            <w:r>
              <w:t xml:space="preserve">Sweep endpoints and paired ranking metrics are not strict accuracy measurements.</w:t>
            </w:r>
          </w:p>
        </w:tc>
      </w:tr>
      <w:tr>
        <w:tc>
          <w:tcPr/>
          <w:p>
            <w:pPr>
              <w:pStyle w:val="Compact"/>
            </w:pPr>
            <w:r>
              <w:t xml:space="preserve">The same explanation objective can have different paired ranking costs</w:t>
            </w:r>
          </w:p>
        </w:tc>
        <w:tc>
          <w:tcPr/>
          <w:p>
            <w:pPr>
              <w:pStyle w:val="Compact"/>
            </w:pPr>
            <w:r>
              <w:t xml:space="preserve">Models moving in the same objective direction retain different paired NDCG trajectories.</w:t>
            </w:r>
          </w:p>
        </w:tc>
        <w:tc>
          <w:tcPr/>
          <w:p>
            <w:pPr>
              <w:pStyle w:val="Compact"/>
            </w:pPr>
            <w:r>
              <w:t xml:space="preserve">PGPR and UCPR in the LIR and SEP sweeps on both datasets</w:t>
            </w:r>
          </w:p>
        </w:tc>
        <w:tc>
          <w:tcPr/>
          <w:p>
            <w:pPr>
              <w:pStyle w:val="Compact"/>
            </w:pPr>
            <w:r>
              <w:t xml:space="preserve">A shared objective does not imply a shared utility cost or operating point.</w:t>
            </w:r>
          </w:p>
        </w:tc>
        <w:tc>
          <w:tcPr/>
          <w:p>
            <w:pPr>
              <w:pStyle w:val="Compact"/>
            </w:pPr>
            <w:r>
              <w:t xml:space="preserve">The curves are descriptive and do not establish statistical significance or causal mechanism.</w:t>
            </w:r>
          </w:p>
        </w:tc>
      </w:tr>
      <w:tr>
        <w:tc>
          <w:tcPr/>
          <w:p>
            <w:pPr>
              <w:pStyle w:val="Compact"/>
            </w:pPr>
            <w:r>
              <w:t xml:space="preserve">LIR, SEP, and ETD produce different model orderings</w:t>
            </w:r>
          </w:p>
        </w:tc>
        <w:tc>
          <w:tcPr/>
          <w:p>
            <w:pPr>
              <w:pStyle w:val="Compact"/>
            </w:pPr>
            <w:r>
              <w:t xml:space="preserve">The largest or most visible movements change across explanation dimensions.</w:t>
            </w:r>
          </w:p>
        </w:tc>
        <w:tc>
          <w:tcPr/>
          <w:p>
            <w:pPr>
              <w:pStyle w:val="Compact"/>
            </w:pPr>
            <w:r>
              <w:t xml:space="preserve">PGPR for LastFM LIR, TPRec for LastFM ETD, and CAFE for ML-1M ETD</w:t>
            </w:r>
          </w:p>
        </w:tc>
        <w:tc>
          <w:tcPr/>
          <w:p>
            <w:pPr>
              <w:pStyle w:val="Compact"/>
            </w:pPr>
            <w:r>
              <w:t xml:space="preserve">The three metrics expose non-interchangeable path properties.</w:t>
            </w:r>
          </w:p>
        </w:tc>
        <w:tc>
          <w:tcPr/>
          <w:p>
            <w:pPr>
              <w:pStyle w:val="Compact"/>
            </w:pPr>
            <w:r>
              <w:t xml:space="preserve">Metric scales differ, and no endpoint constitutes overall explanation superiority.</w:t>
            </w:r>
          </w:p>
        </w:tc>
      </w:tr>
      <w:tr>
        <w:tc>
          <w:tcPr/>
          <w:p>
            <w:pPr>
              <w:pStyle w:val="Compact"/>
            </w:pPr>
            <w:r>
              <w:t xml:space="preserve">Flat response profiles are informative</w:t>
            </w:r>
          </w:p>
        </w:tc>
        <w:tc>
          <w:tcPr/>
          <w:p>
            <w:pPr>
              <w:pStyle w:val="Compact"/>
            </w:pPr>
            <w:r>
              <w:t xml:space="preserve">Some model-objective-dataset combinations show identical or only small endpoint movement.</w:t>
            </w:r>
          </w:p>
        </w:tc>
        <w:tc>
          <w:tcPr/>
          <w:p>
            <w:pPr>
              <w:pStyle w:val="Compact"/>
            </w:pPr>
            <w:r>
              <w:t xml:space="preserve">KGGLM on ML-1M; KGGLM and PEARLM in several LastFM sweeps</w:t>
            </w:r>
          </w:p>
        </w:tc>
        <w:tc>
          <w:tcPr/>
          <w:p>
            <w:pPr>
              <w:pStyle w:val="Compact"/>
            </w:pPr>
            <w:r>
              <w:t xml:space="preserve">The registered control exposes limited movement under the available native-path evidence.</w:t>
            </w:r>
          </w:p>
        </w:tc>
        <w:tc>
          <w:tcPr/>
          <w:p>
            <w:pPr>
              <w:pStyle w:val="Compact"/>
            </w:pPr>
            <w:r>
              <w:t xml:space="preserve">A flat profile does not identify its cause or establish poor explanation quality.</w:t>
            </w:r>
          </w:p>
        </w:tc>
      </w:tr>
      <w:tr>
        <w:tc>
          <w:tcPr/>
          <w:p>
            <w:pPr>
              <w:pStyle w:val="Compact"/>
            </w:pPr>
            <w:r>
              <w:t xml:space="preserve">Trade-off profiles are dataset-dependent</w:t>
            </w:r>
          </w:p>
        </w:tc>
        <w:tc>
          <w:tcPr/>
          <w:p>
            <w:pPr>
              <w:pStyle w:val="Compact"/>
            </w:pPr>
            <w:r>
              <w:t xml:space="preserve">Movement scale, ordering, and paired cost change between LastFM and ML-1M.</w:t>
            </w:r>
          </w:p>
        </w:tc>
        <w:tc>
          <w:tcPr/>
          <w:p>
            <w:pPr>
              <w:pStyle w:val="Compact"/>
            </w:pPr>
            <w:r>
              <w:t xml:space="preserve">PGPR, UCPR, CAFE, and TPRec across the two datasets</w:t>
            </w:r>
          </w:p>
        </w:tc>
        <w:tc>
          <w:tcPr/>
          <w:p>
            <w:pPr>
              <w:pStyle w:val="Compact"/>
            </w:pPr>
            <w:r>
              <w:t xml:space="preserve">A profile observed on one dataset should not be transferred as a universal model property.</w:t>
            </w:r>
          </w:p>
        </w:tc>
        <w:tc>
          <w:tcPr/>
          <w:p>
            <w:pPr>
              <w:pStyle w:val="Compact"/>
            </w:pPr>
            <w:r>
              <w:t xml:space="preserve">Only two datasets provide complete six-model trade-off evidence.</w:t>
            </w:r>
          </w:p>
        </w:tc>
      </w:tr>
      <w:tr>
        <w:tc>
          <w:tcPr/>
          <w:p>
            <w:pPr>
              <w:pStyle w:val="Compact"/>
            </w:pPr>
            <w:r>
              <w:t xml:space="preserve">Mechanism interpretation requires Chapter 5 evidence</w:t>
            </w:r>
          </w:p>
        </w:tc>
        <w:tc>
          <w:tcPr/>
          <w:p>
            <w:pPr>
              <w:pStyle w:val="Compact"/>
            </w:pPr>
            <w:r>
              <w:t xml:space="preserve">Comparative curves reveal heterogeneity but cannot determine why it occurs.</w:t>
            </w:r>
          </w:p>
        </w:tc>
        <w:tc>
          <w:tcPr/>
          <w:p>
            <w:pPr>
              <w:pStyle w:val="Compact"/>
            </w:pPr>
            <w:r>
              <w:t xml:space="preserve">PGPR/UCPR ablation versus descriptive context for CAFE, TPRec, KGGLM, and PEARLM</w:t>
            </w:r>
          </w:p>
        </w:tc>
        <w:tc>
          <w:tcPr/>
          <w:p>
            <w:pPr>
              <w:pStyle w:val="Compact"/>
            </w:pPr>
            <w:r>
              <w:t xml:space="preserve">Result-level findings motivate, but do not replace, ablation and mechanism analysis.</w:t>
            </w:r>
          </w:p>
        </w:tc>
        <w:tc>
          <w:tcPr/>
          <w:p>
            <w:pPr>
              <w:pStyle w:val="Compact"/>
            </w:pPr>
            <w:r>
              <w:t xml:space="preserve">Stronger mechanism statements are limited to the registered PGPR/UCPR ablation; other explanations remain descriptive.</w:t>
            </w:r>
          </w:p>
        </w:tc>
      </w:tr>
    </w:tbl>
    <w:p>
      <w:pPr>
        <w:pStyle w:val="BodyText"/>
      </w:pPr>
      <w:r>
        <w:rPr>
          <w:b/>
          <w:bCs/>
        </w:rPr>
        <w:t xml:space="preserve">Table 4.3. Empirical trade-off pattern summary.</w:t>
      </w:r>
    </w:p>
    <w:p>
      <w:pPr>
        <w:pStyle w:val="BodyText"/>
      </w:pPr>
      <w:r>
        <w:t xml:space="preserve">This summary closes the result-level analysis. It identifies what the validated outputs show while leaving causal attribution, ablation-supported controllability, and dataset-boundary interpretation to Chapter 5.</w:t>
      </w:r>
    </w:p>
    <w:p>
      <w:r>
        <w:pict>
          <v:rect style="width:0;height:1.5pt" o:hralign="center" o:hrstd="t" o:hr="t"/>
        </w:pict>
      </w:r>
    </w:p>
    <w:bookmarkEnd w:id="76"/>
    <w:bookmarkEnd w:id="77"/>
    <w:bookmarkStart w:id="89" w:name="X7100248e92ee5cc1de3f269065d2cbf05ec419e"/>
    <w:p>
      <w:pPr>
        <w:pStyle w:val="Heading1"/>
      </w:pPr>
      <w:r>
        <w:t xml:space="preserve">Chapter 5 Ablation, Mechanism Analysis, and Boundary Cases</w:t>
      </w:r>
    </w:p>
    <w:bookmarkStart w:id="81" w:name="X23e5b507182636d83b6f718c9ea9c8cdf3d57f1"/>
    <w:p>
      <w:pPr>
        <w:pStyle w:val="Heading2"/>
      </w:pPr>
      <w:r>
        <w:t xml:space="preserve">5.1 Ablation Analysis of Framework Controllability</w:t>
      </w:r>
    </w:p>
    <w:p>
      <w:pPr>
        <w:pStyle w:val="FirstParagrap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pPr>
      <w:r>
        <w:t xml:space="preserve">The experiment uses a strict baseline-preserving canonical alpha sweep over the frozen original top-k item set. PGPR is the main ablation model and UCPR is an auxiliary replication. On both LastFM and ML-1M, the alpha=0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pPr>
      <w:r>
        <w:t xml:space="preserve">Baseline preservation is formalised as</w:t>
      </w:r>
    </w:p>
    <w:p>
      <w:pPr>
        <w:pStyle w:val="BodyText"/>
      </w:pPr>
      <w:r>
        <w:t xml:space="preserve">[</w:t>
      </w:r>
      <w:r>
        <w:t xml:space="preserve"> </w:t>
      </w:r>
      <w:r>
        <w:t xml:space="preserve">D_{</w:t>
      </w:r>
      <w:r>
        <w:t xml:space="preserve">}</w:t>
      </w:r>
      <w:r>
        <w:t xml:space="preserve"> </w:t>
      </w:r>
      <w:r>
        <w:t xml:space="preserve">=</w:t>
      </w:r>
      <w:r>
        <w:t xml:space="preserve"> </w:t>
      </w:r>
      <w:r>
        <w:t xml:space="preserve">_{u}</w:t>
      </w:r>
      <w:r>
        <w:t xml:space="preserve"> </w:t>
      </w:r>
      <w:r>
        <w:t xml:space="preserve"> </w:t>
      </w:r>
      <w:r>
        <w:t xml:space="preserve">.</w:t>
      </w:r>
      <w:r>
        <w:t xml:space="preserve"> </w:t>
      </w:r>
      <w:r>
        <w:t xml:space="preserve">]</w:t>
      </w:r>
    </w:p>
    <w:p>
      <w:pPr>
        <w:pStyle w:val="BodyText"/>
      </w:pPr>
      <w:r>
        <w:t xml:space="preserve">When (D_{</w:t>
      </w:r>
      <w:r>
        <w:t xml:space="preserve">}=0), the ablation sweep preserves the alpha-zero baseline recommendation list under the tested condition.</w:t>
      </w:r>
    </w:p>
    <w:p>
      <w:pPr>
        <w:pStyle w:val="BodyText"/>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Dataset</w:t>
            </w:r>
          </w:p>
        </w:tc>
        <w:tc>
          <w:tcPr/>
          <w:p>
            <w:pPr>
              <w:pStyle w:val="Compact"/>
            </w:pPr>
            <w:r>
              <w:t xml:space="preserve">Model</w:t>
            </w:r>
          </w:p>
        </w:tc>
        <w:tc>
          <w:tcPr/>
          <w:p>
            <w:pPr>
              <w:pStyle w:val="Compact"/>
            </w:pPr>
            <w:r>
              <w:t xml:space="preserve">Role</w:t>
            </w:r>
          </w:p>
        </w:tc>
        <w:tc>
          <w:tcPr/>
          <w:p>
            <w:pPr>
              <w:pStyle w:val="Compact"/>
            </w:pPr>
            <w:r>
              <w:t xml:space="preserve">Objective</w:t>
            </w:r>
          </w:p>
        </w:tc>
        <w:tc>
          <w:tcPr/>
          <w:p>
            <w:pPr>
              <w:pStyle w:val="Compact"/>
            </w:pPr>
            <w:r>
              <w:t xml:space="preserve">Alpha=0 preservation</w:t>
            </w:r>
          </w:p>
        </w:tc>
        <w:tc>
          <w:tcPr/>
          <w:p>
            <w:pPr>
              <w:pStyle w:val="Compact"/>
            </w:pPr>
            <w:r>
              <w:t xml:space="preserve">Selected alpha</w:t>
            </w:r>
          </w:p>
        </w:tc>
        <w:tc>
          <w:tcPr/>
          <w:p>
            <w:pPr>
              <w:pStyle w:val="Compact"/>
            </w:pPr>
            <w:r>
              <w:t xml:space="preserve">NDCG retention (%)</w:t>
            </w:r>
          </w:p>
        </w:tc>
        <w:tc>
          <w:tcPr/>
          <w:p>
            <w:pPr>
              <w:pStyle w:val="Compact"/>
            </w:pPr>
            <w:r>
              <w:t xml:space="preserve">Explanation gain (%)</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99.94241852350147</w:t>
            </w:r>
          </w:p>
        </w:tc>
        <w:tc>
          <w:tcPr/>
          <w:p>
            <w:pPr>
              <w:pStyle w:val="Compact"/>
            </w:pPr>
            <w:r>
              <w:t xml:space="preserve">502.1737281916887</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SEP</w:t>
            </w:r>
          </w:p>
        </w:tc>
        <w:tc>
          <w:tcPr/>
          <w:p>
            <w:pPr>
              <w:pStyle w:val="Compact"/>
            </w:pPr>
            <w:r>
              <w:t xml:space="preserve">PASS</w:t>
            </w:r>
          </w:p>
        </w:tc>
        <w:tc>
          <w:tcPr/>
          <w:p>
            <w:pPr>
              <w:pStyle w:val="Compact"/>
            </w:pPr>
            <w:r>
              <w:t xml:space="preserve">0.75</w:t>
            </w:r>
          </w:p>
        </w:tc>
        <w:tc>
          <w:tcPr/>
          <w:p>
            <w:pPr>
              <w:pStyle w:val="Compact"/>
            </w:pPr>
            <w:r>
              <w:t xml:space="preserve">95.12533360322276</w:t>
            </w:r>
          </w:p>
        </w:tc>
        <w:tc>
          <w:tcPr/>
          <w:p>
            <w:pPr>
              <w:pStyle w:val="Compact"/>
            </w:pPr>
            <w:r>
              <w:t xml:space="preserve">35.0627858616846</w:t>
            </w:r>
          </w:p>
        </w:tc>
      </w:tr>
      <w:tr>
        <w:tc>
          <w:tcPr/>
          <w:p>
            <w:pPr>
              <w:pStyle w:val="Compact"/>
            </w:pPr>
            <w:r>
              <w:t xml:space="preserve">LastFM</w:t>
            </w:r>
          </w:p>
        </w:tc>
        <w:tc>
          <w:tcPr/>
          <w:p>
            <w:pPr>
              <w:pStyle w:val="Compact"/>
            </w:pPr>
            <w:r>
              <w:t xml:space="preserve">PGPR</w:t>
            </w:r>
          </w:p>
        </w:tc>
        <w:tc>
          <w:tcPr/>
          <w:p>
            <w:pPr>
              <w:pStyle w:val="Compact"/>
            </w:pPr>
            <w:r>
              <w:t xml:space="preserve">main</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98.85509635280121</w:t>
            </w:r>
          </w:p>
        </w:tc>
        <w:tc>
          <w:tcPr/>
          <w:p>
            <w:pPr>
              <w:pStyle w:val="Compact"/>
            </w:pPr>
            <w:r>
              <w:t xml:space="preserve">3.470375996962718</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99.95795802784167</w:t>
            </w:r>
          </w:p>
        </w:tc>
        <w:tc>
          <w:tcPr/>
          <w:p>
            <w:pPr>
              <w:pStyle w:val="Compact"/>
            </w:pPr>
            <w:r>
              <w:t xml:space="preserve">124.7617652717867</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SEP</w:t>
            </w:r>
          </w:p>
        </w:tc>
        <w:tc>
          <w:tcPr/>
          <w:p>
            <w:pPr>
              <w:pStyle w:val="Compact"/>
            </w:pPr>
            <w:r>
              <w:t xml:space="preserve">PASS</w:t>
            </w:r>
          </w:p>
        </w:tc>
        <w:tc>
          <w:tcPr/>
          <w:p>
            <w:pPr>
              <w:pStyle w:val="Compact"/>
            </w:pPr>
            <w:r>
              <w:t xml:space="preserve">0.9</w:t>
            </w:r>
          </w:p>
        </w:tc>
        <w:tc>
          <w:tcPr/>
          <w:p>
            <w:pPr>
              <w:pStyle w:val="Compact"/>
            </w:pPr>
            <w:r>
              <w:t xml:space="preserve">101.10176774608024</w:t>
            </w:r>
          </w:p>
        </w:tc>
        <w:tc>
          <w:tcPr/>
          <w:p>
            <w:pPr>
              <w:pStyle w:val="Compact"/>
            </w:pPr>
            <w:r>
              <w:t xml:space="preserve">41.10245965558706</w:t>
            </w:r>
          </w:p>
        </w:tc>
      </w:tr>
      <w:tr>
        <w:tc>
          <w:tcPr/>
          <w:p>
            <w:pPr>
              <w:pStyle w:val="Compact"/>
            </w:pPr>
            <w:r>
              <w:t xml:space="preserve">LastFM</w:t>
            </w:r>
          </w:p>
        </w:tc>
        <w:tc>
          <w:tcPr/>
          <w:p>
            <w:pPr>
              <w:pStyle w:val="Compact"/>
            </w:pPr>
            <w:r>
              <w:t xml:space="preserve">UCPR</w:t>
            </w:r>
          </w:p>
        </w:tc>
        <w:tc>
          <w:tcPr/>
          <w:p>
            <w:pPr>
              <w:pStyle w:val="Compact"/>
            </w:pPr>
            <w:r>
              <w:t xml:space="preserve">auxiliary</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99.90177945338043</w:t>
            </w:r>
          </w:p>
        </w:tc>
        <w:tc>
          <w:tcPr/>
          <w:p>
            <w:pPr>
              <w:pStyle w:val="Compact"/>
            </w:pPr>
            <w:r>
              <w:t xml:space="preserve">17.41093828399619</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LIR</w:t>
            </w:r>
          </w:p>
        </w:tc>
        <w:tc>
          <w:tcPr/>
          <w:p>
            <w:pPr>
              <w:pStyle w:val="Compact"/>
            </w:pPr>
            <w:r>
              <w:t xml:space="preserve">PASS</w:t>
            </w:r>
          </w:p>
        </w:tc>
        <w:tc>
          <w:tcPr/>
          <w:p>
            <w:pPr>
              <w:pStyle w:val="Compact"/>
            </w:pPr>
            <w:r>
              <w:t xml:space="preserve">0.55</w:t>
            </w:r>
          </w:p>
        </w:tc>
        <w:tc>
          <w:tcPr/>
          <w:p>
            <w:pPr>
              <w:pStyle w:val="Compact"/>
            </w:pPr>
            <w:r>
              <w:t xml:space="preserve">99.07457875982178</w:t>
            </w:r>
          </w:p>
        </w:tc>
        <w:tc>
          <w:tcPr/>
          <w:p>
            <w:pPr>
              <w:pStyle w:val="Compact"/>
            </w:pPr>
            <w:r>
              <w:t xml:space="preserve">56.30628040894491</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SEP</w:t>
            </w:r>
          </w:p>
        </w:tc>
        <w:tc>
          <w:tcPr/>
          <w:p>
            <w:pPr>
              <w:pStyle w:val="Compact"/>
            </w:pPr>
            <w:r>
              <w:t xml:space="preserve">PASS</w:t>
            </w:r>
          </w:p>
        </w:tc>
        <w:tc>
          <w:tcPr/>
          <w:p>
            <w:pPr>
              <w:pStyle w:val="Compact"/>
            </w:pPr>
            <w:r>
              <w:t xml:space="preserve">0.95</w:t>
            </w:r>
          </w:p>
        </w:tc>
        <w:tc>
          <w:tcPr/>
          <w:p>
            <w:pPr>
              <w:pStyle w:val="Compact"/>
            </w:pPr>
            <w:r>
              <w:t xml:space="preserve">95.09754201603725</w:t>
            </w:r>
          </w:p>
        </w:tc>
        <w:tc>
          <w:tcPr/>
          <w:p>
            <w:pPr>
              <w:pStyle w:val="Compact"/>
            </w:pPr>
            <w:r>
              <w:t xml:space="preserve">47.71258507195951</w:t>
            </w:r>
          </w:p>
        </w:tc>
      </w:tr>
      <w:tr>
        <w:tc>
          <w:tcPr/>
          <w:p>
            <w:pPr>
              <w:pStyle w:val="Compact"/>
            </w:pPr>
            <w:r>
              <w:t xml:space="preserve">ML-1M</w:t>
            </w:r>
          </w:p>
        </w:tc>
        <w:tc>
          <w:tcPr/>
          <w:p>
            <w:pPr>
              <w:pStyle w:val="Compact"/>
            </w:pPr>
            <w:r>
              <w:t xml:space="preserve">PGPR</w:t>
            </w:r>
          </w:p>
        </w:tc>
        <w:tc>
          <w:tcPr/>
          <w:p>
            <w:pPr>
              <w:pStyle w:val="Compact"/>
            </w:pPr>
            <w:r>
              <w:t xml:space="preserve">main</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99.37594565492147</w:t>
            </w:r>
          </w:p>
        </w:tc>
        <w:tc>
          <w:tcPr/>
          <w:p>
            <w:pPr>
              <w:pStyle w:val="Compact"/>
            </w:pPr>
            <w:r>
              <w:t xml:space="preserve">15.270284027279294</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LIR</w:t>
            </w:r>
          </w:p>
        </w:tc>
        <w:tc>
          <w:tcPr/>
          <w:p>
            <w:pPr>
              <w:pStyle w:val="Compact"/>
            </w:pPr>
            <w:r>
              <w:t xml:space="preserve">PASS</w:t>
            </w:r>
          </w:p>
        </w:tc>
        <w:tc>
          <w:tcPr/>
          <w:p>
            <w:pPr>
              <w:pStyle w:val="Compact"/>
            </w:pPr>
            <w:r>
              <w:t xml:space="preserve">1.0</w:t>
            </w:r>
          </w:p>
        </w:tc>
        <w:tc>
          <w:tcPr/>
          <w:p>
            <w:pPr>
              <w:pStyle w:val="Compact"/>
            </w:pPr>
            <w:r>
              <w:t xml:space="preserve">97.17021367334252</w:t>
            </w:r>
          </w:p>
        </w:tc>
        <w:tc>
          <w:tcPr/>
          <w:p>
            <w:pPr>
              <w:pStyle w:val="Compact"/>
            </w:pPr>
            <w:r>
              <w:t xml:space="preserve">44.48710687121857</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SEP</w:t>
            </w:r>
          </w:p>
        </w:tc>
        <w:tc>
          <w:tcPr/>
          <w:p>
            <w:pPr>
              <w:pStyle w:val="Compact"/>
            </w:pPr>
            <w:r>
              <w:t xml:space="preserve">PASS</w:t>
            </w:r>
          </w:p>
        </w:tc>
        <w:tc>
          <w:tcPr/>
          <w:p>
            <w:pPr>
              <w:pStyle w:val="Compact"/>
            </w:pPr>
            <w:r>
              <w:t xml:space="preserve">0.75</w:t>
            </w:r>
          </w:p>
        </w:tc>
        <w:tc>
          <w:tcPr/>
          <w:p>
            <w:pPr>
              <w:pStyle w:val="Compact"/>
            </w:pPr>
            <w:r>
              <w:t xml:space="preserve">96.92673514557228</w:t>
            </w:r>
          </w:p>
        </w:tc>
        <w:tc>
          <w:tcPr/>
          <w:p>
            <w:pPr>
              <w:pStyle w:val="Compact"/>
            </w:pPr>
            <w:r>
              <w:t xml:space="preserve">33.386449222625174</w:t>
            </w:r>
          </w:p>
        </w:tc>
      </w:tr>
      <w:tr>
        <w:tc>
          <w:tcPr/>
          <w:p>
            <w:pPr>
              <w:pStyle w:val="Compact"/>
            </w:pPr>
            <w:r>
              <w:t xml:space="preserve">ML-1M</w:t>
            </w:r>
          </w:p>
        </w:tc>
        <w:tc>
          <w:tcPr/>
          <w:p>
            <w:pPr>
              <w:pStyle w:val="Compact"/>
            </w:pPr>
            <w:r>
              <w:t xml:space="preserve">UCPR</w:t>
            </w:r>
          </w:p>
        </w:tc>
        <w:tc>
          <w:tcPr/>
          <w:p>
            <w:pPr>
              <w:pStyle w:val="Compact"/>
            </w:pPr>
            <w:r>
              <w:t xml:space="preserve">auxiliary</w:t>
            </w:r>
          </w:p>
        </w:tc>
        <w:tc>
          <w:tcPr/>
          <w:p>
            <w:pPr>
              <w:pStyle w:val="Compact"/>
            </w:pPr>
            <w:r>
              <w:t xml:space="preserve">ETD</w:t>
            </w:r>
          </w:p>
        </w:tc>
        <w:tc>
          <w:tcPr/>
          <w:p>
            <w:pPr>
              <w:pStyle w:val="Compact"/>
            </w:pPr>
            <w:r>
              <w:t xml:space="preserve">PASS</w:t>
            </w:r>
          </w:p>
        </w:tc>
        <w:tc>
          <w:tcPr/>
          <w:p>
            <w:pPr>
              <w:pStyle w:val="Compact"/>
            </w:pPr>
            <w:r>
              <w:t xml:space="preserve">1.0</w:t>
            </w:r>
          </w:p>
        </w:tc>
        <w:tc>
          <w:tcPr/>
          <w:p>
            <w:pPr>
              <w:pStyle w:val="Compact"/>
            </w:pPr>
            <w:r>
              <w:t xml:space="preserve">98.6577020832832</w:t>
            </w:r>
          </w:p>
        </w:tc>
        <w:tc>
          <w:tcPr/>
          <w:p>
            <w:pPr>
              <w:pStyle w:val="Compact"/>
            </w:pPr>
            <w:r>
              <w:t xml:space="preserve">5.914101102243362</w:t>
            </w:r>
          </w:p>
        </w:tc>
      </w:tr>
    </w:tbl>
    <w:p>
      <w:pPr>
        <w:pStyle w:val="BodyText"/>
      </w:pPr>
      <w:r>
        <w:rPr>
          <w:b/>
          <w:bCs/>
        </w:rPr>
        <w:t xml:space="preserve">Table 5.1.</w:t>
      </w:r>
      <w:r>
        <w:t xml:space="preserve"> </w:t>
      </w:r>
      <w:r>
        <w:t xml:space="preserve">Registered PGPR/UCPR ablation evidence, including alpha-zero preservation and operating points selected under the 95% NDCG-retention rule. The evidence is confined to the frozen-item-set ablation protocol and does not establish six-model superiority.</w:t>
      </w:r>
    </w:p>
    <w:p>
      <w:pPr>
        <w:pStyle w:val="BodyText"/>
      </w:pPr>
      <w:r>
        <w:t xml:space="preserve">For the ablation evidence stream, NDCG retention is</w:t>
      </w:r>
    </w:p>
    <w:p>
      <w:pPr>
        <w:pStyle w:val="BodyText"/>
      </w:pPr>
      <w:r>
        <w:t xml:space="preserve">[</w:t>
      </w:r>
      <w:r>
        <w:t xml:space="preserve"> </w:t>
      </w:r>
      <w:r>
        <w:t xml:space="preserve">_{m,d,q}(</w:t>
      </w:r>
      <w:r>
        <w:t xml:space="preserve">)</w:t>
      </w:r>
      <w:r>
        <w:t xml:space="preserve"> </w:t>
      </w:r>
      <w:r>
        <w:t xml:space="preserve">=</w:t>
      </w:r>
      <w:r>
        <w:t xml:space="preserve"> </w:t>
      </w:r>
      <w:r>
        <w:t xml:space="preserve">.</w:t>
      </w:r>
      <w:r>
        <w:t xml:space="preserve"> </w:t>
      </w:r>
      <w:r>
        <w:t xml:space="preserve">]</w:t>
      </w:r>
    </w:p>
    <w:p>
      <w:pPr>
        <w:pStyle w:val="BodyText"/>
      </w:pPr>
      <w:r>
        <w:t xml:space="preserve">The constrained operating point is</w:t>
      </w:r>
    </w:p>
    <w:p>
      <w:pPr>
        <w:pStyle w:val="BodyText"/>
      </w:pPr>
      <w:r>
        <w:t xml:space="preserve">[</w:t>
      </w:r>
      <w:r>
        <w:t xml:space="preserve"> </w:t>
      </w:r>
      <w:r>
        <w:t xml:space="preserve">^{*}</w:t>
      </w:r>
      <w:r>
        <w:t xml:space="preserve"> </w:t>
      </w:r>
      <w:r>
        <w:t xml:space="preserve">=</w:t>
      </w:r>
      <w:r>
        <w:t xml:space="preserve"> </w:t>
      </w:r>
      <w:r>
        <w:rPr>
          <w:i/>
          <w:iCs/>
        </w:rPr>
        <w:t xml:space="preserve">{</w:t>
      </w:r>
      <w:r>
        <w:rPr>
          <w:i/>
          <w:iCs/>
        </w:rPr>
        <w:t xml:space="preserve">}</w:t>
      </w:r>
      <w:r>
        <w:rPr>
          <w:i/>
          <w:iCs/>
        </w:rPr>
        <w:t xml:space="preserve"> </w:t>
      </w:r>
      <w:r>
        <w:rPr>
          <w:i/>
          <w:iCs/>
        </w:rPr>
        <w:t xml:space="preserve">Q</w:t>
      </w:r>
      <w:r>
        <w:t xml:space="preserve">{m,d}^{q}(</w:t>
      </w:r>
      <w:r>
        <w:t xml:space="preserve">)</w:t>
      </w:r>
      <w:r>
        <w:t xml:space="preserve"> </w:t>
      </w:r>
      <w:r>
        <w:t xml:space="preserve"> </w:t>
      </w:r>
      <w:r>
        <w:t xml:space="preserve"> </w:t>
      </w:r>
      <w:r>
        <w:t xml:space="preserve"> </w:t>
      </w:r>
      <w:r>
        <w:t xml:space="preserve">_{m,d,q}(</w:t>
      </w:r>
      <w:r>
        <w:t xml:space="preserve">)</w:t>
      </w:r>
      <w:r>
        <w:t xml:space="preserve"> </w:t>
      </w:r>
      <w:r>
        <w:t xml:space="preserve">.</w:t>
      </w:r>
      <w:r>
        <w:t xml:space="preserve"> </w:t>
      </w:r>
      <w:r>
        <w:t xml:space="preserve">]</w:t>
      </w:r>
    </w:p>
    <w:p>
      <w:pPr>
        <w:pStyle w:val="BodyText"/>
      </w:pPr>
      <w:r>
        <w:t xml:space="preserve">This formalises the operating-point selection used in the ablation evidence stream. It does not define six-model superiority and must not be mixed with strict accuracy results.</w:t>
      </w:r>
    </w:p>
    <w:p>
      <w:pPr>
        <w:pStyle w:val="BodyText"/>
      </w:pPr>
      <w:r>
        <w:t xml:space="preserve">The 95% retention operating-point diagram restates this constrained selection as a decision flow. The threshold applies only to the registered ablation stream and is not a general model-ranking criterion.</w:t>
      </w:r>
    </w:p>
    <w:p>
      <w:pPr>
        <w:pStyle w:val="BodyText"/>
      </w:pPr>
      <w:r>
        <w:t xml:space="preserve">The scale of movement is also objective-dependent. The selected LastFM PGPR LIR setting records a 502.1737281916887% explanation gain with 99.94241852350147% NDCG retention, whereas the selected ETD setting records a 3.470375996962718% gain with 98.85509635280121% retention. These percentages are not directly comparable because LIR and ETD use different scales and represent different path properties. They demonstrate that the same retention rule can expose different response ranges across objectives.</w:t>
      </w:r>
    </w:p>
    <w:p>
      <w:pPr>
        <w:pStyle w:val="BodyText"/>
      </w:pPr>
      <w:r>
        <w:t xml:space="preserve">UCPR supplies an auxiliary protocol check rather than a second main ablation claim. Its alpha=0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pPr>
      <w:r>
        <w:t xml:space="preserve">Figure 5.1 presents the registered PGPR/UCPR trade-off curves for LastFM and ML-1M. Together with Table 5.1, the evidence supports a bounded conclusion: the framework provides an auditable control variable, exactly preserves the registered ranking at alpha=0, and identifies explanation-oriented operating points under an explicit NDCG-retention constraint.</w:t>
      </w:r>
    </w:p>
    <w:p>
      <w:pPr>
        <w:pStyle w:val="BodyText"/>
      </w:pPr>
      <w:r>
        <w:drawing>
          <wp:inline>
            <wp:extent cx="4699000" cy="2093602"/>
            <wp:effectExtent b="0" l="0" r="0" t="0"/>
            <wp:docPr descr="Figure 5.1 PGPR/UCPR ablation" title="" id="79" name="Picture"/>
            <a:graphic>
              <a:graphicData uri="http://schemas.openxmlformats.org/drawingml/2006/picture">
                <pic:pic>
                  <pic:nvPicPr>
                    <pic:cNvPr descr="paper/current_dissertation/figures/png/figure_5_1_pgpr_ucpr_ablation_final.png" id="80" name="Picture"/>
                    <pic:cNvPicPr>
                      <a:picLocks noChangeArrowheads="1" noChangeAspect="1"/>
                    </pic:cNvPicPr>
                  </pic:nvPicPr>
                  <pic:blipFill>
                    <a:blip r:embed="rId78"/>
                    <a:stretch>
                      <a:fillRect/>
                    </a:stretch>
                  </pic:blipFill>
                  <pic:spPr bwMode="auto">
                    <a:xfrm>
                      <a:off x="0" y="0"/>
                      <a:ext cx="4699000" cy="2093602"/>
                    </a:xfrm>
                    <a:prstGeom prst="rect">
                      <a:avLst/>
                    </a:prstGeom>
                    <a:noFill/>
                    <a:ln w="9525">
                      <a:noFill/>
                      <a:headEnd/>
                      <a:tailEnd/>
                    </a:ln>
                  </pic:spPr>
                </pic:pic>
              </a:graphicData>
            </a:graphic>
          </wp:inline>
        </w:drawing>
      </w:r>
    </w:p>
    <w:p>
      <w:pPr>
        <w:pStyle w:val="BodyText"/>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p>
    <w:bookmarkEnd w:id="81"/>
    <w:bookmarkStart w:id="82" w:name="X6ed1abef81bcbe5c67a5bddb0f7703e57bfcd1a"/>
    <w:p>
      <w:pPr>
        <w:pStyle w:val="Heading2"/>
      </w:pPr>
      <w:r>
        <w:t xml:space="preserve">5.2 Mechanism-Level Comparison of Native-Path Models</w:t>
      </w:r>
    </w:p>
    <w:p>
      <w:pPr>
        <w:pStyle w:val="FirstParagrap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Mechanism family / source</w:t>
            </w:r>
          </w:p>
        </w:tc>
        <w:tc>
          <w:tcPr/>
          <w:p>
            <w:pPr>
              <w:pStyle w:val="Compact"/>
            </w:pPr>
            <w:r>
              <w:t xml:space="preserve">Models or metrics</w:t>
            </w:r>
          </w:p>
        </w:tc>
        <w:tc>
          <w:tcPr/>
          <w:p>
            <w:pPr>
              <w:pStyle w:val="Compact"/>
            </w:pPr>
            <w:r>
              <w:t xml:space="preserve">Evidence grade in this dissertation</w:t>
            </w:r>
          </w:p>
        </w:tc>
        <w:tc>
          <w:tcPr/>
          <w:p>
            <w:pPr>
              <w:pStyle w:val="Compact"/>
            </w:pPr>
            <w:r>
              <w:t xml:space="preserve">Supported wording</w:t>
            </w:r>
          </w:p>
        </w:tc>
        <w:tc>
          <w:tcPr/>
          <w:p>
            <w:pPr>
              <w:pStyle w:val="Compact"/>
            </w:pPr>
            <w:r>
              <w:t xml:space="preserve">Citation status</w:t>
            </w:r>
          </w:p>
        </w:tc>
        <w:tc>
          <w:tcPr/>
          <w:p>
            <w:pPr>
              <w:pStyle w:val="Compact"/>
            </w:pPr>
            <w:r>
              <w:t xml:space="preserve">Boundary</w:t>
            </w:r>
          </w:p>
        </w:tc>
      </w:tr>
      <w:tr>
        <w:tc>
          <w:tcPr/>
          <w:p>
            <w:pPr>
              <w:pStyle w:val="Compact"/>
            </w:pPr>
            <w:r>
              <w:t xml:space="preserve">Reinforcement-learning path search</w:t>
            </w:r>
          </w:p>
        </w:tc>
        <w:tc>
          <w:tcPr/>
          <w:p>
            <w:pPr>
              <w:pStyle w:val="Compact"/>
            </w:pPr>
            <w:r>
              <w:t xml:space="preserve">PGPR; UCPR</w:t>
            </w:r>
          </w:p>
        </w:tc>
        <w:tc>
          <w:tcPr/>
          <w:p>
            <w:pPr>
              <w:pStyle w:val="Compact"/>
            </w:pPr>
            <w:r>
              <w:t xml:space="preserve">Stronger internal evidence for the registered ablation; architectural context from primary papers</w:t>
            </w:r>
          </w:p>
        </w:tc>
        <w:tc>
          <w:tcPr/>
          <w:p>
            <w:pPr>
              <w:pStyle w:val="Compact"/>
            </w:pPr>
            <w:r>
              <w:t xml:space="preserve">The registered PGPR/UCPR path or explanation selection layer is controllable under the frozen-item-set protocol.</w:t>
            </w:r>
          </w:p>
        </w:tc>
        <w:tc>
          <w:tcPr/>
          <w:p>
            <w:pPr>
              <w:pStyle w:val="Compact"/>
            </w:pPr>
            <w:r>
              <w:t xml:space="preserve">PGPR verified; UCPR verified</w:t>
            </w:r>
          </w:p>
        </w:tc>
        <w:tc>
          <w:tcPr/>
          <w:p>
            <w:pPr>
              <w:pStyle w:val="Compact"/>
            </w:pPr>
            <w:r>
              <w:t xml:space="preserve">Does not show that reinforcement learning causes all curve differences or improves the underlying recommenders.</w:t>
            </w:r>
          </w:p>
        </w:tc>
      </w:tr>
      <w:tr>
        <w:tc>
          <w:tcPr/>
          <w:p>
            <w:pPr>
              <w:pStyle w:val="Compact"/>
            </w:pPr>
            <w:r>
              <w:t xml:space="preserve">Coarse-to-fine neural-symbolic reasoning</w:t>
            </w:r>
          </w:p>
        </w:tc>
        <w:tc>
          <w:tcPr/>
          <w:p>
            <w:pPr>
              <w:pStyle w:val="Compact"/>
            </w:pPr>
            <w:r>
              <w:t xml:space="preserve">CAFE</w:t>
            </w:r>
          </w:p>
        </w:tc>
        <w:tc>
          <w:tcPr/>
          <w:p>
            <w:pPr>
              <w:pStyle w:val="Compact"/>
            </w:pPr>
            <w:r>
              <w:t xml:space="preserve">Descriptive mechanism context</w:t>
            </w:r>
          </w:p>
        </w:tc>
        <w:tc>
          <w:tcPr/>
          <w:p>
            <w:pPr>
              <w:pStyle w:val="Compact"/>
            </w:pPr>
            <w:r>
              <w:t xml:space="preserve">High strict accuracy and visible explanation movement coexist in the registered ML-1M results.</w:t>
            </w:r>
          </w:p>
        </w:tc>
        <w:tc>
          <w:tcPr/>
          <w:p>
            <w:pPr>
              <w:pStyle w:val="Compact"/>
            </w:pPr>
            <w:r>
              <w:t xml:space="preserve">CAFE verified</w:t>
            </w:r>
          </w:p>
        </w:tc>
        <w:tc>
          <w:tcPr/>
          <w:p>
            <w:pPr>
              <w:pStyle w:val="Compact"/>
            </w:pPr>
            <w:r>
              <w:t xml:space="preserve">No CAFE-specific module ablation establishes the cause of the curve shape.</w:t>
            </w:r>
          </w:p>
        </w:tc>
      </w:tr>
      <w:tr>
        <w:tc>
          <w:tcPr/>
          <w:p>
            <w:pPr>
              <w:pStyle w:val="Compact"/>
            </w:pPr>
            <w:r>
              <w:t xml:space="preserve">Time-aware path reasoning</w:t>
            </w:r>
          </w:p>
        </w:tc>
        <w:tc>
          <w:tcPr/>
          <w:p>
            <w:pPr>
              <w:pStyle w:val="Compact"/>
            </w:pPr>
            <w:r>
              <w:t xml:space="preserve">TPRec</w:t>
            </w:r>
          </w:p>
        </w:tc>
        <w:tc>
          <w:tcPr/>
          <w:p>
            <w:pPr>
              <w:pStyle w:val="Compact"/>
            </w:pPr>
            <w:r>
              <w:t xml:space="preserve">Descriptive mechanism context plus internal boundary evidence</w:t>
            </w:r>
          </w:p>
        </w:tc>
        <w:tc>
          <w:tcPr/>
          <w:p>
            <w:pPr>
              <w:pStyle w:val="Compact"/>
            </w:pPr>
            <w:r>
              <w:t xml:space="preserve">Timestamp availability is a mechanism-specific evaluation requirement; the Amazon temporal row is blocked under sentinel timestamps.</w:t>
            </w:r>
          </w:p>
        </w:tc>
        <w:tc>
          <w:tcPr/>
          <w:p>
            <w:pPr>
              <w:pStyle w:val="Compact"/>
            </w:pPr>
            <w:r>
              <w:t xml:space="preserve">TPRec verified</w:t>
            </w:r>
          </w:p>
        </w:tc>
        <w:tc>
          <w:tcPr/>
          <w:p>
            <w:pPr>
              <w:pStyle w:val="Compact"/>
            </w:pPr>
            <w:r>
              <w:t xml:space="preserve">The block is not evidence of poor recommendation performance.</w:t>
            </w:r>
          </w:p>
        </w:tc>
      </w:tr>
      <w:tr>
        <w:tc>
          <w:tcPr/>
          <w:p>
            <w:pPr>
              <w:pStyle w:val="Compact"/>
            </w:pPr>
            <w:r>
              <w:t xml:space="preserve">Language-model-style path generation or scoring</w:t>
            </w:r>
          </w:p>
        </w:tc>
        <w:tc>
          <w:tcPr/>
          <w:p>
            <w:pPr>
              <w:pStyle w:val="Compact"/>
            </w:pPr>
            <w:r>
              <w:t xml:space="preserve">KGGLM; PEARLM</w:t>
            </w:r>
          </w:p>
        </w:tc>
        <w:tc>
          <w:tcPr/>
          <w:p>
            <w:pPr>
              <w:pStyle w:val="Compact"/>
            </w:pPr>
            <w:r>
              <w:t xml:space="preserve">Descriptive mechanism context</w:t>
            </w:r>
          </w:p>
        </w:tc>
        <w:tc>
          <w:tcPr/>
          <w:p>
            <w:pPr>
              <w:pStyle w:val="Compact"/>
            </w:pPr>
            <w:r>
              <w:t xml:space="preserve">Constrained path generation or scoring provides plausible context for the observed profiles.</w:t>
            </w:r>
          </w:p>
        </w:tc>
        <w:tc>
          <w:tcPr/>
          <w:p>
            <w:pPr>
              <w:pStyle w:val="Compact"/>
            </w:pPr>
            <w:r>
              <w:t xml:space="preserve">KGGLM verified; PEARLM arXiv metadata verified, final venue / DOI requires manual check</w:t>
            </w:r>
          </w:p>
        </w:tc>
        <w:tc>
          <w:tcPr/>
          <w:p>
            <w:pPr>
              <w:pStyle w:val="Compact"/>
            </w:pPr>
            <w:r>
              <w:t xml:space="preserve">Candidate flexibility was not independently measured, so the observed movement is not causally attributed to the architecture.</w:t>
            </w:r>
          </w:p>
        </w:tc>
      </w:tr>
      <w:tr>
        <w:tc>
          <w:tcPr/>
          <w:p>
            <w:pPr>
              <w:pStyle w:val="Compact"/>
            </w:pPr>
            <w:r>
              <w:t xml:space="preserve">Recency, implemented bridge-entity scoring, and explanation-type diversity</w:t>
            </w:r>
          </w:p>
        </w:tc>
        <w:tc>
          <w:tcPr/>
          <w:p>
            <w:pPr>
              <w:pStyle w:val="Compact"/>
            </w:pPr>
            <w:r>
              <w:t xml:space="preserve">LIR; SEP; ETD</w:t>
            </w:r>
          </w:p>
        </w:tc>
        <w:tc>
          <w:tcPr/>
          <w:p>
            <w:pPr>
              <w:pStyle w:val="Compact"/>
            </w:pPr>
            <w:r>
              <w:t xml:space="preserve">External conceptual source verified; internal metric implementation available; SEP semantic direction conservatively bounded</w:t>
            </w:r>
          </w:p>
        </w:tc>
        <w:tc>
          <w:tcPr/>
          <w:p>
            <w:pPr>
              <w:pStyle w:val="Compact"/>
            </w:pPr>
            <w:r>
              <w:t xml:space="preserve">XRecSys supplies the conceptual metric family, while the dissertation reports the repository-specific evaluated implementation. SEP denotes the implemented repository-specific bridge-entity score.</w:t>
            </w:r>
          </w:p>
        </w:tc>
        <w:tc>
          <w:tcPr/>
          <w:p>
            <w:pPr>
              <w:pStyle w:val="Compact"/>
            </w:pPr>
            <w:r>
              <w:t xml:space="preserve">XRecSys / LIR / SEP / ETD conceptual source verified</w:t>
            </w:r>
          </w:p>
        </w:tc>
        <w:tc>
          <w:tcPr/>
          <w:p>
            <w:pPr>
              <w:pStyle w:val="Compact"/>
            </w:pPr>
            <w:r>
              <w:t xml:space="preserve">The historical cached SEP matrix is unavailable, and computational path metrics do not establish human-perceived explanation quality. SEP trend analysis is retained as movement along the implemented objective.</w:t>
            </w:r>
          </w:p>
        </w:tc>
      </w:tr>
    </w:tbl>
    <w:p>
      <w:pPr>
        <w:pStyle w:val="BodyText"/>
      </w:pPr>
      <w:r>
        <w:rPr>
          <w:b/>
          <w:bCs/>
        </w:rPr>
        <w:t xml:space="preserve">Table 5.2.</w:t>
      </w:r>
      <w:r>
        <w:t xml:space="preserve"> </w:t>
      </w:r>
      <w:r>
        <w:t xml:space="preserve">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w:t>
      </w:r>
    </w:p>
    <w:p>
      <w:pPr>
        <w:pStyle w:val="BodyText"/>
      </w:pPr>
      <w:r>
        <w:t xml:space="preserve">PGPR and UCPR form the reinforcement-learning path-search family, with UCPR additionally treated in the repository as a user-centric variant</w:t>
      </w:r>
      <w:r>
        <w:t xml:space="preserve"> </w:t>
      </w:r>
      <w:r>
        <w:t xml:space="preserve">(Xian et al. 2019; Tai et al. 2021)</w:t>
      </w:r>
      <w:r>
        <w:t xml:space="preserve">. Their registered ablation directly shows that the path-selection layer can be redirected towards LIR, SEP, or ETD while preserving the alpha=0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pPr>
      <w:r>
        <w:t xml:space="preserve">CAFE represents the coarse-to-fine neural-symbolic reasoning family in the repository audit</w:t>
      </w:r>
      <w:r>
        <w:t xml:space="preserve"> </w:t>
      </w:r>
      <w:r>
        <w:t xml:space="preserve">(Xian et al. 2020)</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pPr>
      <w:r>
        <w:t xml:space="preserve">TPRec represents time-aware path reasoning</w:t>
      </w:r>
      <w:r>
        <w:t xml:space="preserve"> </w:t>
      </w:r>
      <w:r>
        <w:t xml:space="preserve">(Zhao et al. 2022)</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pPr>
      <w:r>
        <w:t xml:space="preserve">KGGLM and PEARLM form the language-model-style path generation or scoring group</w:t>
      </w:r>
      <w:r>
        <w:t xml:space="preserve"> </w:t>
      </w:r>
      <w:r>
        <w:t xml:space="preserve">(Balloccu et al. 2024, 2023)</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82"/>
    <w:bookmarkStart w:id="83" w:name="Xd763e9154f5308496e67d27b0fff4d6af83151d"/>
    <w:p>
      <w:pPr>
        <w:pStyle w:val="Heading2"/>
      </w:pPr>
      <w:r>
        <w:t xml:space="preserve">5.3 Accuracy–Explainability Interaction Patterns</w:t>
      </w:r>
    </w:p>
    <w:p>
      <w:pPr>
        <w:pStyle w:val="FirstParagrap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pPr>
      <w:r>
        <w:t xml:space="preserve">The PGPR/UCPR ablation supplies the stronger evidence in this chapter. It verifies exact alpha=0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83"/>
    <w:bookmarkStart w:id="87" w:name="amazon-book-kgat-as-a-boundary-case"/>
    <w:p>
      <w:pPr>
        <w:pStyle w:val="Heading2"/>
      </w:pPr>
      <w:r>
        <w:t xml:space="preserve">5.4 Amazon-Book KGAT as a Boundary Case</w:t>
      </w:r>
    </w:p>
    <w:p>
      <w:pPr>
        <w:pStyle w:val="FirstParagraph"/>
      </w:pPr>
      <w:r>
        <w:t xml:space="preserve">The validation gate from Chapter 3 partitions the registered model-dataset rows into the eligible set</w:t>
      </w:r>
    </w:p>
    <w:p>
      <w:pPr>
        <w:pStyle w:val="BodyText"/>
      </w:pPr>
      <w:r>
        <w:t xml:space="preserve">[</w:t>
      </w:r>
      <w:r>
        <w:t xml:space="preserve"> </w:t>
      </w:r>
      <w:r>
        <w:t xml:space="preserve"> </w:t>
      </w:r>
      <w:r>
        <w:t xml:space="preserve">=</w:t>
      </w:r>
      <w:r>
        <w:t xml:space="preserve"> </w:t>
      </w:r>
      <w:r>
        <w:t xml:space="preserve">{(m,d): V_{m,d}=1}</w:t>
      </w:r>
      <w:r>
        <w:t xml:space="preserve"> </w:t>
      </w:r>
      <w:r>
        <w:t xml:space="preserve">]</w:t>
      </w:r>
    </w:p>
    <w:p>
      <w:pPr>
        <w:pStyle w:val="BodyText"/>
      </w:pPr>
      <w:r>
        <w:t xml:space="preserve">and the boundary set</w:t>
      </w:r>
    </w:p>
    <w:p>
      <w:pPr>
        <w:pStyle w:val="BodyText"/>
      </w:pPr>
      <w:r>
        <w:t xml:space="preserve">[</w:t>
      </w:r>
      <w:r>
        <w:t xml:space="preserve"> </w:t>
      </w:r>
      <w:r>
        <w:t xml:space="preserve"> </w:t>
      </w:r>
      <w:r>
        <w:t xml:space="preserve">=</w:t>
      </w:r>
      <w:r>
        <w:t xml:space="preserve"> </w:t>
      </w:r>
      <w:r>
        <w:t xml:space="preserve">{(m,d): V_{m,d}=0}.</w:t>
      </w:r>
      <w:r>
        <w:t xml:space="preserve"> </w:t>
      </w:r>
      <w:r>
        <w:t xml:space="preserve">]</w:t>
      </w:r>
    </w:p>
    <w:p>
      <w:pPr>
        <w:pStyle w:val="BodyText"/>
      </w:pPr>
      <w:r>
        <w:t xml:space="preserve">Chapter 4 reports rows in (</w:t>
      </w:r>
      <w:r>
        <w:t xml:space="preserve">). Chapter 5 discusses selected rows in (</w:t>
      </w:r>
      <w:r>
        <w:t xml:space="preserve">) as boundary evidence rather than performance evidence.</w:t>
      </w:r>
    </w:p>
    <w:p>
      <w:pPr>
        <w:pStyle w:val="BodyText"/>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pPr>
      <w:r>
        <w:t xml:space="preserve">Amazon-Book KGAT tests where the framework can support comparison and where it must stop. It is a partial stress test, not a complete main experiment.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Validation status</w:t>
            </w:r>
          </w:p>
        </w:tc>
        <w:tc>
          <w:tcPr/>
          <w:p>
            <w:pPr>
              <w:pStyle w:val="Compact"/>
            </w:pPr>
            <w:r>
              <w:t xml:space="preserve">Canonical test users</w:t>
            </w:r>
          </w:p>
        </w:tc>
        <w:tc>
          <w:tcPr/>
          <w:p>
            <w:pPr>
              <w:pStyle w:val="Compact"/>
            </w:pPr>
            <w:r>
              <w:t xml:space="preserve">Pred-path rows</w:t>
            </w:r>
          </w:p>
        </w:tc>
        <w:tc>
          <w:tcPr/>
          <w:p>
            <w:pPr>
              <w:pStyle w:val="Compact"/>
            </w:pPr>
            <w:r>
              <w:t xml:space="preserve">Explanation rows</w:t>
            </w:r>
          </w:p>
        </w:tc>
        <w:tc>
          <w:tcPr/>
          <w:p>
            <w:pPr>
              <w:pStyle w:val="Compact"/>
            </w:pPr>
            <w:r>
              <w:t xml:space="preserve">Evidence</w:t>
            </w:r>
          </w:p>
        </w:tc>
        <w:tc>
          <w:tcPr/>
          <w:p>
            <w:pPr>
              <w:pStyle w:val="Compact"/>
            </w:pPr>
            <w:r>
              <w:t xml:space="preserve">Boundary note</w:t>
            </w:r>
          </w:p>
        </w:tc>
      </w:tr>
      <w:tr>
        <w:tc>
          <w:tcPr/>
          <w:p>
            <w:pPr>
              <w:pStyle w:val="Compact"/>
            </w:pPr>
            <w:r>
              <w:t xml:space="preserve">KGGLM</w:t>
            </w:r>
          </w:p>
        </w:tc>
        <w:tc>
          <w:tcPr/>
          <w:p>
            <w:pPr>
              <w:pStyle w:val="Compact"/>
            </w:pPr>
            <w:r>
              <w:t xml:space="preserve">PASS</w:t>
            </w:r>
          </w:p>
        </w:tc>
        <w:tc>
          <w:tcPr/>
          <w:p>
            <w:pPr>
              <w:pStyle w:val="Compact"/>
            </w:pPr>
            <w:r>
              <w:t xml:space="preserve">70591</w:t>
            </w:r>
          </w:p>
        </w:tc>
        <w:tc>
          <w:tcPr/>
          <w:p>
            <w:pPr>
              <w:pStyle w:val="Compact"/>
            </w:pPr>
            <w:r>
              <w:t xml:space="preserve">1326486</w:t>
            </w:r>
          </w:p>
        </w:tc>
        <w:tc>
          <w:tcPr/>
          <w:p>
            <w:pPr>
              <w:pStyle w:val="Compact"/>
            </w:pPr>
            <w:r>
              <w:t xml:space="preserve">655285</w:t>
            </w:r>
          </w:p>
        </w:tc>
        <w:tc>
          <w:tcPr/>
          <w:p>
            <w:pPr>
              <w:pStyle w:val="Compact"/>
            </w:pPr>
            <w:r>
              <w:t xml:space="preserve">reports/tables/canonical_export_validation/amazon_book_kgat_v1_kgglm.json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PEARLM</w:t>
            </w:r>
          </w:p>
        </w:tc>
        <w:tc>
          <w:tcPr/>
          <w:p>
            <w:pPr>
              <w:pStyle w:val="Compact"/>
            </w:pPr>
            <w:r>
              <w:t xml:space="preserve">PASS</w:t>
            </w:r>
          </w:p>
        </w:tc>
        <w:tc>
          <w:tcPr/>
          <w:p>
            <w:pPr>
              <w:pStyle w:val="Compact"/>
            </w:pPr>
            <w:r>
              <w:t xml:space="preserve">70591</w:t>
            </w:r>
          </w:p>
        </w:tc>
        <w:tc>
          <w:tcPr/>
          <w:p>
            <w:pPr>
              <w:pStyle w:val="Compact"/>
            </w:pPr>
            <w:r>
              <w:t xml:space="preserve">885270</w:t>
            </w:r>
          </w:p>
        </w:tc>
        <w:tc>
          <w:tcPr/>
          <w:p>
            <w:pPr>
              <w:pStyle w:val="Compact"/>
            </w:pPr>
            <w:r>
              <w:t xml:space="preserve">578518</w:t>
            </w:r>
          </w:p>
        </w:tc>
        <w:tc>
          <w:tcPr/>
          <w:p>
            <w:pPr>
              <w:pStyle w:val="Compact"/>
            </w:pPr>
            <w:r>
              <w:t xml:space="preserve">reports/tables/canonical_export_validation/amazon_book_kgat_v1_pearlm.json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PGPR</w:t>
            </w:r>
          </w:p>
        </w:tc>
        <w:tc>
          <w:tcPr/>
          <w:p>
            <w:pPr>
              <w:pStyle w:val="Compact"/>
            </w:pPr>
            <w:r>
              <w:t xml:space="preserve">PASS</w:t>
            </w:r>
          </w:p>
        </w:tc>
        <w:tc>
          <w:tcPr/>
          <w:p>
            <w:pPr>
              <w:pStyle w:val="Compact"/>
            </w:pPr>
            <w:r>
              <w:t xml:space="preserve">70591</w:t>
            </w:r>
          </w:p>
        </w:tc>
        <w:tc>
          <w:tcPr/>
          <w:p>
            <w:pPr>
              <w:pStyle w:val="Compact"/>
            </w:pPr>
            <w:r>
              <w:t xml:space="preserve">4109983</w:t>
            </w:r>
          </w:p>
        </w:tc>
        <w:tc>
          <w:tcPr/>
          <w:p>
            <w:pPr>
              <w:pStyle w:val="Compact"/>
            </w:pPr>
            <w:r>
              <w:t xml:space="preserve">705846</w:t>
            </w:r>
          </w:p>
        </w:tc>
        <w:tc>
          <w:tcPr/>
          <w:p>
            <w:pPr>
              <w:pStyle w:val="Compact"/>
            </w:pPr>
            <w:r>
              <w:t xml:space="preserve">reports/tables/canonical_export_validation/amazon_book_kgat_v1_pgpr.json</w:t>
            </w:r>
          </w:p>
        </w:tc>
        <w:tc>
          <w:tcPr/>
          <w:p>
            <w:pPr>
              <w:pStyle w:val="Compact"/>
            </w:pPr>
            <w:r>
              <w:t xml:space="preserve">Exact test-user coverage in top-k export; path endpoint and top-k/explanation consistency enforced by validation script.</w:t>
            </w:r>
          </w:p>
        </w:tc>
      </w:tr>
      <w:tr>
        <w:tc>
          <w:tcPr/>
          <w:p>
            <w:pPr>
              <w:pStyle w:val="Compact"/>
            </w:pPr>
            <w:r>
              <w:t xml:space="preserve">UCPR</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Amazon UCPR data view, adapter aliases, runtime schema patch, and preprocess/TransE-forward smokes are PASS; formal training pipeline status=FAILED, stage=line_193, policy=train_agent_amazon_formal_e40_b16_d100, policy_batch=16, beam=25-5-1, run_inference=0; strict full-user export/accuracy still pending</w:t>
            </w:r>
          </w:p>
        </w:tc>
      </w:tr>
      <w:tr>
        <w:tc>
          <w:tcPr/>
          <w:p>
            <w:pPr>
              <w:pStyle w:val="Compact"/>
            </w:pPr>
            <w:r>
              <w:t xml:space="preserve">CAFE</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Needs Amazon schema/data-builder port and compatible UCPR view/TransE checkpoint</w:t>
            </w:r>
          </w:p>
        </w:tc>
      </w:tr>
      <w:tr>
        <w:tc>
          <w:tcPr/>
          <w:p>
            <w:pPr>
              <w:pStyle w:val="Compact"/>
            </w:pPr>
            <w:r>
              <w:t xml:space="preserve">TPRec</w:t>
            </w:r>
          </w:p>
        </w:tc>
        <w:tc>
          <w:tcPr/>
          <w:p>
            <w:pPr>
              <w:pStyle w:val="Compact"/>
            </w:pPr>
            <w:r>
              <w:t xml:space="preserve">BLOCKED / 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reports/tables/amazon_classic_port_readiness.json</w:t>
            </w:r>
          </w:p>
        </w:tc>
        <w:tc>
          <w:tcPr/>
          <w:p>
            <w:pPr>
              <w:pStyle w:val="Compact"/>
            </w:pPr>
            <w:r>
              <w:t xml:space="preserve">Amazon TPRec structural path constraints/runtime entrypoints are wired; formal temporal TPRec remains blocked because canonical timestamps are sentinel -1</w:t>
            </w:r>
          </w:p>
        </w:tc>
      </w:tr>
    </w:tbl>
    <w:p>
      <w:pPr>
        <w:pStyle w:val="BodyText"/>
      </w:pPr>
      <w:r>
        <w:rPr>
          <w:b/>
          <w:bCs/>
        </w:rPr>
        <w:t xml:space="preserve">Table 5.3.</w:t>
      </w:r>
      <w:r>
        <w:t xml:space="preserve"> </w:t>
      </w:r>
      <w:r>
        <w:t xml:space="preserve">Amazon-Book KGAT boundary status. PASS rows are reportable under the registered contract, whereas BLOCKED / N/A rows remain boundary evidence and are not comparative performance results. Amazon-Book remains a partial boundary case rather than a complete main benchmark.</w:t>
      </w:r>
    </w:p>
    <w:p>
      <w:pPr>
        <w:pStyle w:val="BodyText"/>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w:pPr>
        <w:pStyle w:val="BodyText"/>
      </w:pPr>
      <w:r>
        <w:drawing>
          <wp:inline>
            <wp:extent cx="4699000" cy="1469078"/>
            <wp:effectExtent b="0" l="0" r="0" t="0"/>
            <wp:docPr descr="Figure 5.2 experiment-status matrix" title="" id="85" name="Picture"/>
            <a:graphic>
              <a:graphicData uri="http://schemas.openxmlformats.org/drawingml/2006/picture">
                <pic:pic>
                  <pic:nvPicPr>
                    <pic:cNvPr descr="paper/current_dissertation/figures/png/figure_5_2_experiment_status_matrix_final.png" id="86" name="Picture"/>
                    <pic:cNvPicPr>
                      <a:picLocks noChangeArrowheads="1" noChangeAspect="1"/>
                    </pic:cNvPicPr>
                  </pic:nvPicPr>
                  <pic:blipFill>
                    <a:blip r:embed="rId84"/>
                    <a:stretch>
                      <a:fillRect/>
                    </a:stretch>
                  </pic:blipFill>
                  <pic:spPr bwMode="auto">
                    <a:xfrm>
                      <a:off x="0" y="0"/>
                      <a:ext cx="4699000" cy="1469078"/>
                    </a:xfrm>
                    <a:prstGeom prst="rect">
                      <a:avLst/>
                    </a:prstGeom>
                    <a:noFill/>
                    <a:ln w="9525">
                      <a:noFill/>
                      <a:headEnd/>
                      <a:tailEnd/>
                    </a:ln>
                  </pic:spPr>
                </pic:pic>
              </a:graphicData>
            </a:graphic>
          </wp:inline>
        </w:drawing>
      </w:r>
    </w:p>
    <w:p>
      <w:pPr>
        <w:pStyle w:val="BodyText"/>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p>
    <w:bookmarkEnd w:id="87"/>
    <w:bookmarkStart w:id="88" w:name="X9d632b92d2ac1c34260a3578fd14008be7527fd"/>
    <w:p>
      <w:pPr>
        <w:pStyle w:val="Heading2"/>
      </w:pPr>
      <w:r>
        <w:t xml:space="preserve">5.5 Limitations of the Current Framework and Experiments</w:t>
      </w:r>
    </w:p>
    <w:p>
      <w:pPr>
        <w:pStyle w:val="FirstParagrap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(Balloccu et al. 2022a)</w:t>
      </w:r>
      <w:r>
        <w:t xml:space="preserve">. The historical cached SEP matrix is not available in the current evidence package, and no causal mechanism claim is inferred from SEP movement.</w:t>
      </w:r>
    </w:p>
    <w:p>
      <w:pPr>
        <w:pStyle w:val="BodyText"/>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Limitation</w:t>
            </w:r>
          </w:p>
        </w:tc>
        <w:tc>
          <w:tcPr/>
          <w:p>
            <w:pPr>
              <w:pStyle w:val="Compact"/>
            </w:pPr>
            <w:r>
              <w:t xml:space="preserve">Affected evidence</w:t>
            </w:r>
          </w:p>
        </w:tc>
        <w:tc>
          <w:tcPr/>
          <w:p>
            <w:pPr>
              <w:pStyle w:val="Compact"/>
            </w:pPr>
            <w:r>
              <w:t xml:space="preserve">Implication for the dissertation</w:t>
            </w:r>
          </w:p>
        </w:tc>
        <w:tc>
          <w:tcPr/>
          <w:p>
            <w:pPr>
              <w:pStyle w:val="Compact"/>
            </w:pPr>
            <w:r>
              <w:t xml:space="preserve">Required action or retained wording</w:t>
            </w:r>
          </w:p>
        </w:tc>
        <w:tc>
          <w:tcPr/>
          <w:p>
            <w:pPr>
              <w:pStyle w:val="Compact"/>
            </w:pPr>
            <w:r>
              <w:t xml:space="preserve">Status</w:t>
            </w:r>
          </w:p>
        </w:tc>
      </w:tr>
      <w:tr>
        <w:tc>
          <w:tcPr/>
          <w:p>
            <w:pPr>
              <w:pStyle w:val="Compact"/>
            </w:pPr>
            <w:r>
              <w:t xml:space="preserve">No user-study artifact</w:t>
            </w:r>
          </w:p>
        </w:tc>
        <w:tc>
          <w:tcPr/>
          <w:p>
            <w:pPr>
              <w:pStyle w:val="Compact"/>
            </w:pPr>
            <w:r>
              <w:t xml:space="preserve">Human-facing explanation claims</w:t>
            </w:r>
          </w:p>
        </w:tc>
        <w:tc>
          <w:tcPr/>
          <w:p>
            <w:pPr>
              <w:pStyle w:val="Compact"/>
            </w:pPr>
            <w:r>
              <w:t xml:space="preserve">LIR, SEP, and ETD cannot establish perceived usefulness, clarity, persuasiveness, or trust.</w:t>
            </w:r>
          </w:p>
        </w:tc>
        <w:tc>
          <w:tcPr/>
          <w:p>
            <w:pPr>
              <w:pStyle w:val="Compact"/>
            </w:pPr>
            <w:r>
              <w:t xml:space="preserve">Keep claims at the level of computational path properties; design a separate user study for future work.</w:t>
            </w:r>
          </w:p>
        </w:tc>
        <w:tc>
          <w:tcPr/>
          <w:p>
            <w:pPr>
              <w:pStyle w:val="Compact"/>
            </w:pPr>
            <w:r>
              <w:t xml:space="preserve">Open caveat</w:t>
            </w:r>
          </w:p>
        </w:tc>
      </w:tr>
      <w:tr>
        <w:tc>
          <w:tcPr/>
          <w:p>
            <w:pPr>
              <w:pStyle w:val="Compact"/>
            </w:pPr>
            <w:r>
              <w:t xml:space="preserve">No statistical-significance artifact</w:t>
            </w:r>
          </w:p>
        </w:tc>
        <w:tc>
          <w:tcPr/>
          <w:p>
            <w:pPr>
              <w:pStyle w:val="Compact"/>
            </w:pPr>
            <w:r>
              <w:t xml:space="preserve">Chapter 4 and 5 comparisons</w:t>
            </w:r>
          </w:p>
        </w:tc>
        <w:tc>
          <w:tcPr/>
          <w:p>
            <w:pPr>
              <w:pStyle w:val="Compact"/>
            </w:pPr>
            <w:r>
              <w:t xml:space="preserve">Numerical differences remain descriptive rather than inferential.</w:t>
            </w:r>
          </w:p>
        </w:tc>
        <w:tc>
          <w:tcPr/>
          <w:p>
            <w:pPr>
              <w:pStyle w:val="Compact"/>
            </w:pPr>
            <w:r>
              <w:t xml:space="preserve">Do not use significance language unless a separately registered analysis is added.</w:t>
            </w:r>
          </w:p>
        </w:tc>
        <w:tc>
          <w:tcPr/>
          <w:p>
            <w:pPr>
              <w:pStyle w:val="Compact"/>
            </w:pPr>
            <w:r>
              <w:t xml:space="preserve">Open caveat</w:t>
            </w:r>
          </w:p>
        </w:tc>
      </w:tr>
      <w:tr>
        <w:tc>
          <w:tcPr/>
          <w:p>
            <w:pPr>
              <w:pStyle w:val="Compact"/>
            </w:pPr>
            <w:r>
              <w:t xml:space="preserve">Amazon-Book KGAT coverage is partial</w:t>
            </w:r>
          </w:p>
        </w:tc>
        <w:tc>
          <w:tcPr/>
          <w:p>
            <w:pPr>
              <w:pStyle w:val="Compact"/>
            </w:pPr>
            <w:r>
              <w:t xml:space="preserve">Dataset generalisation and boundary analysis</w:t>
            </w:r>
          </w:p>
        </w:tc>
        <w:tc>
          <w:tcPr/>
          <w:p>
            <w:pPr>
              <w:pStyle w:val="Compact"/>
            </w:pPr>
            <w:r>
              <w:t xml:space="preserve">Amazon cannot support a complete six-model trade-off conclusion.</w:t>
            </w:r>
          </w:p>
        </w:tc>
        <w:tc>
          <w:tcPr/>
          <w:p>
            <w:pPr>
              <w:pStyle w:val="Compact"/>
            </w:pPr>
            <w:r>
              <w:t xml:space="preserve">Retain three PASS and three BLOCKED / N/A rows and describe Amazon only as a partial boundary case.</w:t>
            </w:r>
          </w:p>
        </w:tc>
        <w:tc>
          <w:tcPr/>
          <w:p>
            <w:pPr>
              <w:pStyle w:val="Compact"/>
            </w:pPr>
            <w:r>
              <w:t xml:space="preserve">Open boundary</w:t>
            </w:r>
          </w:p>
        </w:tc>
      </w:tr>
      <w:tr>
        <w:tc>
          <w:tcPr/>
          <w:p>
            <w:pPr>
              <w:pStyle w:val="Compact"/>
            </w:pPr>
            <w:r>
              <w:t xml:space="preserve">LIR / SEP / ETD exact implementation is repository-specific</w:t>
            </w:r>
          </w:p>
        </w:tc>
        <w:tc>
          <w:tcPr/>
          <w:p>
            <w:pPr>
              <w:pStyle w:val="Compact"/>
            </w:pPr>
            <w:r>
              <w:t xml:space="preserve">Explanation metric interpretation</w:t>
            </w:r>
          </w:p>
        </w:tc>
        <w:tc>
          <w:tcPr/>
          <w:p>
            <w:pPr>
              <w:pStyle w:val="Compact"/>
            </w:pPr>
            <w:r>
              <w:t xml:space="preserve">Metric behaviour depends on internal timestamp, bridge-entity scoring, path-anchor, taxonomy, and denominator rules. SEP semantic direction is conservatively bounded.</w:t>
            </w:r>
          </w:p>
        </w:tc>
        <w:tc>
          <w:tcPr/>
          <w:p>
            <w:pPr>
              <w:pStyle w:val="Compact"/>
            </w:pPr>
            <w:r>
              <w:t xml:space="preserve">Describe SEP as the implemented repository-specific bridge-entity score and do not infer user-perceived serendipity, novelty, usefulness, or explanation quality.</w:t>
            </w:r>
          </w:p>
        </w:tc>
        <w:tc>
          <w:tcPr/>
          <w:p>
            <w:pPr>
              <w:pStyle w:val="Compact"/>
            </w:pPr>
            <w:r>
              <w:t xml:space="preserve">Wording frozen; historical artifact caveat retained</w:t>
            </w:r>
          </w:p>
        </w:tc>
      </w:tr>
      <w:tr>
        <w:tc>
          <w:tcPr/>
          <w:p>
            <w:pPr>
              <w:pStyle w:val="Compact"/>
            </w:pPr>
            <w:r>
              <w:t xml:space="preserve">Twelve strict primary JSON artifacts are unavailable</w:t>
            </w:r>
          </w:p>
        </w:tc>
        <w:tc>
          <w:tcPr/>
          <w:p>
            <w:pPr>
              <w:pStyle w:val="Compact"/>
            </w:pPr>
            <w:r>
              <w:t xml:space="preserve">Strict accuracy provenance</w:t>
            </w:r>
          </w:p>
        </w:tc>
        <w:tc>
          <w:tcPr/>
          <w:p>
            <w:pPr>
              <w:pStyle w:val="Compact"/>
            </w:pPr>
            <w:r>
              <w:t xml:space="preserve">Accessible summaries support draft-level traceability but not primary-artifact closure.</w:t>
            </w:r>
          </w:p>
        </w:tc>
        <w:tc>
          <w:tcPr/>
          <w:p>
            <w:pPr>
              <w:pStyle w:val="Compact"/>
            </w:pPr>
            <w:r>
              <w:t xml:space="preserve">State</w:t>
            </w:r>
            <w:r>
              <w:t xml:space="preserve"> </w:t>
            </w:r>
            <w:r>
              <w:rPr>
                <w:rStyle w:val="VerbatimChar"/>
              </w:rPr>
              <w:t xml:space="preserve">0/12</w:t>
            </w:r>
            <w:r>
              <w:t xml:space="preserve"> </w:t>
            </w:r>
            <w:r>
              <w:t xml:space="preserve">accessible and do not claim primary JSON verification.</w:t>
            </w:r>
          </w:p>
        </w:tc>
        <w:tc>
          <w:tcPr/>
          <w:p>
            <w:pPr>
              <w:pStyle w:val="Compact"/>
            </w:pPr>
            <w:r>
              <w:t xml:space="preserve">Critical before final submission</w:t>
            </w:r>
          </w:p>
        </w:tc>
      </w:tr>
      <w:tr>
        <w:tc>
          <w:tcPr/>
          <w:p>
            <w:pPr>
              <w:pStyle w:val="Compact"/>
            </w:pPr>
            <w:r>
              <w:t xml:space="preserve">Checkpoint paths / hashes, seeds, and several model-native hyperparameters are incomplete</w:t>
            </w:r>
          </w:p>
        </w:tc>
        <w:tc>
          <w:tcPr/>
          <w:p>
            <w:pPr>
              <w:pStyle w:val="Compact"/>
            </w:pPr>
            <w:r>
              <w:t xml:space="preserve">Reproducibility and configuration freeze</w:t>
            </w:r>
          </w:p>
        </w:tc>
        <w:tc>
          <w:tcPr/>
          <w:p>
            <w:pPr>
              <w:pStyle w:val="Compact"/>
            </w:pPr>
            <w:r>
              <w:t xml:space="preserve">The complete six-model execution configuration cannot be frozen from the current package.</w:t>
            </w:r>
          </w:p>
        </w:tc>
        <w:tc>
          <w:tcPr/>
          <w:p>
            <w:pPr>
              <w:pStyle w:val="Compact"/>
            </w:pPr>
            <w:r>
              <w:t xml:space="preserve">Recover the archived run package or retain</w:t>
            </w:r>
            <w:r>
              <w:t xml:space="preserve"> </w:t>
            </w:r>
            <w:r>
              <w:rPr>
                <w:rStyle w:val="VerbatimChar"/>
              </w:rPr>
              <w:t xml:space="preserve">requires manual verification</w:t>
            </w:r>
            <w:r>
              <w:t xml:space="preserve">; do not infer absent settings.</w:t>
            </w:r>
          </w:p>
        </w:tc>
        <w:tc>
          <w:tcPr/>
          <w:p>
            <w:pPr>
              <w:pStyle w:val="Compact"/>
            </w:pPr>
            <w:r>
              <w:t xml:space="preserve">Open caveat</w:t>
            </w:r>
          </w:p>
        </w:tc>
      </w:tr>
      <w:tr>
        <w:tc>
          <w:tcPr/>
          <w:p>
            <w:pPr>
              <w:pStyle w:val="Compact"/>
            </w:pPr>
            <w:r>
              <w:t xml:space="preserve">PEARLM final venue / DOI and final BibTeX cleanup remain pending</w:t>
            </w:r>
          </w:p>
        </w:tc>
        <w:tc>
          <w:tcPr/>
          <w:p>
            <w:pPr>
              <w:pStyle w:val="Compact"/>
            </w:pPr>
            <w:r>
              <w:t xml:space="preserve">Final bibliography</w:t>
            </w:r>
          </w:p>
        </w:tc>
        <w:tc>
          <w:tcPr/>
          <w:p>
            <w:pPr>
              <w:pStyle w:val="Compact"/>
            </w:pPr>
            <w:r>
              <w:t xml:space="preserve">The arXiv citation is safe at draft level, but final publication metadata is not closed.</w:t>
            </w:r>
          </w:p>
        </w:tc>
        <w:tc>
          <w:tcPr/>
          <w:p>
            <w:pPr>
              <w:pStyle w:val="Compact"/>
            </w:pPr>
            <w:r>
              <w:t xml:space="preserve">Manually verify PEARLM venue / DOI and perform final BibTeX formatting before submission.</w:t>
            </w:r>
          </w:p>
        </w:tc>
        <w:tc>
          <w:tcPr/>
          <w:p>
            <w:pPr>
              <w:pStyle w:val="Compact"/>
            </w:pPr>
            <w:r>
              <w:t xml:space="preserve">Manual verification required</w:t>
            </w:r>
          </w:p>
        </w:tc>
      </w:tr>
      <w:tr>
        <w:tc>
          <w:tcPr/>
          <w:p>
            <w:pPr>
              <w:pStyle w:val="Compact"/>
            </w:pPr>
            <w:r>
              <w:t xml:space="preserve">Figure insertion and final NTU formatting are pending</w:t>
            </w:r>
          </w:p>
        </w:tc>
        <w:tc>
          <w:tcPr/>
          <w:p>
            <w:pPr>
              <w:pStyle w:val="Compact"/>
            </w:pPr>
            <w:r>
              <w:t xml:space="preserve">Dissertation packaging</w:t>
            </w:r>
          </w:p>
        </w:tc>
        <w:tc>
          <w:tcPr/>
          <w:p>
            <w:pPr>
              <w:pStyle w:val="Compact"/>
            </w:pPr>
            <w:r>
              <w:t xml:space="preserve">Current Markdown registers content and evidence roles only.</w:t>
            </w:r>
          </w:p>
        </w:tc>
        <w:tc>
          <w:tcPr/>
          <w:p>
            <w:pPr>
              <w:pStyle w:val="Compact"/>
            </w:pPr>
            <w:r>
              <w:t xml:space="preserve">Complete image insertion, numbering, cross-references, Word layout, and final PDF checks in a later batch.</w:t>
            </w:r>
          </w:p>
        </w:tc>
        <w:tc>
          <w:tcPr/>
          <w:p>
            <w:pPr>
              <w:pStyle w:val="Compact"/>
            </w:pPr>
            <w:r>
              <w:t xml:space="preserve">Deferred</w:t>
            </w:r>
          </w:p>
        </w:tc>
      </w:tr>
    </w:tbl>
    <w:p>
      <w:pPr>
        <w:pStyle w:val="BodyText"/>
      </w:pPr>
      <w:r>
        <w:rPr>
          <w:b/>
          <w:bCs/>
        </w:rPr>
        <w:t xml:space="preserve">Table 5.4.</w:t>
      </w:r>
      <w:r>
        <w:t xml:space="preserve"> </w:t>
      </w:r>
      <w:r>
        <w:t xml:space="preserve">Evidence, reproducibility, citation, and packaging limitations. The table preserves the registered user-study, significance, Amazon, metric-implementation, strict-primary-artifact, checkpoint, citation, and figure-insertion caveats; none is converted into a new result or performance claim.</w:t>
      </w:r>
    </w:p>
    <w:p>
      <w:r>
        <w:pict>
          <v:rect style="width:0;height:1.5pt" o:hralign="center" o:hrstd="t" o:hr="t"/>
        </w:pict>
      </w:r>
    </w:p>
    <w:bookmarkEnd w:id="88"/>
    <w:bookmarkEnd w:id="89"/>
    <w:bookmarkStart w:id="92" w:name="chapter-6-conclusion-and-recommendations"/>
    <w:p>
      <w:pPr>
        <w:pStyle w:val="Heading1"/>
      </w:pPr>
      <w:r>
        <w:t xml:space="preserve">Chapter 6 Conclusion and Recommendations</w:t>
      </w:r>
    </w:p>
    <w:bookmarkStart w:id="90" w:name="conclusion"/>
    <w:p>
      <w:pPr>
        <w:pStyle w:val="Heading2"/>
      </w:pPr>
      <w:r>
        <w:t xml:space="preserve">6.1 Conclusion</w:t>
      </w:r>
    </w:p>
    <w:p>
      <w:pPr>
        <w:pStyle w:val="FirstParagrap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pPr>
      <w:r>
        <w:t xml:space="preserve">The third contribution is bounded interpretation. Chapter 5 tested whether explanation-oriented objectives could be controlled under an explicit ranking-utility condition. The PGPR/UCPR ablation preserves the registered alpha=0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pPr>
      <w:r>
        <w:t xml:space="preserve">Taken together, the framework makes the accuracy–explainability trade-off of native-path knowledge graph recommenders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pPr>
      <w:r>
        <w:t xml:space="preserve">The relationship between the registered objectives and the supported evidence is summarised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How it was addressed</w:t>
            </w:r>
          </w:p>
        </w:tc>
        <w:tc>
          <w:tcPr/>
          <w:p>
            <w:pPr>
              <w:pStyle w:val="Compact"/>
            </w:pPr>
            <w:r>
              <w:t xml:space="preserve">Main evidence chapter</w:t>
            </w:r>
          </w:p>
        </w:tc>
        <w:tc>
          <w:tcPr/>
          <w:p>
            <w:pPr>
              <w:pStyle w:val="Compact"/>
            </w:pPr>
            <w:r>
              <w:t xml:space="preserve">Boundary</w:t>
            </w:r>
          </w:p>
        </w:tc>
      </w:tr>
      <w:tr>
        <w:tc>
          <w:tcPr/>
          <w:p>
            <w:pPr>
              <w:pStyle w:val="Compact"/>
            </w:pPr>
            <w:r>
              <w:t xml:space="preserve">O1. Framework feasibility</w:t>
            </w:r>
          </w:p>
        </w:tc>
        <w:tc>
          <w:tcPr/>
          <w:p>
            <w:pPr>
              <w:pStyle w:val="Compact"/>
            </w:pPr>
            <w:r>
              <w:t xml:space="preserve">Defined and verified a canonical native-path evaluation and analysis framework.</w:t>
            </w:r>
          </w:p>
        </w:tc>
        <w:tc>
          <w:tcPr/>
          <w:p>
            <w:pPr>
              <w:pStyle w:val="Compact"/>
            </w:pPr>
            <w:r>
              <w:t xml:space="preserve">Chapter 3</w:t>
            </w:r>
          </w:p>
        </w:tc>
        <w:tc>
          <w:tcPr/>
          <w:p>
            <w:pPr>
              <w:pStyle w:val="Compact"/>
            </w:pPr>
            <w:r>
              <w:t xml:space="preserve">Feasibility is established for the registered scope, not as universal framework validity.</w:t>
            </w:r>
          </w:p>
        </w:tc>
      </w:tr>
      <w:tr>
        <w:tc>
          <w:tcPr/>
          <w:p>
            <w:pPr>
              <w:pStyle w:val="Compact"/>
            </w:pPr>
            <w:r>
              <w:t xml:space="preserve">O2–O4. Canonical export and validation protocol</w:t>
            </w:r>
          </w:p>
        </w:tc>
        <w:tc>
          <w:tcPr/>
          <w:p>
            <w:pPr>
              <w:pStyle w:val="Compact"/>
            </w:pPr>
            <w:r>
              <w:t xml:space="preserve">Constructed canonical and model-specific views, required canonical native-path exports, and applied validation before reporting.</w:t>
            </w:r>
          </w:p>
        </w:tc>
        <w:tc>
          <w:tcPr/>
          <w:p>
            <w:pPr>
              <w:pStyle w:val="Compact"/>
            </w:pPr>
            <w:r>
              <w:t xml:space="preserve">Chapter 3</w:t>
            </w:r>
          </w:p>
        </w:tc>
        <w:tc>
          <w:tcPr/>
          <w:p>
            <w:pPr>
              <w:pStyle w:val="Compact"/>
            </w:pPr>
            <w:r>
              <w:t xml:space="preserve">PASS establishes contract conformity; BLOCKED or not-applicable rows are not performance results.</w:t>
            </w:r>
          </w:p>
        </w:tc>
      </w:tr>
      <w:tr>
        <w:tc>
          <w:tcPr/>
          <w:p>
            <w:pPr>
              <w:pStyle w:val="Compact"/>
            </w:pPr>
            <w:r>
              <w:t xml:space="preserve">O5. Strict accuracy evaluation</w:t>
            </w:r>
          </w:p>
        </w:tc>
        <w:tc>
          <w:tcPr/>
          <w:p>
            <w:pPr>
              <w:pStyle w:val="Compact"/>
            </w:pPr>
            <w:r>
              <w:t xml:space="preserve">Reported HR@10, NDCG@10, Precision@10, and Recall@10 for the complete LastFM and ML-1M six-model scope.</w:t>
            </w:r>
          </w:p>
        </w:tc>
        <w:tc>
          <w:tcPr/>
          <w:p>
            <w:pPr>
              <w:pStyle w:val="Compact"/>
            </w:pPr>
            <w:r>
              <w:t xml:space="preserve">Chapter 4</w:t>
            </w:r>
          </w:p>
        </w:tc>
        <w:tc>
          <w:tcPr/>
          <w:p>
            <w:pPr>
              <w:pStyle w:val="Compact"/>
            </w:pPr>
            <w:r>
              <w:t xml:space="preserve">Values are traceable to two matching summaries; the twelve primary JSON artifacts are not accessible.</w:t>
            </w:r>
          </w:p>
        </w:tc>
      </w:tr>
      <w:tr>
        <w:tc>
          <w:tcPr/>
          <w:p>
            <w:pPr>
              <w:pStyle w:val="Compact"/>
            </w:pPr>
            <w:r>
              <w:t xml:space="preserve">O6. Explanation metric evaluation</w:t>
            </w:r>
          </w:p>
        </w:tc>
        <w:tc>
          <w:tcPr/>
          <w:p>
            <w:pPr>
              <w:pStyle w:val="Compact"/>
            </w:pPr>
            <w:r>
              <w:t xml:space="preserve">Evaluated LIR, SEP, and ETD separately under the repository-specific metric definitions.</w:t>
            </w:r>
          </w:p>
        </w:tc>
        <w:tc>
          <w:tcPr/>
          <w:p>
            <w:pPr>
              <w:pStyle w:val="Compact"/>
            </w:pPr>
            <w:r>
              <w:t xml:space="preserve">Chapters 3–4</w:t>
            </w:r>
          </w:p>
        </w:tc>
        <w:tc>
          <w:tcPr/>
          <w:p>
            <w:pPr>
              <w:pStyle w:val="Compact"/>
            </w:pPr>
            <w:r>
              <w:t xml:space="preserve">Computational path properties do not establish user-perceived explanation quality.</w:t>
            </w:r>
          </w:p>
        </w:tc>
      </w:tr>
      <w:tr>
        <w:tc>
          <w:tcPr/>
          <w:p>
            <w:pPr>
              <w:pStyle w:val="Compact"/>
            </w:pPr>
            <w:r>
              <w:t xml:space="preserve">O7. Accuracy–explainability trade-off</w:t>
            </w:r>
          </w:p>
        </w:tc>
        <w:tc>
          <w:tcPr/>
          <w:p>
            <w:pPr>
              <w:pStyle w:val="Compact"/>
            </w:pPr>
            <w:r>
              <w:t xml:space="preserve">Analysed objective-specific alpha-sweep trajectories while keeping sweep ranking measures separate from strict accuracy.</w:t>
            </w:r>
          </w:p>
        </w:tc>
        <w:tc>
          <w:tcPr/>
          <w:p>
            <w:pPr>
              <w:pStyle w:val="Compact"/>
            </w:pPr>
            <w:r>
              <w:t xml:space="preserve">Chapter 4</w:t>
            </w:r>
          </w:p>
        </w:tc>
        <w:tc>
          <w:tcPr/>
          <w:p>
            <w:pPr>
              <w:pStyle w:val="Compact"/>
            </w:pPr>
            <w:r>
              <w:t xml:space="preserve">Results are descriptive and do not define a universal operating point.</w:t>
            </w:r>
          </w:p>
        </w:tc>
      </w:tr>
      <w:tr>
        <w:tc>
          <w:tcPr/>
          <w:p>
            <w:pPr>
              <w:pStyle w:val="Compact"/>
            </w:pPr>
            <w:r>
              <w:t xml:space="preserve">O8. Mechanism, ablation, and boundary analysis</w:t>
            </w:r>
          </w:p>
        </w:tc>
        <w:tc>
          <w:tcPr/>
          <w:p>
            <w:pPr>
              <w:pStyle w:val="Compact"/>
            </w:pPr>
            <w:r>
              <w:t xml:space="preserve">Chapter 5 analyses PGPR/UCPR ablation evidence, mechanism-level interpretation, and Amazon-Book KGAT boundary-case evidence.</w:t>
            </w:r>
          </w:p>
        </w:tc>
        <w:tc>
          <w:tcPr/>
          <w:p>
            <w:pPr>
              <w:pStyle w:val="Compact"/>
            </w:pPr>
            <w:r>
              <w:t xml:space="preserve">Chapter 5</w:t>
            </w:r>
          </w:p>
        </w:tc>
        <w:tc>
          <w:tcPr/>
          <w:p>
            <w:pPr>
              <w:pStyle w:val="Compact"/>
            </w:pPr>
            <w:r>
              <w:t xml:space="preserve">The ablation does not establish six-model superiority or causal explanations for other models; Amazon remains a partial stress test rather than a complete third main experiment and has no approved explanation sweeps.</w:t>
            </w:r>
          </w:p>
        </w:tc>
      </w:tr>
      <w:tr>
        <w:tc>
          <w:tcPr/>
          <w:p>
            <w:pPr>
              <w:pStyle w:val="Compact"/>
            </w:pPr>
            <w:r>
              <w:t xml:space="preserve">Cross-objective limitations and recommendations</w:t>
            </w:r>
          </w:p>
        </w:tc>
        <w:tc>
          <w:tcPr/>
          <w:p>
            <w:pPr>
              <w:pStyle w:val="Compact"/>
            </w:pPr>
            <w:r>
              <w:t xml:space="preserve">Recorded provenance, metric, significance, human-evidence, coverage, citation, and reproducibility limits and derived corresponding future-work priorities.</w:t>
            </w:r>
          </w:p>
        </w:tc>
        <w:tc>
          <w:tcPr/>
          <w:p>
            <w:pPr>
              <w:pStyle w:val="Compact"/>
            </w:pPr>
            <w:r>
              <w:t xml:space="preserve">Chapters 5–6</w:t>
            </w:r>
          </w:p>
        </w:tc>
        <w:tc>
          <w:tcPr/>
          <w:p>
            <w:pPr>
              <w:pStyle w:val="Compact"/>
            </w:pPr>
            <w:r>
              <w:t xml:space="preserve">Recommendations do not add experimental results or remove existing caveats.</w:t>
            </w:r>
          </w:p>
        </w:tc>
      </w:tr>
    </w:tbl>
    <w:p>
      <w:pPr>
        <w:pStyle w:val="BodyText"/>
      </w:pPr>
      <w:r>
        <w:rPr>
          <w:b/>
          <w:bCs/>
        </w:rPr>
        <w:t xml:space="preserve">Table 6.1. Objective-closure summary.</w:t>
      </w:r>
    </w:p>
    <w:bookmarkEnd w:id="90"/>
    <w:bookmarkStart w:id="91" w:name="recommendations-for-further-research"/>
    <w:p>
      <w:pPr>
        <w:pStyle w:val="Heading2"/>
      </w:pPr>
      <w:r>
        <w:t xml:space="preserve">6.2 Recommendations for Further Research</w:t>
      </w:r>
    </w:p>
    <w:p>
      <w:pPr>
        <w:pStyle w:val="FirstParagrap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p>
      <w:r>
        <w:pict>
          <v:rect style="width:0;height:1.5pt" o:hralign="center" o:hrstd="t" o:hr="t"/>
        </w:pict>
      </w:r>
    </w:p>
    <w:bookmarkEnd w:id="91"/>
    <w:bookmarkEnd w:id="92"/>
    <w:bookmarkStart w:id="123" w:name="references"/>
    <w:p>
      <w:pPr>
        <w:pStyle w:val="Heading1"/>
      </w:pPr>
      <w:r>
        <w:t xml:space="preserve">References</w:t>
      </w:r>
    </w:p>
    <w:p>
      <w:pPr>
        <w:pStyle w:val="FirstParagraph"/>
      </w:pPr>
      <w:r>
        <w:t xml:space="preserve">This display list contains the 29 citation keys used in Chapters 1–6. Metadata is taken from the assembled BibTeX sources; entries marked for manual verification retain that status.</w:t>
      </w:r>
    </w:p>
    <w:p>
      <w:pPr>
        <w:pStyle w:val="Compact"/>
        <w:numPr>
          <w:ilvl w:val="0"/>
          <w:numId w:val="1005"/>
        </w:numPr>
      </w:pPr>
      <w:r>
        <w:rPr>
          <w:rStyle w:val="VerbatimChar"/>
        </w:rPr>
        <w:t xml:space="preserve">afsar2022rlRecSurvey</w:t>
      </w:r>
      <w:r>
        <w:t xml:space="preserve"> </w:t>
      </w:r>
      <w:r>
        <w:t xml:space="preserve">— Afsar, M. Mehdi; Crump, Trafford; Far, Behrouz (2022). “Reinforcement Learning Based Recommender Systems: A Survey.”</w:t>
      </w:r>
      <w:r>
        <w:t xml:space="preserve"> </w:t>
      </w:r>
      <w:r>
        <w:rPr>
          <w:i/>
          <w:iCs/>
        </w:rPr>
        <w:t xml:space="preserve">ACM Computing Surveys</w:t>
      </w:r>
      <w:r>
        <w:t xml:space="preserve">. DOI:</w:t>
      </w:r>
      <w:r>
        <w:t xml:space="preserve"> </w:t>
      </w:r>
      <w:hyperlink r:id="rId93">
        <w:r>
          <w:rPr>
            <w:rStyle w:val="Hyperlink"/>
          </w:rPr>
          <w:t xml:space="preserve">10.1145/3543846</w:t>
        </w:r>
      </w:hyperlink>
      <w:r>
        <w:t xml:space="preserve">.</w:t>
      </w:r>
    </w:p>
    <w:p>
      <w:pPr>
        <w:pStyle w:val="Compact"/>
        <w:numPr>
          <w:ilvl w:val="0"/>
          <w:numId w:val="1005"/>
        </w:numPr>
      </w:pPr>
      <w:r>
        <w:rPr>
          <w:rStyle w:val="VerbatimChar"/>
        </w:rPr>
        <w:t xml:space="preserve">balloccu2022xrecsys</w:t>
      </w:r>
      <w:r>
        <w:t xml:space="preserve"> </w:t>
      </w:r>
      <w:r>
        <w:t xml:space="preserve">— Balloccu, Giacomo; Boratto, Ludovico; Fenu, Gianni; Marras, Mirko (2022). “Post Processing Recommender Systems with Knowledge Graphs for Recency, Popularity, and Diversity of Explanations.”</w:t>
      </w:r>
      <w:r>
        <w:t xml:space="preserve"> </w:t>
      </w:r>
      <w:r>
        <w:rPr>
          <w:i/>
          <w:iCs/>
        </w:rPr>
        <w:t xml:space="preserve">Proceedings of the 45th International ACM SIGIR Conference on Research and Development in Information Retrieval</w:t>
      </w:r>
      <w:r>
        <w:t xml:space="preserve">. DOI:</w:t>
      </w:r>
      <w:r>
        <w:t xml:space="preserve"> </w:t>
      </w:r>
      <w:hyperlink r:id="rId94">
        <w:r>
          <w:rPr>
            <w:rStyle w:val="Hyperlink"/>
          </w:rPr>
          <w:t xml:space="preserve">10.1145/3477495.3532041</w:t>
        </w:r>
      </w:hyperlink>
      <w:r>
        <w:t xml:space="preserve">.</w:t>
      </w:r>
    </w:p>
    <w:p>
      <w:pPr>
        <w:pStyle w:val="Compact"/>
        <w:numPr>
          <w:ilvl w:val="0"/>
          <w:numId w:val="1005"/>
        </w:numPr>
      </w:pPr>
      <w:r>
        <w:rPr>
          <w:rStyle w:val="VerbatimChar"/>
        </w:rPr>
        <w:t xml:space="preserve">balloccu2022xrecsysFramework</w:t>
      </w:r>
      <w:r>
        <w:t xml:space="preserve"> </w:t>
      </w:r>
      <w:r>
        <w:t xml:space="preserve">— Balloccu, Giacomo; Boratto, Ludovico; Fenu, Gianni; Marras, Mirko (2022). “XRecSys: A Framework for Path Reasoning Quality in Explainable Recommendation.”</w:t>
      </w:r>
      <w:r>
        <w:t xml:space="preserve"> </w:t>
      </w:r>
      <w:r>
        <w:rPr>
          <w:i/>
          <w:iCs/>
        </w:rPr>
        <w:t xml:space="preserve">Software Impacts</w:t>
      </w:r>
      <w:r>
        <w:t xml:space="preserve">. DOI:</w:t>
      </w:r>
      <w:r>
        <w:t xml:space="preserve"> </w:t>
      </w:r>
      <w:hyperlink r:id="rId95">
        <w:r>
          <w:rPr>
            <w:rStyle w:val="Hyperlink"/>
          </w:rPr>
          <w:t xml:space="preserve">10.1016/j.simpa.2022.100404</w:t>
        </w:r>
      </w:hyperlink>
      <w:r>
        <w:t xml:space="preserve">.</w:t>
      </w:r>
    </w:p>
    <w:p>
      <w:pPr>
        <w:pStyle w:val="Compact"/>
        <w:numPr>
          <w:ilvl w:val="0"/>
          <w:numId w:val="1005"/>
        </w:numPr>
      </w:pPr>
      <w:r>
        <w:rPr>
          <w:rStyle w:val="VerbatimChar"/>
        </w:rPr>
        <w:t xml:space="preserve">balloccu2023pearlm</w:t>
      </w:r>
      <w:r>
        <w:t xml:space="preserve"> </w:t>
      </w:r>
      <w:r>
        <w:t xml:space="preserve">— Balloccu, Giacomo; Boratto, Ludovico; Cancedda, Christian; Fenu, Gianni; Marras, Mirko (2023). “Faithful Path Language Modeling for Explainable Recommendation over Knowledge Graph.”</w:t>
      </w:r>
      <w:r>
        <w:t xml:space="preserve"> </w:t>
      </w:r>
      <w:r>
        <w:rPr>
          <w:i/>
          <w:iCs/>
        </w:rPr>
        <w:t xml:space="preserve">arXiv</w:t>
      </w:r>
      <w:r>
        <w:t xml:space="preserve">.</w:t>
      </w:r>
      <w:r>
        <w:t xml:space="preserve"> </w:t>
      </w:r>
      <w:hyperlink r:id="rId96">
        <w:r>
          <w:rPr>
            <w:rStyle w:val="Hyperlink"/>
          </w:rPr>
          <w:t xml:space="preserve">https://arxiv.org/abs/2310.16452</w:t>
        </w:r>
      </w:hyperlink>
      <w:r>
        <w:t xml:space="preserve">.</w:t>
      </w:r>
      <w:r>
        <w:t xml:space="preserve"> </w:t>
      </w:r>
      <w:r>
        <w:rPr>
          <w:b/>
          <w:bCs/>
        </w:rPr>
        <w:t xml:space="preserve">Manual note:</w:t>
      </w:r>
      <w:r>
        <w:t xml:space="preserve"> </w:t>
      </w:r>
      <w:r>
        <w:t xml:space="preserve">ArXiv metadata verified; final venue and publisher DOI not verified. Requires manual verification before final submission.</w:t>
      </w:r>
    </w:p>
    <w:p>
      <w:pPr>
        <w:pStyle w:val="Compact"/>
        <w:numPr>
          <w:ilvl w:val="0"/>
          <w:numId w:val="1005"/>
        </w:numPr>
      </w:pPr>
      <w:r>
        <w:rPr>
          <w:rStyle w:val="VerbatimChar"/>
        </w:rPr>
        <w:t xml:space="preserve">balloccu2024kgglm</w:t>
      </w:r>
      <w:r>
        <w:t xml:space="preserve"> </w:t>
      </w:r>
      <w:r>
        <w:t xml:space="preserve">— Balloccu, Giacomo; Boratto, Ludovico; Fenu, Gianni; Marras, Mirko; Soccol, Alessandro (2024). “KGGLM: A Generative Language Model for Generalizable Knowledge Graph Representation Learning in Recommendation.”</w:t>
      </w:r>
      <w:r>
        <w:t xml:space="preserve"> </w:t>
      </w:r>
      <w:r>
        <w:rPr>
          <w:i/>
          <w:iCs/>
        </w:rPr>
        <w:t xml:space="preserve">Proceedings of the 18th ACM Conference on Recommender Systems</w:t>
      </w:r>
      <w:r>
        <w:t xml:space="preserve">. DOI:</w:t>
      </w:r>
      <w:r>
        <w:t xml:space="preserve"> </w:t>
      </w:r>
      <w:hyperlink r:id="rId97">
        <w:r>
          <w:rPr>
            <w:rStyle w:val="Hyperlink"/>
          </w:rPr>
          <w:t xml:space="preserve">10.1145/3640457.3691703</w:t>
        </w:r>
      </w:hyperlink>
      <w:r>
        <w:t xml:space="preserve">.</w:t>
      </w:r>
    </w:p>
    <w:p>
      <w:pPr>
        <w:pStyle w:val="Compact"/>
        <w:numPr>
          <w:ilvl w:val="0"/>
          <w:numId w:val="1005"/>
        </w:numPr>
      </w:pPr>
      <w:r>
        <w:rPr>
          <w:rStyle w:val="VerbatimChar"/>
        </w:rPr>
        <w:t xml:space="preserve">chen2021drlRecSurvey</w:t>
      </w:r>
      <w:r>
        <w:t xml:space="preserve"> </w:t>
      </w:r>
      <w:r>
        <w:t xml:space="preserve">— Chen, Xiaocong; Yao, Lina; McAuley, Julian; Zhou, Guanglin; Wang, Xianzhi (2021). “A Survey of Deep Reinforcement Learning in Recommender Systems: A Systematic Review and Future Directions.”</w:t>
      </w:r>
      <w:r>
        <w:t xml:space="preserve"> </w:t>
      </w:r>
      <w:r>
        <w:rPr>
          <w:i/>
          <w:iCs/>
        </w:rPr>
        <w:t xml:space="preserve">arXiv</w:t>
      </w:r>
      <w:r>
        <w:t xml:space="preserve">.</w:t>
      </w:r>
      <w:r>
        <w:t xml:space="preserve"> </w:t>
      </w:r>
      <w:hyperlink r:id="rId98">
        <w:r>
          <w:rPr>
            <w:rStyle w:val="Hyperlink"/>
          </w:rPr>
          <w:t xml:space="preserve">https://arxiv.org/abs/2109.03540</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ge2025trustworthyRecSurvey</w:t>
      </w:r>
      <w:r>
        <w:t xml:space="preserve"> </w:t>
      </w:r>
      <w:r>
        <w:t xml:space="preserve">— Ge, Yingqiang; Liu, Shuchang; Fu, Zuohui; Tan, Juntao; Li, Zelong; Xu, Shuyuan; Li, Yunqi; Xian, Yikun; Zhang, Yongfeng (2025). “A Survey on Trustworthy Recommender Systems.”</w:t>
      </w:r>
      <w:r>
        <w:t xml:space="preserve"> </w:t>
      </w:r>
      <w:r>
        <w:rPr>
          <w:i/>
          <w:iCs/>
        </w:rPr>
        <w:t xml:space="preserve">ACM Transactions on Recommender Systems</w:t>
      </w:r>
      <w:r>
        <w:t xml:space="preserve">. DOI:</w:t>
      </w:r>
      <w:r>
        <w:t xml:space="preserve"> </w:t>
      </w:r>
      <w:hyperlink r:id="rId99">
        <w:r>
          <w:rPr>
            <w:rStyle w:val="Hyperlink"/>
          </w:rPr>
          <w:t xml:space="preserve">10.1145/3652891</w:t>
        </w:r>
      </w:hyperlink>
      <w:r>
        <w:t xml:space="preserve">.</w:t>
      </w:r>
    </w:p>
    <w:p>
      <w:pPr>
        <w:pStyle w:val="Compact"/>
        <w:numPr>
          <w:ilvl w:val="0"/>
          <w:numId w:val="1005"/>
        </w:numPr>
      </w:pPr>
      <w:r>
        <w:rPr>
          <w:rStyle w:val="VerbatimChar"/>
        </w:rPr>
        <w:t xml:space="preserve">guo2022kgsurvey</w:t>
      </w:r>
      <w:r>
        <w:t xml:space="preserve"> </w:t>
      </w:r>
      <w:r>
        <w:t xml:space="preserve">— Guo, Qingyu; Zhuang, Fuzhen; Qin, Chuan; Zhu, Hengshu; Xie, Xing; Xiong, Hui; He, Qing (2022). “A Survey on Knowledge Graph-Based Recommender Systems.”</w:t>
      </w:r>
      <w:r>
        <w:t xml:space="preserve"> </w:t>
      </w:r>
      <w:r>
        <w:rPr>
          <w:i/>
          <w:iCs/>
        </w:rPr>
        <w:t xml:space="preserve">IEEE Transactions on Knowledge and Data Engineering</w:t>
      </w:r>
      <w:r>
        <w:t xml:space="preserve">. DOI:</w:t>
      </w:r>
      <w:r>
        <w:t xml:space="preserve"> </w:t>
      </w:r>
      <w:hyperlink r:id="rId100">
        <w:r>
          <w:rPr>
            <w:rStyle w:val="Hyperlink"/>
          </w:rPr>
          <w:t xml:space="preserve">10.1109/TKDE.2020.3028705</w:t>
        </w:r>
      </w:hyperlink>
      <w:r>
        <w:t xml:space="preserve">.</w:t>
      </w:r>
    </w:p>
    <w:p>
      <w:pPr>
        <w:pStyle w:val="Compact"/>
        <w:numPr>
          <w:ilvl w:val="0"/>
          <w:numId w:val="1005"/>
        </w:numPr>
      </w:pPr>
      <w:r>
        <w:rPr>
          <w:rStyle w:val="VerbatimChar"/>
        </w:rPr>
        <w:t xml:space="preserve">kokhlikyan2020captum</w:t>
      </w:r>
      <w:r>
        <w:t xml:space="preserve"> </w:t>
      </w:r>
      <w:r>
        <w:t xml:space="preserve">— Kokhlikyan, Narine; Miglani, Vivek; Martin, Miguel; Wang, Edward; Alsallakh, Bilal; Reynolds, Jonathan; Melnikov, Alexander; Kliushkina, Natalia; Araya, Carlos; Yan, Siqi; Reblitz-Richardson, Orion (2020). “Captum: A Unified and Generic Model Interpretability Library for PyTorch.”</w:t>
      </w:r>
      <w:r>
        <w:t xml:space="preserve"> </w:t>
      </w:r>
      <w:r>
        <w:rPr>
          <w:i/>
          <w:iCs/>
        </w:rPr>
        <w:t xml:space="preserve">arXiv</w:t>
      </w:r>
      <w:r>
        <w:t xml:space="preserve">.</w:t>
      </w:r>
      <w:r>
        <w:t xml:space="preserve"> </w:t>
      </w:r>
      <w:hyperlink r:id="rId101">
        <w:r>
          <w:rPr>
            <w:rStyle w:val="Hyperlink"/>
          </w:rPr>
          <w:t xml:space="preserve">https://arxiv.org/abs/2009.07896</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lin2024rlRecSurvey</w:t>
      </w:r>
      <w:r>
        <w:t xml:space="preserve"> </w:t>
      </w:r>
      <w:r>
        <w:t xml:space="preserve">— Lin, Yuanguo; Liu, Yong; Lin, Fan; Zou, Lixin; Wu, Pengcheng; Zeng, Wenhua; Chen, Huanhuan; Miao, Chunyan (2024). “A Survey on Reinforcement Learning for Recommender Systems.”</w:t>
      </w:r>
      <w:r>
        <w:t xml:space="preserve"> </w:t>
      </w:r>
      <w:r>
        <w:rPr>
          <w:i/>
          <w:iCs/>
        </w:rPr>
        <w:t xml:space="preserve">IEEE Transactions on Neural Networks and Learning Systems</w:t>
      </w:r>
      <w:r>
        <w:t xml:space="preserve">. DOI:</w:t>
      </w:r>
      <w:r>
        <w:t xml:space="preserve"> </w:t>
      </w:r>
      <w:hyperlink r:id="rId102">
        <w:r>
          <w:rPr>
            <w:rStyle w:val="Hyperlink"/>
          </w:rPr>
          <w:t xml:space="preserve">10.1109/TNNLS.2023.3280161</w:t>
        </w:r>
      </w:hyperlink>
      <w:r>
        <w:t xml:space="preserve">.</w:t>
      </w:r>
    </w:p>
    <w:p>
      <w:pPr>
        <w:pStyle w:val="Compact"/>
        <w:numPr>
          <w:ilvl w:val="0"/>
          <w:numId w:val="1005"/>
        </w:numPr>
      </w:pPr>
      <w:r>
        <w:rPr>
          <w:rStyle w:val="VerbatimChar"/>
        </w:rPr>
        <w:t xml:space="preserve">lin2025llmRecSurvey</w:t>
      </w:r>
      <w:r>
        <w:t xml:space="preserve"> </w:t>
      </w:r>
      <w:r>
        <w:t xml:space="preserve">— Lin, Jianghao; Dai, Xinyi; Xi, Yunjia; Liu, Weiwen; Chen, Bo; Zhang, Hao; Liu, Yong; Wu, Chuhan; Li, Xiangyang; Zhu, Chenxu; Guo, Huifeng; Yu, Yong; Tang, Ruiming; Zhang, Weinan (2025). “How Can Recommender Systems Benefit from Large Language Models: A Survey.”</w:t>
      </w:r>
      <w:r>
        <w:t xml:space="preserve"> </w:t>
      </w:r>
      <w:r>
        <w:rPr>
          <w:i/>
          <w:iCs/>
        </w:rPr>
        <w:t xml:space="preserve">ACM Transactions on Information Systems</w:t>
      </w:r>
      <w:r>
        <w:t xml:space="preserve">. DOI:</w:t>
      </w:r>
      <w:r>
        <w:t xml:space="preserve"> </w:t>
      </w:r>
      <w:hyperlink r:id="rId103">
        <w:r>
          <w:rPr>
            <w:rStyle w:val="Hyperlink"/>
          </w:rPr>
          <w:t xml:space="preserve">10.1145/3678004</w:t>
        </w:r>
      </w:hyperlink>
      <w:r>
        <w:t xml:space="preserve">.</w:t>
      </w:r>
    </w:p>
    <w:p>
      <w:pPr>
        <w:pStyle w:val="Compact"/>
        <w:numPr>
          <w:ilvl w:val="0"/>
          <w:numId w:val="1005"/>
        </w:numPr>
      </w:pPr>
      <w:r>
        <w:rPr>
          <w:rStyle w:val="VerbatimChar"/>
        </w:rPr>
        <w:t xml:space="preserve">lopezAvila2025llmMultimodalRec</w:t>
      </w:r>
      <w:r>
        <w:t xml:space="preserve"> </w:t>
      </w:r>
      <w:r>
        <w:t xml:space="preserve">— L'opez-'Avila, Alejo; Du, Jinhua (2025). “A Survey on Large Language Models in Multimodal Recommender Systems.”</w:t>
      </w:r>
      <w:r>
        <w:t xml:space="preserve"> </w:t>
      </w:r>
      <w:r>
        <w:rPr>
          <w:i/>
          <w:iCs/>
        </w:rPr>
        <w:t xml:space="preserve">arXiv</w:t>
      </w:r>
      <w:r>
        <w:t xml:space="preserve">.</w:t>
      </w:r>
      <w:r>
        <w:t xml:space="preserve"> </w:t>
      </w:r>
      <w:hyperlink r:id="rId104">
        <w:r>
          <w:rPr>
            <w:rStyle w:val="Hyperlink"/>
          </w:rPr>
          <w:t xml:space="preserve">https://arxiv.org/abs/2505.09777</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lu2023vrkg4rec</w:t>
      </w:r>
      <w:r>
        <w:t xml:space="preserve"> </w:t>
      </w:r>
      <w:r>
        <w:t xml:space="preserve">— Lu, Lingyun; Wang, Bang; Zhang, Zizhuo; Liu, Shenghao; Xu, Han (2023). “VRKG4Rec: Virtual Relational Knowledge Graph for Recommendation.”</w:t>
      </w:r>
      <w:r>
        <w:t xml:space="preserve"> </w:t>
      </w:r>
      <w:r>
        <w:rPr>
          <w:i/>
          <w:iCs/>
        </w:rPr>
        <w:t xml:space="preserve">Proceedings of the Sixteenth ACM International Conference on Web Search and Data Mining</w:t>
      </w:r>
      <w:r>
        <w:t xml:space="preserve">. DOI:</w:t>
      </w:r>
      <w:r>
        <w:t xml:space="preserve"> </w:t>
      </w:r>
      <w:hyperlink r:id="rId105">
        <w:r>
          <w:rPr>
            <w:rStyle w:val="Hyperlink"/>
          </w:rPr>
          <w:t xml:space="preserve">10.1145/3539597.3570482</w:t>
        </w:r>
      </w:hyperlink>
      <w:r>
        <w:t xml:space="preserve">.</w:t>
      </w:r>
    </w:p>
    <w:p>
      <w:pPr>
        <w:pStyle w:val="Compact"/>
        <w:numPr>
          <w:ilvl w:val="0"/>
          <w:numId w:val="1005"/>
        </w:numPr>
      </w:pPr>
      <w:r>
        <w:rPr>
          <w:rStyle w:val="VerbatimChar"/>
        </w:rPr>
        <w:t xml:space="preserve">markchom2026graphExplainableSurvey</w:t>
      </w:r>
      <w:r>
        <w:t xml:space="preserve"> </w:t>
      </w:r>
      <w:r>
        <w:t xml:space="preserve">— Markchom, Thanet; Liang, Huizhi; Ferryman, James M. (2026). “Review of Explainable Graph-Based Recommender Systems.”</w:t>
      </w:r>
      <w:r>
        <w:t xml:space="preserve"> </w:t>
      </w:r>
      <w:r>
        <w:rPr>
          <w:i/>
          <w:iCs/>
        </w:rPr>
        <w:t xml:space="preserve">ACM Computing Surveys</w:t>
      </w:r>
      <w:r>
        <w:t xml:space="preserve">. DOI:</w:t>
      </w:r>
      <w:r>
        <w:t xml:space="preserve"> </w:t>
      </w:r>
      <w:hyperlink r:id="rId106">
        <w:r>
          <w:rPr>
            <w:rStyle w:val="Hyperlink"/>
          </w:rPr>
          <w:t xml:space="preserve">10.1145/3772273</w:t>
        </w:r>
      </w:hyperlink>
      <w:r>
        <w:t xml:space="preserve">.</w:t>
      </w:r>
    </w:p>
    <w:p>
      <w:pPr>
        <w:pStyle w:val="Compact"/>
        <w:numPr>
          <w:ilvl w:val="0"/>
          <w:numId w:val="1005"/>
        </w:numPr>
      </w:pPr>
      <w:r>
        <w:rPr>
          <w:rStyle w:val="VerbatimChar"/>
        </w:rPr>
        <w:t xml:space="preserve">nori2019interpretml</w:t>
      </w:r>
      <w:r>
        <w:t xml:space="preserve"> </w:t>
      </w:r>
      <w:r>
        <w:t xml:space="preserve">— Nori, Harsha; Jenkins, Samuel; Koch, Paul; Caruana, Rich (2019). “InterpretML: A Unified Framework for Machine Learning Interpretability.”</w:t>
      </w:r>
      <w:r>
        <w:t xml:space="preserve"> </w:t>
      </w:r>
      <w:r>
        <w:rPr>
          <w:i/>
          <w:iCs/>
        </w:rPr>
        <w:t xml:space="preserve">arXiv</w:t>
      </w:r>
      <w:r>
        <w:t xml:space="preserve">.</w:t>
      </w:r>
      <w:r>
        <w:t xml:space="preserve"> </w:t>
      </w:r>
      <w:hyperlink r:id="rId107">
        <w:r>
          <w:rPr>
            <w:rStyle w:val="Hyperlink"/>
          </w:rPr>
          <w:t xml:space="preserve">https://arxiv.org/abs/1909.09223</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peng2025llmAgentsRec</w:t>
      </w:r>
      <w:r>
        <w:t xml:space="preserve"> </w:t>
      </w:r>
      <w:r>
        <w:t xml:space="preserve">— Peng, Qiyao; Liu, Hongtao; Huang, Hua; Yang, Qing; Shao, Minglai (2025). “A Survey on LLM-Powered Agents for Recommender Systems.”</w:t>
      </w:r>
      <w:r>
        <w:t xml:space="preserve"> </w:t>
      </w:r>
      <w:r>
        <w:rPr>
          <w:i/>
          <w:iCs/>
        </w:rPr>
        <w:t xml:space="preserve">arXiv</w:t>
      </w:r>
      <w:r>
        <w:t xml:space="preserve">.</w:t>
      </w:r>
      <w:r>
        <w:t xml:space="preserve"> </w:t>
      </w:r>
      <w:hyperlink r:id="rId108">
        <w:r>
          <w:rPr>
            <w:rStyle w:val="Hyperlink"/>
          </w:rPr>
          <w:t xml:space="preserve">https://arxiv.org/abs/2502.10050</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rossiiev2025rlRecSurvey</w:t>
      </w:r>
      <w:r>
        <w:t xml:space="preserve"> </w:t>
      </w:r>
      <w:r>
        <w:t xml:space="preserve">— Rossiiev, Oleksandr D.; Shapovalova, Nonna N.; Rybalchenko, Olena H.; Striuk, Andrii M. (2025). “A Comprehensive Survey on Reinforcement Learning-Based Recommender Systems: State-of-the-Art, Challenges, and Future Perspectives.”</w:t>
      </w:r>
      <w:r>
        <w:t xml:space="preserve"> </w:t>
      </w:r>
      <w:r>
        <w:rPr>
          <w:i/>
          <w:iCs/>
        </w:rPr>
        <w:t xml:space="preserve">Proceedings of the 7th Workshop for Young Scientists in Computer Science and Software Engineering</w:t>
      </w:r>
      <w:r>
        <w:t xml:space="preserve">.</w:t>
      </w:r>
      <w:r>
        <w:t xml:space="preserve"> </w:t>
      </w:r>
      <w:hyperlink r:id="rId109">
        <w:r>
          <w:rPr>
            <w:rStyle w:val="Hyperlink"/>
          </w:rPr>
          <w:t xml:space="preserve">https://ceur-ws.org/Vol-3917/paper62.pdf</w:t>
        </w:r>
      </w:hyperlink>
      <w:r>
        <w:t xml:space="preserve">.</w:t>
      </w:r>
    </w:p>
    <w:p>
      <w:pPr>
        <w:pStyle w:val="Compact"/>
        <w:numPr>
          <w:ilvl w:val="0"/>
          <w:numId w:val="1005"/>
        </w:numPr>
      </w:pPr>
      <w:r>
        <w:rPr>
          <w:rStyle w:val="VerbatimChar"/>
        </w:rPr>
        <w:t xml:space="preserve">shevchenko2024recsysBenchmarking</w:t>
      </w:r>
      <w:r>
        <w:t xml:space="preserve"> </w:t>
      </w:r>
      <w:r>
        <w:t xml:space="preserve">— Shevchenko, Valeriy; Belousov, Nikita; Vasilev, Alexey; Zholobov, Vladimir; Sosedka, Artyom; Semenova, Natalia; Volodkevich, Anna; Savchenko, Andrey; Zaytsev, Alexey (2024). “From Variability to Stability: Advancing RecSys Benchmarking Practices.”</w:t>
      </w:r>
      <w:r>
        <w:t xml:space="preserve"> </w:t>
      </w:r>
      <w:r>
        <w:rPr>
          <w:i/>
          <w:iCs/>
        </w:rPr>
        <w:t xml:space="preserve">Proceedings of the 30th ACM SIGKDD Conference on Knowledge Discovery and Data Mining</w:t>
      </w:r>
      <w:r>
        <w:t xml:space="preserve">. DOI:</w:t>
      </w:r>
      <w:r>
        <w:t xml:space="preserve"> </w:t>
      </w:r>
      <w:hyperlink r:id="rId110">
        <w:r>
          <w:rPr>
            <w:rStyle w:val="Hyperlink"/>
          </w:rPr>
          <w:t xml:space="preserve">10.1145/3637528.3671655</w:t>
        </w:r>
      </w:hyperlink>
      <w:r>
        <w:t xml:space="preserve">.</w:t>
      </w:r>
    </w:p>
    <w:p>
      <w:pPr>
        <w:pStyle w:val="Compact"/>
        <w:numPr>
          <w:ilvl w:val="0"/>
          <w:numId w:val="1005"/>
        </w:numPr>
      </w:pPr>
      <w:r>
        <w:rPr>
          <w:rStyle w:val="VerbatimChar"/>
        </w:rPr>
        <w:t xml:space="preserve">song2019ekar</w:t>
      </w:r>
      <w:r>
        <w:t xml:space="preserve"> </w:t>
      </w:r>
      <w:r>
        <w:t xml:space="preserve">— Song, Weiping; Duan, Zhijian; Yang, Ziqing; Zhu, Hao; Zhang, Ming; Tang, Jian (2019). “Ekar: An Explainable Method for Knowledge Aware Recommendation.”</w:t>
      </w:r>
      <w:r>
        <w:t xml:space="preserve"> </w:t>
      </w:r>
      <w:r>
        <w:rPr>
          <w:i/>
          <w:iCs/>
        </w:rPr>
        <w:t xml:space="preserve">arXiv</w:t>
      </w:r>
      <w:r>
        <w:t xml:space="preserve">.</w:t>
      </w:r>
      <w:r>
        <w:t xml:space="preserve"> </w:t>
      </w:r>
      <w:hyperlink r:id="rId111">
        <w:r>
          <w:rPr>
            <w:rStyle w:val="Hyperlink"/>
          </w:rPr>
          <w:t xml:space="preserve">https://arxiv.org/abs/1906.09506</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tai2021ucpr</w:t>
      </w:r>
      <w:r>
        <w:t xml:space="preserve"> </w:t>
      </w:r>
      <w:r>
        <w:t xml:space="preserve">— Tai, Chang-You; Huang, Liang-Ying; Huang, Chien-Kun; Ku, Lun-Wei (2021). “User-Centric Path Reasoning towards Explainable Recommendation.”</w:t>
      </w:r>
      <w:r>
        <w:t xml:space="preserve"> </w:t>
      </w:r>
      <w:r>
        <w:rPr>
          <w:i/>
          <w:iCs/>
        </w:rPr>
        <w:t xml:space="preserve">Proceedings of the 44th International ACM SIGIR Conference on Research and Development in Information Retrieval</w:t>
      </w:r>
      <w:r>
        <w:t xml:space="preserve">. DOI:</w:t>
      </w:r>
      <w:r>
        <w:t xml:space="preserve"> </w:t>
      </w:r>
      <w:hyperlink r:id="rId112">
        <w:r>
          <w:rPr>
            <w:rStyle w:val="Hyperlink"/>
          </w:rPr>
          <w:t xml:space="preserve">10.1145/3404835.3462847</w:t>
        </w:r>
      </w:hyperlink>
      <w:r>
        <w:t xml:space="preserve">.</w:t>
      </w:r>
    </w:p>
    <w:p>
      <w:pPr>
        <w:pStyle w:val="Compact"/>
        <w:numPr>
          <w:ilvl w:val="0"/>
          <w:numId w:val="1005"/>
        </w:numPr>
      </w:pPr>
      <w:r>
        <w:rPr>
          <w:rStyle w:val="VerbatimChar"/>
        </w:rPr>
        <w:t xml:space="preserve">wang2018ripplenet</w:t>
      </w:r>
      <w:r>
        <w:t xml:space="preserve"> </w:t>
      </w:r>
      <w:r>
        <w:t xml:space="preserve">— Wang, Hongwei; Zhang, Fuzheng; Wang, Jialin; Zhao, Miao; Li, Wenjie; Xie, Xing; Guo, Minyi (2018). “RippleNet: Propagating User Preferences on the Knowledge Graph for Recommender Systems.”</w:t>
      </w:r>
      <w:r>
        <w:t xml:space="preserve"> </w:t>
      </w:r>
      <w:r>
        <w:rPr>
          <w:i/>
          <w:iCs/>
        </w:rPr>
        <w:t xml:space="preserve">Proceedings of the 27th ACM International Conference on Information and Knowledge Management</w:t>
      </w:r>
      <w:r>
        <w:t xml:space="preserve">. DOI:</w:t>
      </w:r>
      <w:r>
        <w:t xml:space="preserve"> </w:t>
      </w:r>
      <w:hyperlink r:id="rId113">
        <w:r>
          <w:rPr>
            <w:rStyle w:val="Hyperlink"/>
          </w:rPr>
          <w:t xml:space="preserve">10.1145/3269206.3271739</w:t>
        </w:r>
      </w:hyperlink>
      <w:r>
        <w:t xml:space="preserve">.</w:t>
      </w:r>
    </w:p>
    <w:p>
      <w:pPr>
        <w:pStyle w:val="Compact"/>
        <w:numPr>
          <w:ilvl w:val="0"/>
          <w:numId w:val="1005"/>
        </w:numPr>
      </w:pPr>
      <w:r>
        <w:rPr>
          <w:rStyle w:val="VerbatimChar"/>
        </w:rPr>
        <w:t xml:space="preserve">wang2019kprn</w:t>
      </w:r>
      <w:r>
        <w:t xml:space="preserve"> </w:t>
      </w:r>
      <w:r>
        <w:t xml:space="preserve">— Wang, Xiang; Wang, Dingxian; Xu, Canran; He, Xiangnan; Cao, Yixin; Chua, Tat-Seng (2019). “Explainable Reasoning over Knowledge Graphs for Recommendation.”</w:t>
      </w:r>
      <w:r>
        <w:t xml:space="preserve"> </w:t>
      </w:r>
      <w:r>
        <w:rPr>
          <w:i/>
          <w:iCs/>
        </w:rPr>
        <w:t xml:space="preserve">Proceedings of the AAAI Conference on Artificial Intelligence</w:t>
      </w:r>
      <w:r>
        <w:t xml:space="preserve">. DOI:</w:t>
      </w:r>
      <w:r>
        <w:t xml:space="preserve"> </w:t>
      </w:r>
      <w:hyperlink r:id="rId114">
        <w:r>
          <w:rPr>
            <w:rStyle w:val="Hyperlink"/>
          </w:rPr>
          <w:t xml:space="preserve">10.1609/aaai.v33i01.33015329</w:t>
        </w:r>
      </w:hyperlink>
      <w:r>
        <w:t xml:space="preserve">.</w:t>
      </w:r>
      <w:r>
        <w:t xml:space="preserve"> </w:t>
      </w:r>
      <w:r>
        <w:rPr>
          <w:b/>
          <w:bCs/>
        </w:rPr>
        <w:t xml:space="preserve">Manual note:</w:t>
      </w:r>
      <w:r>
        <w:t xml:space="preserve"> </w:t>
      </w:r>
      <w:r>
        <w:t xml:space="preserve">This is the KPRN paper and must not be cited as PGPR.</w:t>
      </w:r>
    </w:p>
    <w:p>
      <w:pPr>
        <w:pStyle w:val="Compact"/>
        <w:numPr>
          <w:ilvl w:val="0"/>
          <w:numId w:val="1005"/>
        </w:numPr>
      </w:pPr>
      <w:r>
        <w:rPr>
          <w:rStyle w:val="VerbatimChar"/>
        </w:rPr>
        <w:t xml:space="preserve">wang2021kgin</w:t>
      </w:r>
      <w:r>
        <w:t xml:space="preserve"> </w:t>
      </w:r>
      <w:r>
        <w:t xml:space="preserve">— Wang, Xiang; Huang, Tinglin; Wang, Dingxian; Yuan, Yancheng; Liu, Zhenguang; He, Xiangnan; Chua, Tat-Seng (2021). “Learning Intents behind Interactions with Knowledge Graph for Recommendation.”</w:t>
      </w:r>
      <w:r>
        <w:t xml:space="preserve"> </w:t>
      </w:r>
      <w:r>
        <w:rPr>
          <w:i/>
          <w:iCs/>
        </w:rPr>
        <w:t xml:space="preserve">Proceedings of the Web Conference 2021</w:t>
      </w:r>
      <w:r>
        <w:t xml:space="preserve">. DOI:</w:t>
      </w:r>
      <w:r>
        <w:t xml:space="preserve"> </w:t>
      </w:r>
      <w:hyperlink r:id="rId115">
        <w:r>
          <w:rPr>
            <w:rStyle w:val="Hyperlink"/>
          </w:rPr>
          <w:t xml:space="preserve">10.1145/3442381.3450133</w:t>
        </w:r>
      </w:hyperlink>
      <w:r>
        <w:t xml:space="preserve">.</w:t>
      </w:r>
    </w:p>
    <w:p>
      <w:pPr>
        <w:pStyle w:val="Compact"/>
        <w:numPr>
          <w:ilvl w:val="0"/>
          <w:numId w:val="1005"/>
        </w:numPr>
      </w:pPr>
      <w:r>
        <w:rPr>
          <w:rStyle w:val="VerbatimChar"/>
        </w:rPr>
        <w:t xml:space="preserve">wang2022multilevelReasoning</w:t>
      </w:r>
      <w:r>
        <w:t xml:space="preserve"> </w:t>
      </w:r>
      <w:r>
        <w:t xml:space="preserve">— Wang, Xiting; Liu, Kunpeng; Wang, Dongjie; Wu, Le; Fu, Yanjie; Xie, Xing (2022). “Multi-Level Recommendation Reasoning over Knowledge Graphs with Reinforcement Learning.”</w:t>
      </w:r>
      <w:r>
        <w:t xml:space="preserve"> </w:t>
      </w:r>
      <w:r>
        <w:rPr>
          <w:i/>
          <w:iCs/>
        </w:rPr>
        <w:t xml:space="preserve">Proceedings of the ACM Web Conference 2022</w:t>
      </w:r>
      <w:r>
        <w:t xml:space="preserve">. DOI:</w:t>
      </w:r>
      <w:r>
        <w:t xml:space="preserve"> </w:t>
      </w:r>
      <w:hyperlink r:id="rId116">
        <w:r>
          <w:rPr>
            <w:rStyle w:val="Hyperlink"/>
          </w:rPr>
          <w:t xml:space="preserve">10.1145/3485447.3512083</w:t>
        </w:r>
      </w:hyperlink>
      <w:r>
        <w:t xml:space="preserve">.</w:t>
      </w:r>
    </w:p>
    <w:p>
      <w:pPr>
        <w:pStyle w:val="Compact"/>
        <w:numPr>
          <w:ilvl w:val="0"/>
          <w:numId w:val="1005"/>
        </w:numPr>
      </w:pPr>
      <w:r>
        <w:rPr>
          <w:rStyle w:val="VerbatimChar"/>
        </w:rPr>
        <w:t xml:space="preserve">xian2019pgpr</w:t>
      </w:r>
      <w:r>
        <w:t xml:space="preserve"> </w:t>
      </w:r>
      <w:r>
        <w:t xml:space="preserve">— Xian, Yikun; Fu, Zuohui; Muthukrishnan, S.; de Melo, Gerard; Zhang, Yongfeng (2019). “Reinforcement Knowledge Graph Reasoning for Explainable Recommendation.”</w:t>
      </w:r>
      <w:r>
        <w:t xml:space="preserve"> </w:t>
      </w:r>
      <w:r>
        <w:rPr>
          <w:i/>
          <w:iCs/>
        </w:rPr>
        <w:t xml:space="preserve">Proceedings of the 42nd International ACM SIGIR Conference on Research and Development in Information Retrieval</w:t>
      </w:r>
      <w:r>
        <w:t xml:space="preserve">. DOI:</w:t>
      </w:r>
      <w:r>
        <w:t xml:space="preserve"> </w:t>
      </w:r>
      <w:hyperlink r:id="rId117">
        <w:r>
          <w:rPr>
            <w:rStyle w:val="Hyperlink"/>
          </w:rPr>
          <w:t xml:space="preserve">10.1145/3331184.3331203</w:t>
        </w:r>
      </w:hyperlink>
      <w:r>
        <w:t xml:space="preserve">.</w:t>
      </w:r>
    </w:p>
    <w:p>
      <w:pPr>
        <w:pStyle w:val="Compact"/>
        <w:numPr>
          <w:ilvl w:val="0"/>
          <w:numId w:val="1005"/>
        </w:numPr>
      </w:pPr>
      <w:r>
        <w:rPr>
          <w:rStyle w:val="VerbatimChar"/>
        </w:rPr>
        <w:t xml:space="preserve">xian2020cafe</w:t>
      </w:r>
      <w:r>
        <w:t xml:space="preserve"> </w:t>
      </w:r>
      <w:r>
        <w:t xml:space="preserve">— Xian, Yikun; Fu, Zuohui; Zhao, Handong; Ge, Yingqiang; Chen, Xu; Huang, Qiaoying; Geng, Shijie; Qin, Zhou; de Melo, Gerard; Muthukrishnan, S.; Zhang, Yongfeng (2020). “CAFE: Coarse-to-Fine Neural Symbolic Reasoning for Explainable Recommendation.”</w:t>
      </w:r>
      <w:r>
        <w:t xml:space="preserve"> </w:t>
      </w:r>
      <w:r>
        <w:rPr>
          <w:i/>
          <w:iCs/>
        </w:rPr>
        <w:t xml:space="preserve">Proceedings of the 29th ACM International Conference on Information and Knowledge Management</w:t>
      </w:r>
      <w:r>
        <w:t xml:space="preserve">. DOI:</w:t>
      </w:r>
      <w:r>
        <w:t xml:space="preserve"> </w:t>
      </w:r>
      <w:hyperlink r:id="rId118">
        <w:r>
          <w:rPr>
            <w:rStyle w:val="Hyperlink"/>
          </w:rPr>
          <w:t xml:space="preserve">10.1145/3340531.3412038</w:t>
        </w:r>
      </w:hyperlink>
      <w:r>
        <w:t xml:space="preserve">.</w:t>
      </w:r>
    </w:p>
    <w:p>
      <w:pPr>
        <w:pStyle w:val="Compact"/>
        <w:numPr>
          <w:ilvl w:val="0"/>
          <w:numId w:val="1005"/>
        </w:numPr>
      </w:pPr>
      <w:r>
        <w:rPr>
          <w:rStyle w:val="VerbatimChar"/>
        </w:rPr>
        <w:t xml:space="preserve">yuan2020gnnExplainability</w:t>
      </w:r>
      <w:r>
        <w:t xml:space="preserve"> </w:t>
      </w:r>
      <w:r>
        <w:t xml:space="preserve">— Yuan, Hao; Yu, Haiyang; Gui, Shurui; Ji, Shuiwang (2020). “Explainability in Graph Neural Networks: A Taxonomic Survey.”</w:t>
      </w:r>
      <w:r>
        <w:t xml:space="preserve"> </w:t>
      </w:r>
      <w:r>
        <w:rPr>
          <w:i/>
          <w:iCs/>
        </w:rPr>
        <w:t xml:space="preserve">arXiv</w:t>
      </w:r>
      <w:r>
        <w:t xml:space="preserve">.</w:t>
      </w:r>
      <w:r>
        <w:t xml:space="preserve"> </w:t>
      </w:r>
      <w:hyperlink r:id="rId119">
        <w:r>
          <w:rPr>
            <w:rStyle w:val="Hyperlink"/>
          </w:rPr>
          <w:t xml:space="preserve">https://arxiv.org/abs/2012.15445</w:t>
        </w:r>
      </w:hyperlink>
      <w:r>
        <w:t xml:space="preserve">.</w:t>
      </w:r>
      <w:r>
        <w:t xml:space="preserve"> </w:t>
      </w:r>
      <w:r>
        <w:rPr>
          <w:b/>
          <w:bCs/>
        </w:rPr>
        <w:t xml:space="preserve">Manual note:</w:t>
      </w:r>
      <w:r>
        <w:t xml:space="preserve"> </w:t>
      </w:r>
      <w:r>
        <w:t xml:space="preserve">ArXiv metadata verified; no final venue asserted.</w:t>
      </w:r>
    </w:p>
    <w:p>
      <w:pPr>
        <w:pStyle w:val="Compact"/>
        <w:numPr>
          <w:ilvl w:val="0"/>
          <w:numId w:val="1005"/>
        </w:numPr>
      </w:pPr>
      <w:r>
        <w:rPr>
          <w:rStyle w:val="VerbatimChar"/>
        </w:rPr>
        <w:t xml:space="preserve">zhang2020explainableSurvey</w:t>
      </w:r>
      <w:r>
        <w:t xml:space="preserve"> </w:t>
      </w:r>
      <w:r>
        <w:t xml:space="preserve">— Zhang, Yongfeng; Chen, Xu (2020). “Explainable Recommendation: A Survey and New Perspectives.”</w:t>
      </w:r>
      <w:r>
        <w:t xml:space="preserve"> </w:t>
      </w:r>
      <w:r>
        <w:rPr>
          <w:i/>
          <w:iCs/>
        </w:rPr>
        <w:t xml:space="preserve">Foundations and Trends in Information Retrieval</w:t>
      </w:r>
      <w:r>
        <w:t xml:space="preserve">. DOI:</w:t>
      </w:r>
      <w:r>
        <w:t xml:space="preserve"> </w:t>
      </w:r>
      <w:hyperlink r:id="rId120">
        <w:r>
          <w:rPr>
            <w:rStyle w:val="Hyperlink"/>
          </w:rPr>
          <w:t xml:space="preserve">10.1561/1500000066</w:t>
        </w:r>
      </w:hyperlink>
      <w:r>
        <w:t xml:space="preserve">.</w:t>
      </w:r>
    </w:p>
    <w:p>
      <w:pPr>
        <w:pStyle w:val="Compact"/>
        <w:numPr>
          <w:ilvl w:val="0"/>
          <w:numId w:val="1005"/>
        </w:numPr>
      </w:pPr>
      <w:r>
        <w:rPr>
          <w:rStyle w:val="VerbatimChar"/>
        </w:rPr>
        <w:t xml:space="preserve">zhao2022tprec</w:t>
      </w:r>
      <w:r>
        <w:t xml:space="preserve"> </w:t>
      </w:r>
      <w:r>
        <w:t xml:space="preserve">— Zhao, Yuyue; Wang, Xiang; Chen, Jiawei; Wang, Yashen; Tang, Wei; He, Xiangnan; Xie, Haiyong (2022). “Time-Aware Path Reasoning on Knowledge Graph for Recommendation.”</w:t>
      </w:r>
      <w:r>
        <w:t xml:space="preserve"> </w:t>
      </w:r>
      <w:r>
        <w:rPr>
          <w:i/>
          <w:iCs/>
        </w:rPr>
        <w:t xml:space="preserve">ACM Transactions on Information Systems</w:t>
      </w:r>
      <w:r>
        <w:t xml:space="preserve">. DOI:</w:t>
      </w:r>
      <w:r>
        <w:t xml:space="preserve"> </w:t>
      </w:r>
      <w:hyperlink r:id="rId121">
        <w:r>
          <w:rPr>
            <w:rStyle w:val="Hyperlink"/>
          </w:rPr>
          <w:t xml:space="preserve">10.1145/3531267</w:t>
        </w:r>
      </w:hyperlink>
      <w:r>
        <w:t xml:space="preserve">.</w:t>
      </w:r>
    </w:p>
    <w:p>
      <w:pPr>
        <w:pStyle w:val="FirstParagraph"/>
      </w:pPr>
      <w:r>
        <w:t xml:space="preserve">BibTeX source:</w:t>
      </w:r>
      <w:r>
        <w:t xml:space="preserve"> </w:t>
      </w:r>
      <w:hyperlink r:id="rId122">
        <w:r>
          <w:rPr>
            <w:rStyle w:val="VerbatimChar"/>
          </w:rPr>
          <w:t xml:space="preserve">REFERENCES_ASSEMBLED_V1.bib</w:t>
        </w:r>
      </w:hyperlink>
      <w:r>
        <w:t xml:space="preserve">.</w:t>
      </w:r>
    </w:p>
    <w:p>
      <w:r>
        <w:pict>
          <v:rect style="width:0;height:1.5pt" o:hralign="center" o:hrstd="t" o:hr="t"/>
        </w:pict>
      </w:r>
    </w:p>
    <w:bookmarkEnd w:id="123"/>
    <w:bookmarkStart w:id="133" w:name="appendices"/>
    <w:p>
      <w:pPr>
        <w:pStyle w:val="Heading1"/>
      </w:pPr>
      <w:r>
        <w:t xml:space="preserve">Appendices</w:t>
      </w:r>
    </w:p>
    <w:p>
      <w:pPr>
        <w:pStyle w:val="FirstParagraph"/>
      </w:pPr>
      <w:r>
        <w:t xml:space="preserve">This plan identifies dissertation material that can be inserted during final formatting. It does not fabricate unavailable appendix data or alter the evidence boundaries of Chapters 1–6.</w:t>
      </w:r>
    </w:p>
    <w:bookmarkStart w:id="124" w:name="Xf87941347d0bec1bfb8ba5738c40580e64ad6eb"/>
    <w:p>
      <w:pPr>
        <w:pStyle w:val="Heading2"/>
      </w:pPr>
      <w:r>
        <w:t xml:space="preserve">Appendix A: Canonical Export Contract and Validation Details</w:t>
      </w:r>
    </w:p>
    <w:p>
      <w:pPr>
        <w:pStyle w:val="FirstParagraph"/>
      </w:pPr>
      <w:r>
        <w:t xml:space="preserve">Planned contents: the three-file native-path export contract, field-level requirements, canonical identifier recovery, and the registered validation gates. Supporting material is available in</w:t>
      </w:r>
      <w:r>
        <w:t xml:space="preserve"> </w:t>
      </w:r>
      <w:r>
        <w:rPr>
          <w:rStyle w:val="VerbatimChar"/>
        </w:rPr>
        <w:t xml:space="preserve">thesis_analysis_pack/goal_12_chapter_3_material_pack.md</w:t>
      </w:r>
      <w:r>
        <w:t xml:space="preserve"> </w:t>
      </w:r>
      <w:r>
        <w:t xml:space="preserve">and the repository validation scripts. Full command outputs are to be selected during final formatting.</w:t>
      </w:r>
    </w:p>
    <w:bookmarkEnd w:id="124"/>
    <w:bookmarkStart w:id="125" w:name="Xbaebfe37c51a5e7146c462c81722fb122fa3c77"/>
    <w:p>
      <w:pPr>
        <w:pStyle w:val="Heading2"/>
      </w:pPr>
      <w:r>
        <w:t xml:space="preserve">Appendix B: Full Metric Definitions and Notation</w:t>
      </w:r>
    </w:p>
    <w:p>
      <w:pPr>
        <w:pStyle w:val="FirstParagrap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25"/>
    <w:bookmarkStart w:id="129" w:name="appendix-c-additional-trade-off-curves"/>
    <w:p>
      <w:pPr>
        <w:pStyle w:val="Heading2"/>
      </w:pPr>
      <w:r>
        <w:t xml:space="preserve">Appendix C: Additional Trade-off Curves</w:t>
      </w:r>
    </w:p>
    <w:p>
      <w:pPr>
        <w:pStyle w:val="FirstParagrap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w:pPr>
        <w:pStyle w:val="BodyText"/>
      </w:pPr>
      <w:r>
        <w:drawing>
          <wp:inline>
            <wp:extent cx="4699000" cy="4160083"/>
            <wp:effectExtent b="0" l="0" r="0" t="0"/>
            <wp:docPr descr="Figure C.1 Amazon-Book KGAT boundary decision flow" title="" id="127" name="Picture"/>
            <a:graphic>
              <a:graphicData uri="http://schemas.openxmlformats.org/drawingml/2006/picture">
                <pic:pic>
                  <pic:nvPicPr>
                    <pic:cNvPr descr="paper/current_dissertation/figures/png/figure_c_1_amazon_boundary_flow_final.png" id="128" name="Picture"/>
                    <pic:cNvPicPr>
                      <a:picLocks noChangeArrowheads="1" noChangeAspect="1"/>
                    </pic:cNvPicPr>
                  </pic:nvPicPr>
                  <pic:blipFill>
                    <a:blip r:embed="rId126"/>
                    <a:stretch>
                      <a:fillRect/>
                    </a:stretch>
                  </pic:blipFill>
                  <pic:spPr bwMode="auto">
                    <a:xfrm>
                      <a:off x="0" y="0"/>
                      <a:ext cx="4699000" cy="4160083"/>
                    </a:xfrm>
                    <a:prstGeom prst="rect">
                      <a:avLst/>
                    </a:prstGeom>
                    <a:noFill/>
                    <a:ln w="9525">
                      <a:noFill/>
                      <a:headEnd/>
                      <a:tailEnd/>
                    </a:ln>
                  </pic:spPr>
                </pic:pic>
              </a:graphicData>
            </a:graphic>
          </wp:inline>
        </w:drawing>
      </w:r>
    </w:p>
    <w:p>
      <w:pPr>
        <w:pStyle w:val="BodyText"/>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p>
    <w:bookmarkEnd w:id="129"/>
    <w:bookmarkStart w:id="130" w:name="appendix-d-ablation-supplementary-tables"/>
    <w:p>
      <w:pPr>
        <w:pStyle w:val="Heading2"/>
      </w:pPr>
      <w:r>
        <w:t xml:space="preserve">Appendix D: Ablation Supplementary Tables</w:t>
      </w:r>
    </w:p>
    <w:p>
      <w:pPr>
        <w:pStyle w:val="FirstParagraph"/>
      </w:pPr>
      <w:r>
        <w:t xml:space="preserve">Planned contents: the complete PGPR/UCPR alpha-zero preservation and 95% NDCG-retention records from</w:t>
      </w:r>
      <w:r>
        <w:t xml:space="preserve"> </w:t>
      </w:r>
      <w:r>
        <w:rPr>
          <w:rStyle w:val="VerbatimChar"/>
        </w:rPr>
        <w:t xml:space="preserve">reports/tables/ablation/pgpr_ucpr_path_module/</w:t>
      </w:r>
      <w:r>
        <w:t xml:space="preserve">. These records remain specific to the registered ablation and must not be generalised to the six-model main comparison.</w:t>
      </w:r>
    </w:p>
    <w:bookmarkEnd w:id="130"/>
    <w:bookmarkStart w:id="131" w:name="X28ffbbfd8a56c3d1c89c009b668156f14372a68"/>
    <w:p>
      <w:pPr>
        <w:pStyle w:val="Heading2"/>
      </w:pPr>
      <w:r>
        <w:t xml:space="preserve">Appendix E: Boundary-Case and Reproducibility Caveats</w:t>
      </w:r>
    </w:p>
    <w:p>
      <w:pPr>
        <w:pStyle w:val="FirstParagrap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End w:id="131"/>
    <w:bookmarkStart w:id="132" w:name="appendix-f-citation-and-provenance-notes"/>
    <w:p>
      <w:pPr>
        <w:pStyle w:val="Heading2"/>
      </w:pPr>
      <w:r>
        <w:t xml:space="preserve">Appendix F: Citation and Provenance Notes</w:t>
      </w:r>
    </w:p>
    <w:p>
      <w:pPr>
        <w:pStyle w:val="FirstParagrap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under</w:t>
      </w:r>
      <w:r>
        <w:t xml:space="preserve"> </w:t>
      </w:r>
      <w:r>
        <w:rPr>
          <w:rStyle w:val="VerbatimChar"/>
        </w:rPr>
        <w:t xml:space="preserve">paper/drafts_ch3_6/</w:t>
      </w:r>
      <w:r>
        <w:t xml:space="preserve"> </w:t>
      </w:r>
      <w:r>
        <w:t xml:space="preserve">and</w:t>
      </w:r>
      <w:r>
        <w:t xml:space="preserve"> </w:t>
      </w:r>
      <w:r>
        <w:rPr>
          <w:rStyle w:val="VerbatimChar"/>
        </w:rPr>
        <w:t xml:space="preserve">paper/literature/review_outputs/</w:t>
      </w:r>
      <w:r>
        <w:t xml:space="preserve">.</w:t>
      </w:r>
    </w:p>
    <w:bookmarkEnd w:id="132"/>
    <w:bookmarkEnd w:id="133"/>
    <w:sectPr w:rsidR="00083865" w:rsidSect="00083865">
      <w:pgSz w:h="15840" w:w="12240"/>
      <w:pgMar w:bottom="2204" w:footer="720" w:gutter="0" w:header="720" w:left="2047" w:right="2789" w:top="10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58459E"/>
    <w:multiLevelType w:val="multilevel"/>
    <w:tmpl w:val="E3F2413E"/>
    <w:lvl w:ilvl="0">
      <w:start w:val="1"/>
      <w:numFmt w:val="decimal"/>
      <w:lvlText w:val="[%1]"/>
      <w:lvlJc w:val="left"/>
      <w:pPr>
        <w:tabs>
          <w:tab w:pos="648" w:val="left"/>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C7173FA"/>
    <w:multiLevelType w:val="multilevel"/>
    <w:tmpl w:val="3B3CC962"/>
    <w:lvl w:ilvl="0">
      <w:numFmt w:val="bullet"/>
      <w:lvlText w:val="·"/>
      <w:lvlJc w:val="left"/>
      <w:pPr>
        <w:tabs>
          <w:tab w:pos="648" w:val="left"/>
        </w:tabs>
      </w:pPr>
      <w:rPr>
        <w:rFonts w:ascii="Symbol" w:eastAsia="Symbol" w:hAnsi="Symbol"/>
        <w:color w:val="auto"/>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1DAE4EE8"/>
    <w:multiLevelType w:val="multilevel"/>
    <w:tmpl w:val="B28641E0"/>
    <w:lvl w:ilvl="0">
      <w:numFmt w:val="bullet"/>
      <w:lvlText w:val="·"/>
      <w:lvlJc w:val="left"/>
      <w:pPr>
        <w:tabs>
          <w:tab w:pos="720" w:val="left"/>
        </w:tabs>
      </w:pPr>
      <w:rPr>
        <w:rFonts w:ascii="Symbol" w:eastAsia="Symbol" w:hAnsi="Symbol"/>
        <w:color w:val="auto"/>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1E901F23"/>
    <w:multiLevelType w:val="hybridMultilevel"/>
    <w:tmpl w:val="77BCDD6A"/>
    <w:lvl w:ilvl="0" w:tplc="3614EF92">
      <w:start w:val="1"/>
      <w:numFmt w:val="decimal"/>
      <w:lvlText w:val="%1."/>
      <w:lvlJc w:val="left"/>
      <w:pPr>
        <w:ind w:hanging="360" w:left="864"/>
      </w:pPr>
      <w:rPr>
        <w:rFonts w:hint="default"/>
      </w:rPr>
    </w:lvl>
    <w:lvl w:ilvl="1" w:tentative="1" w:tplc="48090019">
      <w:start w:val="1"/>
      <w:numFmt w:val="lowerLetter"/>
      <w:lvlText w:val="%2."/>
      <w:lvlJc w:val="left"/>
      <w:pPr>
        <w:ind w:hanging="360" w:left="1584"/>
      </w:pPr>
    </w:lvl>
    <w:lvl w:ilvl="2" w:tentative="1" w:tplc="4809001B">
      <w:start w:val="1"/>
      <w:numFmt w:val="lowerRoman"/>
      <w:lvlText w:val="%3."/>
      <w:lvlJc w:val="right"/>
      <w:pPr>
        <w:ind w:hanging="180" w:left="2304"/>
      </w:pPr>
    </w:lvl>
    <w:lvl w:ilvl="3" w:tentative="1" w:tplc="4809000F">
      <w:start w:val="1"/>
      <w:numFmt w:val="decimal"/>
      <w:lvlText w:val="%4."/>
      <w:lvlJc w:val="left"/>
      <w:pPr>
        <w:ind w:hanging="360" w:left="3024"/>
      </w:pPr>
    </w:lvl>
    <w:lvl w:ilvl="4" w:tentative="1" w:tplc="48090019">
      <w:start w:val="1"/>
      <w:numFmt w:val="lowerLetter"/>
      <w:lvlText w:val="%5."/>
      <w:lvlJc w:val="left"/>
      <w:pPr>
        <w:ind w:hanging="360" w:left="3744"/>
      </w:pPr>
    </w:lvl>
    <w:lvl w:ilvl="5" w:tentative="1" w:tplc="4809001B">
      <w:start w:val="1"/>
      <w:numFmt w:val="lowerRoman"/>
      <w:lvlText w:val="%6."/>
      <w:lvlJc w:val="right"/>
      <w:pPr>
        <w:ind w:hanging="180" w:left="4464"/>
      </w:pPr>
    </w:lvl>
    <w:lvl w:ilvl="6" w:tentative="1" w:tplc="4809000F">
      <w:start w:val="1"/>
      <w:numFmt w:val="decimal"/>
      <w:lvlText w:val="%7."/>
      <w:lvlJc w:val="left"/>
      <w:pPr>
        <w:ind w:hanging="360" w:left="5184"/>
      </w:pPr>
    </w:lvl>
    <w:lvl w:ilvl="7" w:tentative="1" w:tplc="48090019">
      <w:start w:val="1"/>
      <w:numFmt w:val="lowerLetter"/>
      <w:lvlText w:val="%8."/>
      <w:lvlJc w:val="left"/>
      <w:pPr>
        <w:ind w:hanging="360" w:left="5904"/>
      </w:pPr>
    </w:lvl>
    <w:lvl w:ilvl="8" w:tentative="1" w:tplc="4809001B">
      <w:start w:val="1"/>
      <w:numFmt w:val="lowerRoman"/>
      <w:lvlText w:val="%9."/>
      <w:lvlJc w:val="right"/>
      <w:pPr>
        <w:ind w:hanging="180" w:left="662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02843319" w:numId="1">
    <w:abstractNumId w:val="2"/>
  </w:num>
  <w:num w16cid:durableId="865868834" w:numId="2">
    <w:abstractNumId w:val="1"/>
  </w:num>
  <w:num w16cid:durableId="1766460056" w:numId="3">
    <w:abstractNumId w:val="0"/>
  </w:num>
  <w:num w16cid:durableId="472866559"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396E43"/>
    <w:rsid w:val="003F3E98"/>
    <w:rsid w:val="00471BBD"/>
    <w:rsid w:val="004A1022"/>
    <w:rsid w:val="004B187B"/>
    <w:rsid w:val="004C5252"/>
    <w:rsid w:val="00502A0A"/>
    <w:rsid w:val="005F2647"/>
    <w:rsid w:val="00644BCF"/>
    <w:rsid w:val="006749F7"/>
    <w:rsid w:val="006A6CBF"/>
    <w:rsid w:val="00731238"/>
    <w:rsid w:val="007C5744"/>
    <w:rsid w:val="008E5295"/>
    <w:rsid w:val="009E5A90"/>
    <w:rsid w:val="00A03EAA"/>
    <w:rsid w:val="00A171B1"/>
    <w:rsid w:val="00C2353E"/>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w:themeFontLang w:eastAsia="zh-CN" w:val="en-SG"/>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en-SG"/>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83865"/>
    <w:pPr>
      <w:spacing w:after="0" w:line="240" w:lineRule="auto"/>
    </w:pPr>
    <w:rPr>
      <w:rFonts w:ascii="Times New Roman" w:cs="Times New Roman" w:eastAsia="PMingLiU" w:hAnsi="Times New Roman"/>
      <w:kern w:val="0"/>
      <w:sz w:val="22"/>
      <w:szCs w:val="22"/>
      <w:lang w:eastAsia="en-US" w:val="en-US"/>
      <w14:ligatures w14:val="none"/>
    </w:rPr>
  </w:style>
  <w:style w:styleId="Heading1" w:type="paragraph">
    <w:name w:val="heading 1"/>
    <w:basedOn w:val="Normal"/>
    <w:next w:val="Normal"/>
    <w:link w:val="Heading1Char"/>
    <w:uiPriority w:val="9"/>
    <w:qFormat/>
    <w:rsid w:val="0008386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08386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08386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08386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8386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3865"/>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3865"/>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3865"/>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3865"/>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8386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8386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8386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08386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8386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386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386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386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3865"/>
    <w:rPr>
      <w:rFonts w:cstheme="majorBidi" w:eastAsiaTheme="majorEastAsia"/>
      <w:color w:themeColor="text1" w:themeTint="D8" w:val="272727"/>
    </w:rPr>
  </w:style>
  <w:style w:styleId="Title" w:type="paragraph">
    <w:name w:val="Title"/>
    <w:basedOn w:val="Normal"/>
    <w:next w:val="Normal"/>
    <w:link w:val="TitleChar"/>
    <w:uiPriority w:val="10"/>
    <w:qFormat/>
    <w:rsid w:val="00083865"/>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8386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8386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386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3865"/>
    <w:pPr>
      <w:spacing w:before="160"/>
      <w:jc w:val="center"/>
    </w:pPr>
    <w:rPr>
      <w:i/>
      <w:iCs/>
      <w:color w:themeColor="text1" w:themeTint="BF" w:val="404040"/>
    </w:rPr>
  </w:style>
  <w:style w:customStyle="1" w:styleId="QuoteChar" w:type="character">
    <w:name w:val="Quote Char"/>
    <w:basedOn w:val="DefaultParagraphFont"/>
    <w:link w:val="Quote"/>
    <w:uiPriority w:val="29"/>
    <w:rsid w:val="00083865"/>
    <w:rPr>
      <w:i/>
      <w:iCs/>
      <w:color w:themeColor="text1" w:themeTint="BF" w:val="404040"/>
    </w:rPr>
  </w:style>
  <w:style w:styleId="ListParagraph" w:type="paragraph">
    <w:name w:val="List Paragraph"/>
    <w:basedOn w:val="Normal"/>
    <w:uiPriority w:val="34"/>
    <w:qFormat/>
    <w:rsid w:val="00083865"/>
    <w:pPr>
      <w:ind w:left="720"/>
      <w:contextualSpacing/>
    </w:pPr>
  </w:style>
  <w:style w:styleId="IntenseEmphasis" w:type="character">
    <w:name w:val="Intense Emphasis"/>
    <w:basedOn w:val="DefaultParagraphFont"/>
    <w:uiPriority w:val="21"/>
    <w:qFormat/>
    <w:rsid w:val="00083865"/>
    <w:rPr>
      <w:i/>
      <w:iCs/>
      <w:color w:themeColor="accent1" w:themeShade="BF" w:val="0F4761"/>
    </w:rPr>
  </w:style>
  <w:style w:styleId="IntenseQuote" w:type="paragraph">
    <w:name w:val="Intense Quote"/>
    <w:basedOn w:val="Normal"/>
    <w:next w:val="Normal"/>
    <w:link w:val="IntenseQuoteChar"/>
    <w:uiPriority w:val="30"/>
    <w:qFormat/>
    <w:rsid w:val="0008386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3865"/>
    <w:rPr>
      <w:i/>
      <w:iCs/>
      <w:color w:themeColor="accent1" w:themeShade="BF" w:val="0F4761"/>
    </w:rPr>
  </w:style>
  <w:style w:styleId="IntenseReference" w:type="character">
    <w:name w:val="Intense Reference"/>
    <w:basedOn w:val="DefaultParagraphFont"/>
    <w:uiPriority w:val="32"/>
    <w:qFormat/>
    <w:rsid w:val="00083865"/>
    <w:rPr>
      <w:b/>
      <w:bCs/>
      <w:smallCaps/>
      <w:color w:themeColor="accent1" w:themeShade="BF" w:val="0F4761"/>
      <w:spacing w:val="5"/>
    </w:rPr>
  </w:style>
  <w:style w:styleId="Hyperlink" w:type="character">
    <w:name w:val="Hyperlink"/>
    <w:basedOn w:val="DefaultParagraphFont"/>
    <w:uiPriority w:val="99"/>
    <w:unhideWhenUsed/>
    <w:rsid w:val="00F91482"/>
    <w:rPr>
      <w:color w:themeColor="hyperlink" w:val="467886"/>
      <w:u w:val="single"/>
    </w:rPr>
  </w:style>
  <w:style w:styleId="UnresolvedMention" w:type="character">
    <w:name w:val="Unresolved Mention"/>
    <w:basedOn w:val="DefaultParagraphFont"/>
    <w:uiPriority w:val="99"/>
    <w:semiHidden/>
    <w:unhideWhenUsed/>
    <w:rsid w:val="00F91482"/>
    <w:rPr>
      <w:color w:val="605E5C"/>
      <w:shd w:color="auto" w:fill="E1DFDD" w:val="clear"/>
    </w:rPr>
  </w:style>
  <w:style w:customStyle="1" w:styleId="paragraph" w:type="paragraph">
    <w:name w:val="paragraph"/>
    <w:basedOn w:val="Normal"/>
    <w:rsid w:val="00F4041A"/>
    <w:pPr>
      <w:spacing w:after="100" w:afterAutospacing="1" w:before="100" w:beforeAutospacing="1"/>
    </w:pPr>
    <w:rPr>
      <w:rFonts w:eastAsia="Times New Roman"/>
      <w:sz w:val="24"/>
      <w:szCs w:val="24"/>
      <w:lang w:eastAsia="zh-CN" w:val="en-SG"/>
    </w:rPr>
  </w:style>
  <w:style w:customStyle="1" w:styleId="normaltextrun" w:type="character">
    <w:name w:val="normaltextrun"/>
    <w:basedOn w:val="DefaultParagraphFont"/>
    <w:rsid w:val="00F4041A"/>
  </w:style>
  <w:style w:customStyle="1" w:styleId="eop" w:type="character">
    <w:name w:val="eop"/>
    <w:basedOn w:val="DefaultParagraphFont"/>
    <w:rsid w:val="00F4041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2.jpg" Type="http://schemas.openxmlformats.org/officeDocument/2006/relationships/image" /><Relationship Id="rId5" Target="media/image1.jpg" Type="http://schemas.openxmlformats.org/officeDocument/2006/relationships/image" /><Relationship Id="rId10" Target="media/image4.png" Type="http://schemas.openxmlformats.org/officeDocument/2006/relationships/image" /><Relationship Id="rId9" Target="media/image3.jpg" Type="http://schemas.openxmlformats.org/officeDocument/2006/relationships/image"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126" Target="media/rId126.png" /><Relationship Type="http://schemas.openxmlformats.org/officeDocument/2006/relationships/hyperlink" Id="rId122" Target="REFERENCES_ASSEMBLED_V1.bib" TargetMode="External" /><Relationship Type="http://schemas.openxmlformats.org/officeDocument/2006/relationships/hyperlink" Id="rId111" Target="https://arxiv.org/abs/1906.09506" TargetMode="External" /><Relationship Type="http://schemas.openxmlformats.org/officeDocument/2006/relationships/hyperlink" Id="rId107" Target="https://arxiv.org/abs/1909.09223" TargetMode="External" /><Relationship Type="http://schemas.openxmlformats.org/officeDocument/2006/relationships/hyperlink" Id="rId101" Target="https://arxiv.org/abs/2009.07896" TargetMode="External" /><Relationship Type="http://schemas.openxmlformats.org/officeDocument/2006/relationships/hyperlink" Id="rId119" Target="https://arxiv.org/abs/2012.15445" TargetMode="External" /><Relationship Type="http://schemas.openxmlformats.org/officeDocument/2006/relationships/hyperlink" Id="rId98" Target="https://arxiv.org/abs/2109.03540" TargetMode="External" /><Relationship Type="http://schemas.openxmlformats.org/officeDocument/2006/relationships/hyperlink" Id="rId96" Target="https://arxiv.org/abs/2310.16452" TargetMode="External" /><Relationship Type="http://schemas.openxmlformats.org/officeDocument/2006/relationships/hyperlink" Id="rId108" Target="https://arxiv.org/abs/2502.10050" TargetMode="External" /><Relationship Type="http://schemas.openxmlformats.org/officeDocument/2006/relationships/hyperlink" Id="rId104" Target="https://arxiv.org/abs/2505.09777" TargetMode="External" /><Relationship Type="http://schemas.openxmlformats.org/officeDocument/2006/relationships/hyperlink" Id="rId109" Target="https://ceur-ws.org/Vol-3917/paper62.pdf" TargetMode="External" /><Relationship Type="http://schemas.openxmlformats.org/officeDocument/2006/relationships/hyperlink" Id="rId95" Target="https://doi.org/10.1016/j.simpa.2022.100404" TargetMode="External" /><Relationship Type="http://schemas.openxmlformats.org/officeDocument/2006/relationships/hyperlink" Id="rId100" Target="https://doi.org/10.1109/TKDE.2020.3028705" TargetMode="External" /><Relationship Type="http://schemas.openxmlformats.org/officeDocument/2006/relationships/hyperlink" Id="rId102" Target="https://doi.org/10.1109/TNNLS.2023.3280161" TargetMode="External" /><Relationship Type="http://schemas.openxmlformats.org/officeDocument/2006/relationships/hyperlink" Id="rId113" Target="https://doi.org/10.1145/3269206.3271739" TargetMode="External" /><Relationship Type="http://schemas.openxmlformats.org/officeDocument/2006/relationships/hyperlink" Id="rId117" Target="https://doi.org/10.1145/3331184.3331203" TargetMode="External" /><Relationship Type="http://schemas.openxmlformats.org/officeDocument/2006/relationships/hyperlink" Id="rId118" Target="https://doi.org/10.1145/3340531.3412038" TargetMode="External" /><Relationship Type="http://schemas.openxmlformats.org/officeDocument/2006/relationships/hyperlink" Id="rId112" Target="https://doi.org/10.1145/3404835.3462847" TargetMode="External" /><Relationship Type="http://schemas.openxmlformats.org/officeDocument/2006/relationships/hyperlink" Id="rId115" Target="https://doi.org/10.1145/3442381.3450133" TargetMode="External" /><Relationship Type="http://schemas.openxmlformats.org/officeDocument/2006/relationships/hyperlink" Id="rId94" Target="https://doi.org/10.1145/3477495.3532041" TargetMode="External" /><Relationship Type="http://schemas.openxmlformats.org/officeDocument/2006/relationships/hyperlink" Id="rId116" Target="https://doi.org/10.1145/3485447.3512083" TargetMode="External" /><Relationship Type="http://schemas.openxmlformats.org/officeDocument/2006/relationships/hyperlink" Id="rId121" Target="https://doi.org/10.1145/3531267" TargetMode="External" /><Relationship Type="http://schemas.openxmlformats.org/officeDocument/2006/relationships/hyperlink" Id="rId105" Target="https://doi.org/10.1145/3539597.3570482" TargetMode="External" /><Relationship Type="http://schemas.openxmlformats.org/officeDocument/2006/relationships/hyperlink" Id="rId93" Target="https://doi.org/10.1145/3543846" TargetMode="External" /><Relationship Type="http://schemas.openxmlformats.org/officeDocument/2006/relationships/hyperlink" Id="rId110" Target="https://doi.org/10.1145/3637528.3671655" TargetMode="External" /><Relationship Type="http://schemas.openxmlformats.org/officeDocument/2006/relationships/hyperlink" Id="rId97" Target="https://doi.org/10.1145/3640457.3691703" TargetMode="External" /><Relationship Type="http://schemas.openxmlformats.org/officeDocument/2006/relationships/hyperlink" Id="rId99" Target="https://doi.org/10.1145/3652891" TargetMode="External" /><Relationship Type="http://schemas.openxmlformats.org/officeDocument/2006/relationships/hyperlink" Id="rId103" Target="https://doi.org/10.1145/3678004" TargetMode="External" /><Relationship Type="http://schemas.openxmlformats.org/officeDocument/2006/relationships/hyperlink" Id="rId106" Target="https://doi.org/10.1145/3772273" TargetMode="External" /><Relationship Type="http://schemas.openxmlformats.org/officeDocument/2006/relationships/hyperlink" Id="rId120" Target="https://doi.org/10.1561/1500000066" TargetMode="External" /><Relationship Type="http://schemas.openxmlformats.org/officeDocument/2006/relationships/hyperlink" Id="rId114" Target="https://doi.org/10.1609/aaai.v33i01.33015329" TargetMode="External" /></Relationships>
</file>

<file path=word/_rels/footnotes.xml.rels><?xml version="1.0" encoding="UTF-8"?><Relationships xmlns="http://schemas.openxmlformats.org/package/2006/relationships"><Relationship Type="http://schemas.openxmlformats.org/officeDocument/2006/relationships/hyperlink" Id="rId122" Target="REFERENCES_ASSEMBLED_V1.bib" TargetMode="External" /><Relationship Type="http://schemas.openxmlformats.org/officeDocument/2006/relationships/hyperlink" Id="rId111" Target="https://arxiv.org/abs/1906.09506" TargetMode="External" /><Relationship Type="http://schemas.openxmlformats.org/officeDocument/2006/relationships/hyperlink" Id="rId107" Target="https://arxiv.org/abs/1909.09223" TargetMode="External" /><Relationship Type="http://schemas.openxmlformats.org/officeDocument/2006/relationships/hyperlink" Id="rId101" Target="https://arxiv.org/abs/2009.07896" TargetMode="External" /><Relationship Type="http://schemas.openxmlformats.org/officeDocument/2006/relationships/hyperlink" Id="rId119" Target="https://arxiv.org/abs/2012.15445" TargetMode="External" /><Relationship Type="http://schemas.openxmlformats.org/officeDocument/2006/relationships/hyperlink" Id="rId98" Target="https://arxiv.org/abs/2109.03540" TargetMode="External" /><Relationship Type="http://schemas.openxmlformats.org/officeDocument/2006/relationships/hyperlink" Id="rId96" Target="https://arxiv.org/abs/2310.16452" TargetMode="External" /><Relationship Type="http://schemas.openxmlformats.org/officeDocument/2006/relationships/hyperlink" Id="rId108" Target="https://arxiv.org/abs/2502.10050" TargetMode="External" /><Relationship Type="http://schemas.openxmlformats.org/officeDocument/2006/relationships/hyperlink" Id="rId104" Target="https://arxiv.org/abs/2505.09777" TargetMode="External" /><Relationship Type="http://schemas.openxmlformats.org/officeDocument/2006/relationships/hyperlink" Id="rId109" Target="https://ceur-ws.org/Vol-3917/paper62.pdf" TargetMode="External" /><Relationship Type="http://schemas.openxmlformats.org/officeDocument/2006/relationships/hyperlink" Id="rId95" Target="https://doi.org/10.1016/j.simpa.2022.100404" TargetMode="External" /><Relationship Type="http://schemas.openxmlformats.org/officeDocument/2006/relationships/hyperlink" Id="rId100" Target="https://doi.org/10.1109/TKDE.2020.3028705" TargetMode="External" /><Relationship Type="http://schemas.openxmlformats.org/officeDocument/2006/relationships/hyperlink" Id="rId102" Target="https://doi.org/10.1109/TNNLS.2023.3280161" TargetMode="External" /><Relationship Type="http://schemas.openxmlformats.org/officeDocument/2006/relationships/hyperlink" Id="rId113" Target="https://doi.org/10.1145/3269206.3271739" TargetMode="External" /><Relationship Type="http://schemas.openxmlformats.org/officeDocument/2006/relationships/hyperlink" Id="rId117" Target="https://doi.org/10.1145/3331184.3331203" TargetMode="External" /><Relationship Type="http://schemas.openxmlformats.org/officeDocument/2006/relationships/hyperlink" Id="rId118" Target="https://doi.org/10.1145/3340531.3412038" TargetMode="External" /><Relationship Type="http://schemas.openxmlformats.org/officeDocument/2006/relationships/hyperlink" Id="rId112" Target="https://doi.org/10.1145/3404835.3462847" TargetMode="External" /><Relationship Type="http://schemas.openxmlformats.org/officeDocument/2006/relationships/hyperlink" Id="rId115" Target="https://doi.org/10.1145/3442381.3450133" TargetMode="External" /><Relationship Type="http://schemas.openxmlformats.org/officeDocument/2006/relationships/hyperlink" Id="rId94" Target="https://doi.org/10.1145/3477495.3532041" TargetMode="External" /><Relationship Type="http://schemas.openxmlformats.org/officeDocument/2006/relationships/hyperlink" Id="rId116" Target="https://doi.org/10.1145/3485447.3512083" TargetMode="External" /><Relationship Type="http://schemas.openxmlformats.org/officeDocument/2006/relationships/hyperlink" Id="rId121" Target="https://doi.org/10.1145/3531267" TargetMode="External" /><Relationship Type="http://schemas.openxmlformats.org/officeDocument/2006/relationships/hyperlink" Id="rId105" Target="https://doi.org/10.1145/3539597.3570482" TargetMode="External" /><Relationship Type="http://schemas.openxmlformats.org/officeDocument/2006/relationships/hyperlink" Id="rId93" Target="https://doi.org/10.1145/3543846" TargetMode="External" /><Relationship Type="http://schemas.openxmlformats.org/officeDocument/2006/relationships/hyperlink" Id="rId110" Target="https://doi.org/10.1145/3637528.3671655" TargetMode="External" /><Relationship Type="http://schemas.openxmlformats.org/officeDocument/2006/relationships/hyperlink" Id="rId97" Target="https://doi.org/10.1145/3640457.3691703" TargetMode="External" /><Relationship Type="http://schemas.openxmlformats.org/officeDocument/2006/relationships/hyperlink" Id="rId99" Target="https://doi.org/10.1145/3652891" TargetMode="External" /><Relationship Type="http://schemas.openxmlformats.org/officeDocument/2006/relationships/hyperlink" Id="rId103" Target="https://doi.org/10.1145/3678004" TargetMode="External" /><Relationship Type="http://schemas.openxmlformats.org/officeDocument/2006/relationships/hyperlink" Id="rId106" Target="https://doi.org/10.1145/3772273" TargetMode="External" /><Relationship Type="http://schemas.openxmlformats.org/officeDocument/2006/relationships/hyperlink" Id="rId120" Target="https://doi.org/10.1561/1500000066" TargetMode="External" /><Relationship Type="http://schemas.openxmlformats.org/officeDocument/2006/relationships/hyperlink" Id="rId114" Target="https://doi.org/10.1609/aaai.v33i01.330153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19</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2026-07-14T16:45:03Z</dcterms:created>
  <dcterms:modified xsi:type="dcterms:W3CDTF">2026-07-14T16:45:03Z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paper/current_dissertation/references/REFERENCES_CURRENT.bib</vt:lpwstr>
  </property>
  <property fmtid="{D5CDD505-2E9C-101B-9397-08002B2CF9AE}" pid="3" name="suppress-bibliography">
    <vt:lpwstr>True</vt:lpwstr>
  </property>
</Properties>
</file>