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before="160"/>
        <w:jc w:val="center"/>
      </w:pPr>
      <w:r>
        <w:drawing>
          <wp:inline xmlns:a="http://schemas.openxmlformats.org/drawingml/2006/main" xmlns:pic="http://schemas.openxmlformats.org/drawingml/2006/picture">
            <wp:extent cx="3246120" cy="1183640"/>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3246120" cy="1183640"/>
                    </a:xfrm>
                    <a:prstGeom prst="rect"/>
                  </pic:spPr>
                </pic:pic>
              </a:graphicData>
            </a:graphic>
          </wp:inline>
        </w:drawing>
      </w:r>
    </w:p>
    <w:p>
      <w:pPr>
        <w:widowControl/>
        <w:spacing w:before="0" w:after="2440" w:line="240" w:lineRule="auto"/>
        <w:jc w:val="both"/>
      </w:pPr>
      <w:r>
        <w:rPr>
          <w:rFonts w:ascii="Times New Roman" w:hAnsi="Times New Roman"/>
          <w:b/>
          <w:sz w:val="33"/>
        </w:rPr>
        <w:t>A Canonical Framework for Accuracy–Explainability Trade-off Analysis in Native-Path Knowledge Graph Recommenders</w:t>
      </w:r>
    </w:p>
    <w:p>
      <w:pPr>
        <w:widowControl/>
        <w:spacing w:before="0" w:after="160" w:line="240" w:lineRule="auto"/>
        <w:jc w:val="both"/>
      </w:pPr>
      <w:r>
        <w:rPr>
          <w:rFonts w:ascii="Times New Roman" w:hAnsi="Times New Roman"/>
          <w:b/>
          <w:sz w:val="26"/>
        </w:rPr>
        <w:t>[Name to be filled]</w:t>
      </w:r>
    </w:p>
    <w:p>
      <w:pPr>
        <w:widowControl/>
        <w:spacing w:before="0" w:after="160" w:line="240" w:lineRule="auto"/>
        <w:jc w:val="both"/>
      </w:pPr>
      <w:r>
        <w:rPr>
          <w:rFonts w:ascii="Times New Roman" w:hAnsi="Times New Roman"/>
          <w:b/>
          <w:sz w:val="24"/>
        </w:rPr>
        <w:t>SCHOOL OF COMPUTER SCIENCE AND ENGINEERING</w:t>
      </w:r>
    </w:p>
    <w:p>
      <w:pPr>
        <w:widowControl/>
        <w:spacing w:before="0" w:after="0" w:line="240" w:lineRule="auto"/>
        <w:jc w:val="both"/>
      </w:pPr>
      <w:r>
        <w:rPr>
          <w:rFonts w:ascii="Times New Roman" w:hAnsi="Times New Roman"/>
          <w:b/>
          <w:sz w:val="24"/>
        </w:rPr>
        <w:t>[Submission year to be filled]</w:t>
      </w:r>
    </w:p>
    <w:p>
      <w:r>
        <w:br w:type="page"/>
      </w:r>
    </w:p>
    <w:p>
      <w:pPr>
        <w:widowControl/>
        <w:spacing w:before="360" w:after="1800" w:line="240" w:lineRule="auto"/>
        <w:jc w:val="both"/>
      </w:pPr>
      <w:r>
        <w:rPr>
          <w:rFonts w:ascii="Times New Roman" w:hAnsi="Times New Roman"/>
          <w:b/>
          <w:sz w:val="33"/>
        </w:rPr>
        <w:t>A Canonical Framework for Accuracy–Explainability Trade-off Analysis in Native-Path Knowledge Graph Recommenders</w:t>
      </w:r>
    </w:p>
    <w:p>
      <w:pPr>
        <w:widowControl/>
        <w:spacing w:before="0" w:after="240" w:line="240" w:lineRule="auto"/>
        <w:jc w:val="both"/>
      </w:pPr>
      <w:r>
        <w:rPr>
          <w:rFonts w:ascii="Times New Roman" w:hAnsi="Times New Roman"/>
          <w:b/>
          <w:sz w:val="26"/>
        </w:rPr>
        <w:t>[Name to be filled]</w:t>
      </w:r>
    </w:p>
    <w:p>
      <w:pPr>
        <w:widowControl/>
        <w:spacing w:before="0" w:after="600" w:line="240" w:lineRule="auto"/>
        <w:jc w:val="both"/>
      </w:pPr>
      <w:r>
        <w:rPr>
          <w:rFonts w:ascii="Times New Roman" w:hAnsi="Times New Roman"/>
          <w:b w:val="0"/>
          <w:sz w:val="24"/>
        </w:rPr>
        <w:t>Supervisor: [Supervisor to be filled]</w:t>
      </w:r>
    </w:p>
    <w:p>
      <w:pPr>
        <w:widowControl/>
        <w:spacing w:before="0" w:after="440" w:line="240" w:lineRule="auto"/>
        <w:jc w:val="both"/>
      </w:pPr>
      <w:r>
        <w:rPr>
          <w:rFonts w:ascii="Times New Roman" w:hAnsi="Times New Roman"/>
          <w:b/>
          <w:sz w:val="24"/>
        </w:rPr>
        <w:t>SCHOOL OF COMPUTER SCIENCE AND ENGINEERING</w:t>
      </w:r>
    </w:p>
    <w:p>
      <w:pPr>
        <w:widowControl/>
        <w:spacing w:before="0" w:after="280" w:line="240" w:lineRule="auto"/>
        <w:jc w:val="both"/>
      </w:pPr>
      <w:r>
        <w:rPr>
          <w:rFonts w:ascii="Times New Roman" w:hAnsi="Times New Roman"/>
          <w:b/>
          <w:sz w:val="24"/>
        </w:rPr>
        <w:t>A DISSERTATION SUBMITTED IN PARTIAL FULFILMENT OF</w:t>
        <w:br/>
        <w:t>THE REQUIREMENTS FOR THE DEGREE OF</w:t>
      </w:r>
    </w:p>
    <w:p>
      <w:pPr>
        <w:widowControl/>
        <w:spacing w:before="0" w:after="1040" w:line="240" w:lineRule="auto"/>
        <w:jc w:val="both"/>
      </w:pPr>
      <w:r>
        <w:rPr>
          <w:rFonts w:ascii="Times New Roman" w:hAnsi="Times New Roman"/>
          <w:b/>
          <w:sz w:val="24"/>
        </w:rPr>
        <w:t>MASTER OF SCIENCE</w:t>
      </w:r>
    </w:p>
    <w:p>
      <w:pPr>
        <w:widowControl/>
        <w:spacing w:before="0" w:after="0" w:line="240" w:lineRule="auto"/>
        <w:jc w:val="both"/>
      </w:pPr>
      <w:r>
        <w:rPr>
          <w:rFonts w:ascii="Times New Roman" w:hAnsi="Times New Roman"/>
          <w:b/>
          <w:sz w:val="24"/>
        </w:rPr>
        <w:t>[Submission date to be filled]</w:t>
      </w:r>
    </w:p>
    <w:p>
      <w:r>
        <w:br w:type="page"/>
      </w:r>
    </w:p>
    <w:p>
      <w:pPr>
        <w:pStyle w:val="FormHeading"/>
        <w:spacing w:before="120"/>
      </w:pPr>
      <w:r>
        <w:t>Statement of Originality</w:t>
      </w:r>
    </w:p>
    <w:p>
      <w:pPr>
        <w:widowControl/>
        <w:spacing w:line="360" w:lineRule="auto" w:after="160"/>
        <w:jc w:val="both"/>
      </w:pPr>
      <w:r>
        <w:t>I hereby certify that the work embodied in this thesis is the result of original research, is free of plagiarised materials, and has not been submitted for a higher degree to any other University or Institution.</w:t>
      </w:r>
    </w:p>
    <w:p>
      <w:pPr>
        <w:widowControl/>
        <w:spacing w:line="360" w:lineRule="auto" w:after="160"/>
        <w:jc w:val="both"/>
      </w:pPr>
      <w:r>
        <w:t>Disclosure on AI Use:</w:t>
      </w:r>
    </w:p>
    <w:p>
      <w:pPr>
        <w:widowControl/>
        <w:spacing w:line="360" w:lineRule="auto" w:after="160"/>
        <w:jc w:val="both"/>
      </w:pPr>
      <w:r>
        <w:t>[*Delete as appropriate. You may select Option A, or Option B and/or Option C.]</w:t>
      </w:r>
    </w:p>
    <w:p>
      <w:pPr>
        <w:widowControl/>
        <w:spacing w:line="360" w:lineRule="auto" w:after="160"/>
        <w:jc w:val="both"/>
      </w:pPr>
      <w:r>
        <w:t>*(A) I hereby declare that GenAI (or any AI-assisted tool) was not used in the preparation of this thesis.</w:t>
      </w:r>
    </w:p>
    <w:p>
      <w:pPr>
        <w:widowControl/>
        <w:spacing w:line="360" w:lineRule="auto" w:after="160"/>
        <w:jc w:val="both"/>
      </w:pPr>
      <w:r>
        <w:t>*(B) I hereby declare that [Name of Tool], version [XX], was used to improve the clarity and readability of this thesis, [and also for idea exploration and generation, and literature reviews and classification, etc. …]. I also declare that I have abided by NTU’s Policy on the Use of GenAI in Research, and I have reviewed and edited the content as needed after using this tool, and I take full responsibility for the content of this thesis.</w:t>
      </w:r>
    </w:p>
    <w:p>
      <w:pPr>
        <w:widowControl/>
        <w:spacing w:line="360" w:lineRule="auto" w:after="160"/>
        <w:jc w:val="both"/>
      </w:pPr>
      <w:r>
        <w:t>*(C) I hereby declare that [Name of Tool], version [XX], was used in this thesis as it is an essential component of the research design and/or methodology. Details of the usage are provided in the Methods section of this thesis. I also declare that I have abided by NTU’s Policy on the Use of GenAI in Research.</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Candidate name and signature</w:t>
      </w:r>
    </w:p>
    <w:p>
      <w:r>
        <w:br w:type="page"/>
      </w:r>
    </w:p>
    <w:p>
      <w:pPr>
        <w:pStyle w:val="FormHeading"/>
        <w:spacing w:before="120"/>
      </w:pPr>
      <w:r>
        <w:t>Supervisor Declaration Statement</w:t>
      </w:r>
    </w:p>
    <w:p>
      <w:pPr>
        <w:widowControl/>
        <w:spacing w:line="360" w:lineRule="auto" w:after="160"/>
        <w:jc w:val="both"/>
      </w:pPr>
      <w: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Supervisor name and signature</w:t>
      </w:r>
    </w:p>
    <w:p>
      <w:r>
        <w:br w:type="page"/>
      </w:r>
    </w:p>
    <w:p>
      <w:pPr>
        <w:pStyle w:val="FormHeading"/>
        <w:spacing w:before="120"/>
      </w:pPr>
      <w:r>
        <w:t>Authorship Attribution Statement</w:t>
      </w:r>
    </w:p>
    <w:p>
      <w:pPr>
        <w:widowControl/>
        <w:spacing w:line="360" w:lineRule="auto" w:after="160"/>
        <w:jc w:val="both"/>
      </w:pPr>
      <w:r>
        <w:t>Please select only (A) or (B); *remove the paragraph(s) as appropriate:</w:t>
      </w:r>
    </w:p>
    <w:p>
      <w:pPr>
        <w:widowControl/>
        <w:spacing w:line="360" w:lineRule="auto" w:after="160"/>
        <w:jc w:val="both"/>
      </w:pPr>
      <w:r>
        <w:t>*(A) This thesis does not contain any materials from papers published in peer-reviewed journals or from papers accepted at conferences in which I am listed as an author.</w:t>
      </w:r>
    </w:p>
    <w:p>
      <w:pPr>
        <w:widowControl/>
        <w:spacing w:line="360" w:lineRule="auto" w:after="160"/>
        <w:jc w:val="both"/>
      </w:pPr>
      <w:r>
        <w:t>*(B) This thesis contains material from [x number] paper(s) published in the following peer-reviewed journal(s) / from papers accepted at conferences in which I am listed as an author.</w:t>
      </w:r>
    </w:p>
    <w:p>
      <w:pPr>
        <w:widowControl/>
        <w:spacing w:line="360" w:lineRule="auto" w:after="160"/>
        <w:jc w:val="both"/>
      </w:pPr>
      <w:r>
        <w:t xml:space="preserve">Please amend the typical statements below to suit your circumstances if (B) is selected. </w:t>
      </w:r>
    </w:p>
    <w:p>
      <w:pPr>
        <w:widowControl/>
        <w:spacing w:line="360" w:lineRule="auto" w:after="160"/>
        <w:jc w:val="both"/>
      </w:pPr>
      <w:r>
        <w:t>[Complete this statement using the approved NTU wording. Remove the unselected option and add only verified publication and contribution details.]</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Candidate name and signature</w:t>
      </w:r>
    </w:p>
    <w:p>
      <w:pPr>
        <w:sectPr>
          <w:footerReference w:type="default" r:id="rId9"/>
          <w:pgSz w:w="12240" w:h="15840"/>
          <w:pgMar w:top="1440" w:right="1440" w:bottom="1440" w:left="2160" w:header="720" w:footer="720" w:gutter="0"/>
          <w:cols w:space="720"/>
          <w:docGrid w:linePitch="360"/>
        </w:sectPr>
      </w:pPr>
    </w:p>
    <w:p>
      <w:pPr>
        <w:pStyle w:val="FrontMatterHeading"/>
        <w:spacing w:before="0"/>
      </w:pPr>
      <w:r>
        <w:t>Table of Contents</w:t>
      </w:r>
    </w:p>
    <w:p>
      <w:pPr>
        <w:pStyle w:val="Contents1"/>
        <w:tabs>
          <w:tab w:val="right" w:leader="dot" w:pos="8424"/>
        </w:tabs>
      </w:pPr>
      <w:r>
        <w:t>Abstract</w:t>
      </w:r>
      <w:r>
        <w:tab/>
      </w:r>
      <w:r>
        <w:t>iii</w:t>
      </w:r>
    </w:p>
    <w:p>
      <w:pPr>
        <w:pStyle w:val="Contents1"/>
        <w:tabs>
          <w:tab w:val="right" w:leader="dot" w:pos="8424"/>
        </w:tabs>
      </w:pPr>
      <w:r>
        <w:t>Acknowledgements</w:t>
      </w:r>
      <w:r>
        <w:tab/>
      </w:r>
      <w:r>
        <w:t>v</w:t>
      </w:r>
    </w:p>
    <w:p>
      <w:pPr>
        <w:pStyle w:val="Contents1"/>
        <w:tabs>
          <w:tab w:val="right" w:leader="dot" w:pos="8424"/>
        </w:tabs>
      </w:pPr>
      <w:r>
        <w:t>List of Figures</w:t>
      </w:r>
      <w:r>
        <w:tab/>
      </w:r>
      <w:r>
        <w:t>vi</w:t>
      </w:r>
    </w:p>
    <w:p>
      <w:pPr>
        <w:pStyle w:val="Contents1"/>
        <w:tabs>
          <w:tab w:val="right" w:leader="dot" w:pos="8424"/>
        </w:tabs>
      </w:pPr>
      <w:r>
        <w:t>List of Tables</w:t>
      </w:r>
      <w:r>
        <w:tab/>
      </w:r>
      <w:r>
        <w:t>vii</w:t>
      </w:r>
    </w:p>
    <w:p>
      <w:pPr>
        <w:pStyle w:val="Contents1"/>
        <w:tabs>
          <w:tab w:val="right" w:leader="dot" w:pos="8424"/>
        </w:tabs>
      </w:pPr>
      <w:r>
        <w:t>Chapter 1 Introduction</w:t>
      </w:r>
      <w:r>
        <w:tab/>
      </w:r>
      <w:r>
        <w:t>1</w:t>
      </w:r>
    </w:p>
    <w:p>
      <w:pPr>
        <w:pStyle w:val="Contents2"/>
        <w:tabs>
          <w:tab w:val="right" w:leader="dot" w:pos="8424"/>
        </w:tabs>
      </w:pPr>
      <w:r>
        <w:t>1.1 Background</w:t>
      </w:r>
      <w:r>
        <w:tab/>
      </w:r>
      <w:r>
        <w:t>1</w:t>
      </w:r>
    </w:p>
    <w:p>
      <w:pPr>
        <w:pStyle w:val="Contents2"/>
        <w:tabs>
          <w:tab w:val="right" w:leader="dot" w:pos="8424"/>
        </w:tabs>
      </w:pPr>
      <w:r>
        <w:t>1.2 Motivation</w:t>
      </w:r>
      <w:r>
        <w:tab/>
      </w:r>
      <w:r>
        <w:t>2</w:t>
      </w:r>
    </w:p>
    <w:p>
      <w:pPr>
        <w:pStyle w:val="Contents2"/>
        <w:tabs>
          <w:tab w:val="right" w:leader="dot" w:pos="8424"/>
        </w:tabs>
      </w:pPr>
      <w:r>
        <w:t>1.3 Objectives and Specifications</w:t>
      </w:r>
      <w:r>
        <w:tab/>
      </w:r>
      <w:r>
        <w:t>3</w:t>
      </w:r>
    </w:p>
    <w:p>
      <w:pPr>
        <w:pStyle w:val="Contents2"/>
        <w:tabs>
          <w:tab w:val="right" w:leader="dot" w:pos="8424"/>
        </w:tabs>
      </w:pPr>
      <w:r>
        <w:t>1.4 Major Contribution</w:t>
      </w:r>
      <w:r>
        <w:tab/>
      </w:r>
      <w:r>
        <w:t>4</w:t>
      </w:r>
    </w:p>
    <w:p>
      <w:pPr>
        <w:pStyle w:val="Contents2"/>
        <w:tabs>
          <w:tab w:val="right" w:leader="dot" w:pos="8424"/>
        </w:tabs>
      </w:pPr>
      <w:r>
        <w:t>1.5 Organisation</w:t>
      </w:r>
      <w:r>
        <w:tab/>
      </w:r>
      <w:r>
        <w:t>5</w:t>
      </w:r>
    </w:p>
    <w:p>
      <w:pPr>
        <w:pStyle w:val="Contents1"/>
        <w:tabs>
          <w:tab w:val="right" w:leader="dot" w:pos="8424"/>
        </w:tabs>
      </w:pPr>
      <w:r>
        <w:t>Chapter 2 Literature Review</w:t>
      </w:r>
      <w:r>
        <w:tab/>
      </w:r>
      <w:r>
        <w:t>7</w:t>
      </w:r>
    </w:p>
    <w:p>
      <w:pPr>
        <w:pStyle w:val="Contents2"/>
        <w:tabs>
          <w:tab w:val="right" w:leader="dot" w:pos="8424"/>
        </w:tabs>
      </w:pPr>
      <w:r>
        <w:t>2.1 Knowledge Graph Recommendation</w:t>
      </w:r>
      <w:r>
        <w:tab/>
      </w:r>
      <w:r>
        <w:t>7</w:t>
      </w:r>
    </w:p>
    <w:p>
      <w:pPr>
        <w:pStyle w:val="Contents2"/>
        <w:tabs>
          <w:tab w:val="right" w:leader="dot" w:pos="8424"/>
        </w:tabs>
      </w:pPr>
      <w:r>
        <w:t>2.2 Path Reasoning and Native-Path Explainability</w:t>
      </w:r>
      <w:r>
        <w:tab/>
      </w:r>
      <w:r>
        <w:t>8</w:t>
      </w:r>
    </w:p>
    <w:p>
      <w:pPr>
        <w:pStyle w:val="Contents2"/>
        <w:tabs>
          <w:tab w:val="right" w:leader="dot" w:pos="8424"/>
        </w:tabs>
      </w:pPr>
      <w:r>
        <w:t>2.3 Explainable Recommendation and Explanation Quality</w:t>
      </w:r>
      <w:r>
        <w:tab/>
      </w:r>
      <w:r>
        <w:t>10</w:t>
      </w:r>
    </w:p>
    <w:p>
      <w:pPr>
        <w:pStyle w:val="Contents2"/>
        <w:tabs>
          <w:tab w:val="right" w:leader="dot" w:pos="8424"/>
        </w:tabs>
      </w:pPr>
      <w:r>
        <w:t>2.4 Accuracy–Explainability Trade-off in Recommendation</w:t>
      </w:r>
      <w:r>
        <w:tab/>
      </w:r>
      <w:r>
        <w:t>12</w:t>
      </w:r>
    </w:p>
    <w:p>
      <w:pPr>
        <w:pStyle w:val="Contents2"/>
        <w:tabs>
          <w:tab w:val="right" w:leader="dot" w:pos="8424"/>
        </w:tabs>
      </w:pPr>
      <w:r>
        <w:t>2.5 Evaluation Protocols, Reproducibility, and Fair Comparison</w:t>
      </w:r>
      <w:r>
        <w:tab/>
      </w:r>
      <w:r>
        <w:t>13</w:t>
      </w:r>
    </w:p>
    <w:p>
      <w:pPr>
        <w:pStyle w:val="Contents2"/>
        <w:tabs>
          <w:tab w:val="right" w:leader="dot" w:pos="8424"/>
        </w:tabs>
      </w:pPr>
      <w:r>
        <w:t>2.6 Research Gap and Positioning of This Dissertation</w:t>
      </w:r>
      <w:r>
        <w:tab/>
      </w:r>
      <w:r>
        <w:t>14</w:t>
      </w:r>
    </w:p>
    <w:p>
      <w:pPr>
        <w:pStyle w:val="Contents1"/>
        <w:tabs>
          <w:tab w:val="right" w:leader="dot" w:pos="8424"/>
        </w:tabs>
      </w:pPr>
      <w:r>
        <w:t>Chapter 3 Framework Implementation and Verification</w:t>
      </w:r>
      <w:r>
        <w:tab/>
      </w:r>
      <w:r>
        <w:t>18</w:t>
      </w:r>
    </w:p>
    <w:p>
      <w:pPr>
        <w:pStyle w:val="Contents2"/>
        <w:tabs>
          <w:tab w:val="right" w:leader="dot" w:pos="8424"/>
        </w:tabs>
      </w:pPr>
      <w:r>
        <w:t>3.1 Overview of the Implemented Framework</w:t>
      </w:r>
      <w:r>
        <w:tab/>
      </w:r>
      <w:r>
        <w:t>18</w:t>
      </w:r>
    </w:p>
    <w:p>
      <w:pPr>
        <w:pStyle w:val="Contents2"/>
        <w:tabs>
          <w:tab w:val="right" w:leader="dot" w:pos="8424"/>
        </w:tabs>
      </w:pPr>
      <w:r>
        <w:t>3.2 Canonical Dataset and Model View Construction</w:t>
      </w:r>
      <w:r>
        <w:tab/>
      </w:r>
      <w:r>
        <w:t>20</w:t>
      </w:r>
    </w:p>
    <w:p>
      <w:pPr>
        <w:pStyle w:val="Contents2"/>
        <w:tabs>
          <w:tab w:val="right" w:leader="dot" w:pos="8424"/>
        </w:tabs>
      </w:pPr>
      <w:r>
        <w:t>3.3 Native-Path Export Contract and Implementation</w:t>
      </w:r>
      <w:r>
        <w:tab/>
      </w:r>
      <w:r>
        <w:t>26</w:t>
      </w:r>
    </w:p>
    <w:p>
      <w:pPr>
        <w:pStyle w:val="Contents2"/>
        <w:tabs>
          <w:tab w:val="right" w:leader="dot" w:pos="8424"/>
        </w:tabs>
      </w:pPr>
      <w:r>
        <w:t>3.4 Evaluation and Validation Pipeline</w:t>
      </w:r>
      <w:r>
        <w:tab/>
      </w:r>
      <w:r>
        <w:t>29</w:t>
      </w:r>
    </w:p>
    <w:p>
      <w:pPr>
        <w:pStyle w:val="Contents2"/>
        <w:tabs>
          <w:tab w:val="right" w:leader="dot" w:pos="8424"/>
        </w:tabs>
      </w:pPr>
      <w:r>
        <w:t>3.5 Framework Verification Results</w:t>
      </w:r>
      <w:r>
        <w:tab/>
      </w:r>
      <w:r>
        <w:t>34</w:t>
      </w:r>
    </w:p>
    <w:p>
      <w:pPr>
        <w:pStyle w:val="Contents2"/>
        <w:tabs>
          <w:tab w:val="right" w:leader="dot" w:pos="8424"/>
        </w:tabs>
      </w:pPr>
      <w:r>
        <w:t>3.6 Trade-off and Ablation Experiment Setup</w:t>
      </w:r>
      <w:r>
        <w:tab/>
      </w:r>
      <w:r>
        <w:t>34</w:t>
      </w:r>
    </w:p>
    <w:p>
      <w:pPr>
        <w:pStyle w:val="Contents1"/>
        <w:tabs>
          <w:tab w:val="right" w:leader="dot" w:pos="8424"/>
        </w:tabs>
      </w:pPr>
      <w:r>
        <w:t>Chapter 4 Accuracy–Explainability Trade-off Results</w:t>
      </w:r>
      <w:r>
        <w:tab/>
      </w:r>
      <w:r>
        <w:t>40</w:t>
      </w:r>
    </w:p>
    <w:p>
      <w:pPr>
        <w:pStyle w:val="Contents2"/>
        <w:tabs>
          <w:tab w:val="right" w:leader="dot" w:pos="8424"/>
        </w:tabs>
      </w:pPr>
      <w:r>
        <w:t>4.1 Experimental Scope and Result Organisation</w:t>
      </w:r>
      <w:r>
        <w:tab/>
      </w:r>
      <w:r>
        <w:t>40</w:t>
      </w:r>
    </w:p>
    <w:p>
      <w:pPr>
        <w:pStyle w:val="Contents2"/>
        <w:tabs>
          <w:tab w:val="right" w:leader="dot" w:pos="8424"/>
        </w:tabs>
      </w:pPr>
      <w:r>
        <w:t>4.2 Strict Accuracy Results</w:t>
      </w:r>
      <w:r>
        <w:tab/>
      </w:r>
      <w:r>
        <w:t>41</w:t>
      </w:r>
    </w:p>
    <w:p>
      <w:pPr>
        <w:pStyle w:val="Contents2"/>
        <w:tabs>
          <w:tab w:val="right" w:leader="dot" w:pos="8424"/>
        </w:tabs>
      </w:pPr>
      <w:r>
        <w:t>4.3 Explanation Metric Endpoint Results</w:t>
      </w:r>
      <w:r>
        <w:tab/>
      </w:r>
      <w:r>
        <w:t>44</w:t>
      </w:r>
    </w:p>
    <w:p>
      <w:pPr>
        <w:pStyle w:val="Contents2"/>
        <w:tabs>
          <w:tab w:val="right" w:leader="dot" w:pos="8424"/>
        </w:tabs>
      </w:pPr>
      <w:r>
        <w:t>4.4 LIR-oriented Trade-off Results</w:t>
      </w:r>
      <w:r>
        <w:tab/>
      </w:r>
      <w:r>
        <w:t>47</w:t>
      </w:r>
    </w:p>
    <w:p>
      <w:pPr>
        <w:pStyle w:val="Contents2"/>
        <w:tabs>
          <w:tab w:val="right" w:leader="dot" w:pos="8424"/>
        </w:tabs>
      </w:pPr>
      <w:r>
        <w:t>4.5 SEP-oriented Trade-off Results</w:t>
      </w:r>
      <w:r>
        <w:tab/>
      </w:r>
      <w:r>
        <w:t>48</w:t>
      </w:r>
    </w:p>
    <w:p>
      <w:pPr>
        <w:pStyle w:val="Contents2"/>
        <w:tabs>
          <w:tab w:val="right" w:leader="dot" w:pos="8424"/>
        </w:tabs>
      </w:pPr>
      <w:r>
        <w:t>4.6 ETD-oriented Trade-off Results</w:t>
      </w:r>
      <w:r>
        <w:tab/>
      </w:r>
      <w:r>
        <w:t>50</w:t>
      </w:r>
    </w:p>
    <w:p>
      <w:pPr>
        <w:pStyle w:val="Contents2"/>
        <w:tabs>
          <w:tab w:val="right" w:leader="dot" w:pos="8424"/>
        </w:tabs>
      </w:pPr>
      <w:r>
        <w:t>4.7 Cross-Dataset Comparison</w:t>
      </w:r>
      <w:r>
        <w:tab/>
      </w:r>
      <w:r>
        <w:t>51</w:t>
      </w:r>
    </w:p>
    <w:p>
      <w:pPr>
        <w:pStyle w:val="Contents1"/>
        <w:tabs>
          <w:tab w:val="right" w:leader="dot" w:pos="8424"/>
        </w:tabs>
      </w:pPr>
      <w:r>
        <w:t>Chapter 5 Ablation, Mechanism Analysis, and Boundary Cases</w:t>
      </w:r>
      <w:r>
        <w:tab/>
      </w:r>
      <w:r>
        <w:t>55</w:t>
      </w:r>
    </w:p>
    <w:p>
      <w:pPr>
        <w:pStyle w:val="Contents2"/>
        <w:tabs>
          <w:tab w:val="right" w:leader="dot" w:pos="8424"/>
        </w:tabs>
      </w:pPr>
      <w:r>
        <w:t>5.1 Ablation Analysis of Framework Controllability</w:t>
      </w:r>
      <w:r>
        <w:tab/>
      </w:r>
      <w:r>
        <w:t>55</w:t>
      </w:r>
    </w:p>
    <w:p>
      <w:pPr>
        <w:pStyle w:val="Contents2"/>
        <w:tabs>
          <w:tab w:val="right" w:leader="dot" w:pos="8424"/>
        </w:tabs>
      </w:pPr>
      <w:r>
        <w:t>5.2 Mechanism-Level Comparison of Native-Path Models</w:t>
      </w:r>
      <w:r>
        <w:tab/>
      </w:r>
      <w:r>
        <w:t>59</w:t>
      </w:r>
    </w:p>
    <w:p>
      <w:pPr>
        <w:pStyle w:val="Contents2"/>
        <w:tabs>
          <w:tab w:val="right" w:leader="dot" w:pos="8424"/>
        </w:tabs>
      </w:pPr>
      <w:r>
        <w:t>5.3 Accuracy–Explainability Interaction Patterns</w:t>
      </w:r>
      <w:r>
        <w:tab/>
      </w:r>
      <w:r>
        <w:t>62</w:t>
      </w:r>
    </w:p>
    <w:p>
      <w:pPr>
        <w:pStyle w:val="Contents2"/>
        <w:tabs>
          <w:tab w:val="right" w:leader="dot" w:pos="8424"/>
        </w:tabs>
      </w:pPr>
      <w:r>
        <w:t>5.4 Amazon-Book KGAT as a Boundary Case</w:t>
      </w:r>
      <w:r>
        <w:tab/>
      </w:r>
      <w:r>
        <w:t>63</w:t>
      </w:r>
    </w:p>
    <w:p>
      <w:pPr>
        <w:pStyle w:val="Contents2"/>
        <w:tabs>
          <w:tab w:val="right" w:leader="dot" w:pos="8424"/>
        </w:tabs>
      </w:pPr>
      <w:r>
        <w:t>5.5 Limitations of the Current Framework and Experiments</w:t>
      </w:r>
      <w:r>
        <w:tab/>
      </w:r>
      <w:r>
        <w:t>66</w:t>
      </w:r>
    </w:p>
    <w:p>
      <w:pPr>
        <w:pStyle w:val="Contents1"/>
        <w:tabs>
          <w:tab w:val="right" w:leader="dot" w:pos="8424"/>
        </w:tabs>
      </w:pPr>
      <w:r>
        <w:t>Chapter 6 Conclusion and Recommendations</w:t>
      </w:r>
      <w:r>
        <w:tab/>
      </w:r>
      <w:r>
        <w:t>69</w:t>
      </w:r>
    </w:p>
    <w:p>
      <w:pPr>
        <w:pStyle w:val="Contents2"/>
        <w:tabs>
          <w:tab w:val="right" w:leader="dot" w:pos="8424"/>
        </w:tabs>
      </w:pPr>
      <w:r>
        <w:t>6.1 Conclusion</w:t>
      </w:r>
      <w:r>
        <w:tab/>
      </w:r>
      <w:r>
        <w:t>69</w:t>
      </w:r>
    </w:p>
    <w:p>
      <w:pPr>
        <w:pStyle w:val="Contents2"/>
        <w:tabs>
          <w:tab w:val="right" w:leader="dot" w:pos="8424"/>
        </w:tabs>
      </w:pPr>
      <w:r>
        <w:t>6.2 Recommendations for Further Research</w:t>
      </w:r>
      <w:r>
        <w:tab/>
      </w:r>
      <w:r>
        <w:t>73</w:t>
      </w:r>
    </w:p>
    <w:p>
      <w:pPr>
        <w:pStyle w:val="Contents1"/>
        <w:tabs>
          <w:tab w:val="right" w:leader="dot" w:pos="8424"/>
        </w:tabs>
      </w:pPr>
      <w:r>
        <w:t>References</w:t>
      </w:r>
      <w:r>
        <w:tab/>
      </w:r>
      <w:r>
        <w:t>76</w:t>
      </w:r>
    </w:p>
    <w:p>
      <w:pPr>
        <w:pStyle w:val="Contents1"/>
        <w:tabs>
          <w:tab w:val="right" w:leader="dot" w:pos="8424"/>
        </w:tabs>
      </w:pPr>
      <w:r>
        <w:t>Appendices</w:t>
      </w:r>
      <w:r>
        <w:tab/>
      </w:r>
      <w:r>
        <w:t>78</w:t>
      </w:r>
    </w:p>
    <w:p>
      <w:pPr>
        <w:pStyle w:val="Contents2"/>
        <w:tabs>
          <w:tab w:val="right" w:leader="dot" w:pos="8424"/>
        </w:tabs>
      </w:pPr>
      <w:r>
        <w:t>Appendix A: Canonical Export Contract and Validation Details</w:t>
      </w:r>
      <w:r>
        <w:tab/>
      </w:r>
      <w:r>
        <w:t>78</w:t>
      </w:r>
    </w:p>
    <w:p>
      <w:pPr>
        <w:pStyle w:val="Contents2"/>
        <w:tabs>
          <w:tab w:val="right" w:leader="dot" w:pos="8424"/>
        </w:tabs>
      </w:pPr>
      <w:r>
        <w:t>Appendix B: Full Metric Definitions and Notation</w:t>
      </w:r>
      <w:r>
        <w:tab/>
      </w:r>
      <w:r>
        <w:t>78</w:t>
      </w:r>
    </w:p>
    <w:p>
      <w:pPr>
        <w:pStyle w:val="Contents2"/>
        <w:tabs>
          <w:tab w:val="right" w:leader="dot" w:pos="8424"/>
        </w:tabs>
      </w:pPr>
      <w:r>
        <w:t>Appendix C: Additional Trade-off Curves</w:t>
      </w:r>
      <w:r>
        <w:tab/>
      </w:r>
      <w:r>
        <w:t>78</w:t>
      </w:r>
    </w:p>
    <w:p>
      <w:pPr>
        <w:pStyle w:val="Contents2"/>
        <w:tabs>
          <w:tab w:val="right" w:leader="dot" w:pos="8424"/>
        </w:tabs>
      </w:pPr>
      <w:r>
        <w:t>Appendix D: Ablation Supplementary Tables</w:t>
      </w:r>
      <w:r>
        <w:tab/>
      </w:r>
      <w:r>
        <w:t>79</w:t>
      </w:r>
    </w:p>
    <w:p>
      <w:pPr>
        <w:pStyle w:val="Contents2"/>
        <w:tabs>
          <w:tab w:val="right" w:leader="dot" w:pos="8424"/>
        </w:tabs>
      </w:pPr>
      <w:r>
        <w:t>Appendix E: Boundary-Case and Reproducibility Caveats</w:t>
      </w:r>
      <w:r>
        <w:tab/>
      </w:r>
      <w:r>
        <w:t>79</w:t>
      </w:r>
    </w:p>
    <w:p>
      <w:pPr>
        <w:pStyle w:val="Contents2"/>
        <w:tabs>
          <w:tab w:val="right" w:leader="dot" w:pos="8424"/>
        </w:tabs>
      </w:pPr>
      <w:r>
        <w:t>Appendix F: Citation and Provenance Notes</w:t>
      </w:r>
      <w:r>
        <w:tab/>
      </w:r>
      <w:r>
        <w:t>80</w:t>
      </w:r>
    </w:p>
    <w:p>
      <w:r>
        <w:br w:type="page"/>
      </w:r>
    </w:p>
    <w:p>
      <w:pPr>
        <w:pStyle w:val="FrontMatterHeading"/>
        <w:pageBreakBefore w:val="0"/>
      </w:pPr>
      <w:r>
        <w:t xml:space="preserve">Abstract</w:t>
      </w:r>
    </w:p>
    <w:p>
      <w:pPr>
        <w:pStyle w:val="FirstParagraph"/>
        <w:widowControl/>
        <w:jc w:val="both"/>
      </w:pPr>
      <w:r>
        <w:t xml:space="preserve">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pPr>
        <w:pStyle w:val="BodyText"/>
      </w:pPr>
      <w:r>
        <w:t xml:space="preserve">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pPr>
        <w:pStyle w:val="BodyText"/>
      </w:pPr>
      <w:r>
        <w:t xml:space="preserve">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pPr>
        <w:pStyle w:val="BodyText"/>
      </w:pPr>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bookmarkEnd w:id="19"/>
    <w:bookmarkStart w:id="25" w:name="chapter-1-introduction"/>
    <w:p>
      <w:r>
        <w:br w:type="page"/>
      </w:r>
    </w:p>
    <w:p>
      <w:pPr>
        <w:pStyle w:val="FrontMatterHeading"/>
      </w:pPr>
      <w:r>
        <w:t>Acknowledgements</w:t>
      </w:r>
    </w:p>
    <w:p>
      <w:pPr>
        <w:widowControl/>
        <w:jc w:val="both"/>
      </w:pPr>
      <w:r>
        <w:t>[Acknowledgements to be filled.]</w:t>
      </w:r>
    </w:p>
    <w:p>
      <w:r>
        <w:br w:type="page"/>
      </w:r>
    </w:p>
    <w:p>
      <w:pPr>
        <w:pStyle w:val="FrontMatterHeading"/>
      </w:pPr>
      <w:r>
        <w:t>List of Figures</w:t>
      </w:r>
    </w:p>
    <w:p>
      <w:pPr>
        <w:pStyle w:val="ListEntry"/>
        <w:tabs>
          <w:tab w:val="right" w:leader="dot" w:pos="8424"/>
        </w:tabs>
      </w:pPr>
      <w:r>
        <w:t>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tab/>
      </w:r>
      <w:r>
        <w:t>19</w:t>
      </w:r>
    </w:p>
    <w:p>
      <w:pPr>
        <w:pStyle w:val="ListEntry"/>
        <w:tabs>
          <w:tab w:val="right" w:leader="dot" w:pos="8424"/>
        </w:tabs>
      </w:pPr>
      <w:r>
        <w:t>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r>
        <w:tab/>
      </w:r>
      <w:r>
        <w:t>33</w:t>
      </w:r>
    </w:p>
    <w:p>
      <w:pPr>
        <w:pStyle w:val="ListEntry"/>
        <w:tabs>
          <w:tab w:val="right" w:leader="dot" w:pos="8424"/>
        </w:tabs>
      </w:pPr>
      <w:r>
        <w:t>Figure 3.3. Validation gate for a model-dataset export package. This flowchart shows validation eligibility, not recommendation performance. BLOCKED or PARTIAL status must not be interpreted as a low-performing model result.</w:t>
      </w:r>
      <w:r>
        <w:tab/>
      </w:r>
      <w:r>
        <w:t>33</w:t>
      </w:r>
    </w:p>
    <w:p>
      <w:pPr>
        <w:pStyle w:val="ListEntry"/>
        <w:tabs>
          <w:tab w:val="right" w:leader="dot" w:pos="8424"/>
        </w:tabs>
      </w:pPr>
      <w:r>
        <w:t>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tab/>
      </w:r>
      <w:r>
        <w:t>43</w:t>
      </w:r>
    </w:p>
    <w:p>
      <w:pPr>
        <w:pStyle w:val="ListEntry"/>
        <w:tabs>
          <w:tab w:val="right" w:leader="dot" w:pos="8424"/>
        </w:tabs>
      </w:pPr>
      <w:r>
        <w:t>Figure 4.2. 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tab/>
      </w:r>
      <w:r>
        <w:t>46</w:t>
      </w:r>
    </w:p>
    <w:p>
      <w:pPr>
        <w:pStyle w:val="ListEntry"/>
        <w:tabs>
          <w:tab w:val="right" w:leader="dot" w:pos="8424"/>
        </w:tabs>
      </w:pPr>
      <w:r>
        <w:t>Figure 4.3. LIR-oriented trade-off curves for (a) LastFM and (b) ML-1M. The paired NDCG values belong to the alpha-sweep evidence stream and should not be interpreted as strict NDCG@10. Panel x-axis ranges may differ because the implemented metric ranges are dataset-dependent.</w:t>
      </w:r>
      <w:r>
        <w:tab/>
      </w:r>
      <w:r>
        <w:t>47</w:t>
      </w:r>
    </w:p>
    <w:p>
      <w:pPr>
        <w:pStyle w:val="ListEntry"/>
        <w:tabs>
          <w:tab w:val="right" w:leader="dot" w:pos="8424"/>
        </w:tabs>
      </w:pPr>
      <w:r>
        <w:t>Figure 4.4. 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w:t>
      </w:r>
      <w:r>
        <w:tab/>
      </w:r>
      <w:r>
        <w:t>49</w:t>
      </w:r>
    </w:p>
    <w:p>
      <w:pPr>
        <w:pStyle w:val="ListEntry"/>
        <w:tabs>
          <w:tab w:val="right" w:leader="dot" w:pos="8424"/>
        </w:tabs>
      </w:pPr>
      <w:r>
        <w:t>Figure 4.5. 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w:t>
      </w:r>
      <w:r>
        <w:tab/>
      </w:r>
      <w:r>
        <w:t>50</w:t>
      </w:r>
    </w:p>
    <w:p>
      <w:pPr>
        <w:pStyle w:val="ListEntry"/>
        <w:tabs>
          <w:tab w:val="right" w:leader="dot" w:pos="8424"/>
        </w:tabs>
      </w:pPr>
      <w:r>
        <w:t>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tab/>
      </w:r>
      <w:r>
        <w:t>59</w:t>
      </w:r>
    </w:p>
    <w:p>
      <w:pPr>
        <w:pStyle w:val="ListEntry"/>
        <w:tabs>
          <w:tab w:val="right" w:leader="dot" w:pos="8424"/>
        </w:tabs>
      </w:pPr>
      <w:r>
        <w:t>Figure 5.2. Validation-status matrix for canonical native-path experiments, including the partial Amazon-Book KGAT boundary. This figure records validation status rather than comparative recommendation performance; BLOCKED / N/A rows must not be ranked against PASS rows.</w:t>
      </w:r>
      <w:r>
        <w:tab/>
      </w:r>
      <w:r>
        <w:t>66</w:t>
      </w:r>
    </w:p>
    <w:p>
      <w:pPr>
        <w:pStyle w:val="ListEntry"/>
        <w:tabs>
          <w:tab w:val="right" w:leader="dot" w:pos="8424"/>
        </w:tabs>
      </w:pPr>
      <w:r>
        <w:t>Figure C.1. Decision flow for the partial Amazon-Book KGAT boundary case. This figure records boundary-case status rather than full benchmark performance. Current validated rows remain partial evidence because the complete explanation-sweep protocol is unavailable.</w:t>
      </w:r>
      <w:r>
        <w:tab/>
      </w:r>
      <w:r>
        <w:t>79</w:t>
      </w:r>
    </w:p>
    <w:p>
      <w:r>
        <w:br w:type="page"/>
      </w:r>
    </w:p>
    <w:p>
      <w:pPr>
        <w:pStyle w:val="FrontMatterHeading"/>
      </w:pPr>
      <w:r>
        <w:t>List of Tables</w:t>
      </w:r>
    </w:p>
    <w:p>
      <w:pPr>
        <w:pStyle w:val="ListEntry"/>
        <w:tabs>
          <w:tab w:val="right" w:leader="dot" w:pos="8424"/>
        </w:tabs>
      </w:pPr>
      <w:r>
        <w:t>Table 1.1. Research objectives, specifications, and evidence locations.</w:t>
      </w:r>
      <w:r>
        <w:tab/>
      </w:r>
      <w:r>
        <w:t>4</w:t>
      </w:r>
    </w:p>
    <w:p>
      <w:pPr>
        <w:pStyle w:val="ListEntry"/>
        <w:tabs>
          <w:tab w:val="right" w:leader="dot" w:pos="8424"/>
        </w:tabs>
      </w:pPr>
      <w:r>
        <w:t>Table 2.1. Literature themes and dissertation positioning.</w:t>
      </w:r>
      <w:r>
        <w:tab/>
      </w:r>
      <w:r>
        <w:t>16</w:t>
      </w:r>
    </w:p>
    <w:p>
      <w:pPr>
        <w:pStyle w:val="ListEntry"/>
        <w:tabs>
          <w:tab w:val="right" w:leader="dot" w:pos="8424"/>
        </w:tabs>
      </w:pPr>
      <w:r>
        <w:t>Table 3.1. Dataset summary and dissertation evidence role.</w:t>
      </w:r>
      <w:r>
        <w:tab/>
      </w:r>
      <w:r>
        <w:t>22</w:t>
      </w:r>
    </w:p>
    <w:p>
      <w:pPr>
        <w:pStyle w:val="ListEntry"/>
        <w:tabs>
          <w:tab w:val="right" w:leader="dot" w:pos="8424"/>
        </w:tabs>
      </w:pPr>
      <w:r>
        <w:t>Table 3.2. Model scope and native-path evidence availability.</w:t>
      </w:r>
      <w:r>
        <w:tab/>
      </w:r>
      <w:r>
        <w:t>24</w:t>
      </w:r>
    </w:p>
    <w:p>
      <w:pPr>
        <w:pStyle w:val="ListEntry"/>
        <w:tabs>
          <w:tab w:val="right" w:leader="dot" w:pos="8424"/>
        </w:tabs>
      </w:pPr>
      <w:r>
        <w:t>Table 3.3. Canonical native-path export contract.</w:t>
      </w:r>
      <w:r>
        <w:tab/>
      </w:r>
      <w:r>
        <w:t>27</w:t>
      </w:r>
    </w:p>
    <w:p>
      <w:pPr>
        <w:pStyle w:val="ListEntry"/>
        <w:tabs>
          <w:tab w:val="right" w:leader="dot" w:pos="8424"/>
        </w:tabs>
      </w:pPr>
      <w:r>
        <w:t>Table 3.4. Validation gates applied before comparative reporting. The table records validation eligibility rather than model performance.</w:t>
      </w:r>
      <w:r>
        <w:tab/>
      </w:r>
      <w:r>
        <w:t>30</w:t>
      </w:r>
    </w:p>
    <w:p>
      <w:pPr>
        <w:pStyle w:val="ListEntry"/>
        <w:tabs>
          <w:tab w:val="right" w:leader="dot" w:pos="8424"/>
        </w:tabs>
      </w:pPr>
      <w:r>
        <w:t>Table 3.5. Experiment configuration and provenance boundary.</w:t>
      </w:r>
      <w:r>
        <w:tab/>
      </w:r>
      <w:r>
        <w:t>36</w:t>
      </w:r>
    </w:p>
    <w:p>
      <w:pPr>
        <w:pStyle w:val="ListEntry"/>
        <w:tabs>
          <w:tab w:val="right" w:leader="dot" w:pos="8424"/>
        </w:tabs>
      </w:pPr>
      <w:r>
        <w:t>Table 3.6. Evidence streams, configuration provenance, and interpretation boundaries.</w:t>
      </w:r>
      <w:r>
        <w:tab/>
      </w:r>
      <w:r>
        <w:t>38</w:t>
      </w:r>
    </w:p>
    <w:p>
      <w:pPr>
        <w:pStyle w:val="ListEntry"/>
        <w:tabs>
          <w:tab w:val="right" w:leader="dot" w:pos="8424"/>
        </w:tabs>
      </w:pPr>
      <w:r>
        <w:t>Table 4.1. Strict HR@10, NDCG@10, Precision@10, and Recall@10 results for the complete LastFM and ML-1M six-model scope. Values are traceable to the accessible canonical status matrix and matching dissertation summary; the expected primary row-level JSON artifacts are not accessible.</w:t>
      </w:r>
      <w:r>
        <w:tab/>
      </w:r>
      <w:r>
        <w:t>42</w:t>
      </w:r>
    </w:p>
    <w:p>
      <w:pPr>
        <w:pStyle w:val="ListEntry"/>
        <w:tabs>
          <w:tab w:val="right" w:leader="dot" w:pos="8424"/>
        </w:tabs>
      </w:pPr>
      <w:r>
        <w:t>Table 4.2. LIR, SEP, and ETD endpoints at alpha=0 and alpha=1 for the validated LastFM and ML-1M native-path rows. These endpoints use the registered repository-specific metric implementation, belong to the alpha-sweep evidence stream, and are not strict accuracy measurements or user-study evidence.</w:t>
      </w:r>
      <w:r>
        <w:tab/>
      </w:r>
      <w:r>
        <w:t>45</w:t>
      </w:r>
    </w:p>
    <w:p>
      <w:pPr>
        <w:pStyle w:val="ListEntry"/>
        <w:tabs>
          <w:tab w:val="right" w:leader="dot" w:pos="8424"/>
        </w:tabs>
      </w:pPr>
      <w:r>
        <w:t>Table 4.3. Empirical trade-off pattern summary.</w:t>
      </w:r>
      <w:r>
        <w:tab/>
      </w:r>
      <w:r>
        <w:t>53</w:t>
      </w:r>
    </w:p>
    <w:p>
      <w:pPr>
        <w:pStyle w:val="ListEntry"/>
        <w:tabs>
          <w:tab w:val="right" w:leader="dot" w:pos="8424"/>
        </w:tabs>
      </w:pPr>
      <w:r>
        <w:t>Table 5.1. Registered PGPR/UCPR ablation evidence, including alpha-zero preservation and operating points selected under the 95% NDCG-retention rule. The evidence is confined to the frozen-item-set ablation protocol and does not establish six-model superiority.</w:t>
      </w:r>
      <w:r>
        <w:tab/>
      </w:r>
      <w:r>
        <w:t>57</w:t>
      </w:r>
    </w:p>
    <w:p>
      <w:pPr>
        <w:pStyle w:val="ListEntry"/>
        <w:tabs>
          <w:tab w:val="right" w:leader="dot" w:pos="8424"/>
        </w:tabs>
      </w:pPr>
      <w:r>
        <w:t>Table 5.2. 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w:t>
      </w:r>
      <w:r>
        <w:tab/>
      </w:r>
      <w:r>
        <w:t>60</w:t>
      </w:r>
    </w:p>
    <w:p>
      <w:pPr>
        <w:pStyle w:val="ListEntry"/>
        <w:tabs>
          <w:tab w:val="right" w:leader="dot" w:pos="8424"/>
        </w:tabs>
      </w:pPr>
      <w:r>
        <w:t>Table 5.3. Amazon-Book KGAT boundary status. PASS rows are reportable under the registered contract, whereas BLOCKED / N/A rows remain boundary evidence and are not comparative performance results. Amazon-Book remains a partial boundary case rather than a complete main benchmark.</w:t>
      </w:r>
      <w:r>
        <w:tab/>
      </w:r>
      <w:r>
        <w:t>65</w:t>
      </w:r>
    </w:p>
    <w:p>
      <w:pPr>
        <w:pStyle w:val="ListEntry"/>
        <w:tabs>
          <w:tab w:val="right" w:leader="dot" w:pos="8424"/>
        </w:tabs>
      </w:pPr>
      <w:r>
        <w:t>Table 5.4. Evidence, reproducibility, citation, and packaging limitations. The table preserves the registered user-study, significance, Amazon, metric-implementation, strict-primary-artifact, checkpoint, citation, and figure-insertion caveats; none is converted into a new result or performance claim.</w:t>
      </w:r>
      <w:r>
        <w:tab/>
      </w:r>
      <w:r>
        <w:t>68</w:t>
      </w:r>
    </w:p>
    <w:p>
      <w:pPr>
        <w:pStyle w:val="ListEntry"/>
        <w:tabs>
          <w:tab w:val="right" w:leader="dot" w:pos="8424"/>
        </w:tabs>
      </w:pPr>
      <w:r>
        <w:t>Table 6.1. Objective-closure summary.</w:t>
      </w:r>
      <w:r>
        <w:tab/>
      </w:r>
      <w:r>
        <w:t>72</w:t>
      </w:r>
    </w:p>
    <w:p>
      <w:pPr>
        <w:sectPr>
          <w:footerReference w:type="default" r:id="rId11"/>
          <w:pgSz w:w="12240" w:h="15840"/>
          <w:pgMar w:top="1440" w:right="1440" w:bottom="1440" w:left="2160" w:header="720" w:footer="720" w:gutter="0"/>
          <w:pgNumType w:fmt="lowerRoman" w:start="1"/>
          <w:cols w:space="720"/>
          <w:docGrid w:linePitch="360"/>
        </w:sectPr>
      </w:pPr>
    </w:p>
    <w:p>
      <w:pPr>
        <w:pStyle w:val="Heading1"/>
        <w:keepNext/>
        <w:pageBreakBefore/>
      </w:pPr>
      <w:r>
        <w:t xml:space="preserve">Chapter 1 Introduction</w:t>
      </w:r>
    </w:p>
    <w:bookmarkStart w:id="20" w:name="background"/>
    <w:p>
      <w:pPr>
        <w:pStyle w:val="Heading2"/>
        <w:keepNext/>
      </w:pPr>
      <w:r>
        <w:t xml:space="preserve">1.1 Background</w:t>
      </w:r>
    </w:p>
    <w:p>
      <w:pPr>
        <w:pStyle w:val="FirstParagraph"/>
        <w:widowControl/>
        <w:jc w:val="both"/>
      </w:pPr>
      <w:r>
        <w:t xml:space="preserve">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w:t>
      </w:r>
      <w:r>
        <w:t xml:space="preserve"> </w:t>
      </w:r>
      <w:r>
        <w:t xml:space="preserve">(</w:t>
      </w:r>
      <w:hyperlink w:anchor="ref-guo2022kgsurvey">
        <w:r>
          <w:rPr>
            <w:rStyle w:val="Hyperlink"/>
          </w:rPr>
          <w:t xml:space="preserve">Guo et al. 2022</w:t>
        </w:r>
      </w:hyperlink>
      <w:r>
        <w:t xml:space="preserve">)</w:t>
      </w:r>
      <w:r>
        <w:t xml:space="preserve">. This structure can improve the information available to a recommender, but the use of a knowledge graph does not by itself make the recommendation process inspectable.</w:t>
      </w:r>
    </w:p>
    <w:p>
      <w:pPr>
        <w:pStyle w:val="BodyText"/>
      </w:pPr>
      <w:r>
        <w:t xml:space="preserve">Explainable recommendation addresses the need to communicate why an item was recommended, support model inspection, and distinguish recommendation quality from the quality of its accompanying evidence</w:t>
      </w:r>
      <w:r>
        <w:t xml:space="preserve"> </w:t>
      </w:r>
      <w:r>
        <w:t xml:space="preserve">(</w:t>
      </w:r>
      <w:hyperlink w:anchor="ref-zhang2020explainableSurvey">
        <w:r>
          <w:rPr>
            <w:rStyle w:val="Hyperlink"/>
          </w:rPr>
          <w:t xml:space="preserve">Zhang and Chen 2020</w:t>
        </w:r>
      </w:hyperlink>
      <w:r>
        <w:t xml:space="preserve">)</w:t>
      </w:r>
      <w:r>
        <w:t xml:space="preserve">.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pPr>
        <w:pStyle w:val="BodyText"/>
      </w:pPr>
      <w:r>
        <w:t xml:space="preserve">Path-reasoning recommenders make this distinction operational. Methods such as PGPR and CAFE traverse or construct graph paths as part of recommendation and can expose those paths as explanation candidates</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pPr>
        <w:pStyle w:val="BodyText"/>
      </w:pPr>
      <w:r>
        <w:t xml:space="preserve">Recommendation accuracy is therefore necessary but insufficient for evaluating native-path systems. HR@10, NDCG@10, Precision@10, and Recall@10 describe ranking 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w:t>
      </w:r>
      <w:r>
        <w:t xml:space="preserve"> </w:t>
      </w:r>
      <w:r>
        <w:t xml:space="preserve">(</w:t>
      </w:r>
      <w:hyperlink w:anchor="ref-balloccu2022xrecsys">
        <w:r>
          <w:rPr>
            <w:rStyle w:val="Hyperlink"/>
          </w:rPr>
          <w:t xml:space="preserve">Balloccu et al. 2022a</w:t>
        </w:r>
      </w:hyperlink>
      <w:r>
        <w:t xml:space="preserve">)</w:t>
      </w:r>
      <w:r>
        <w:t xml:space="preserve">. A defensible evaluation must retain this separation rather than collapse ranking and explanation evidence into a single score.</w:t>
      </w:r>
    </w:p>
    <w:bookmarkEnd w:id="20"/>
    <w:bookmarkStart w:id="21" w:name="motivation"/>
    <w:p>
      <w:pPr>
        <w:pStyle w:val="Heading2"/>
        <w:keepNext/>
      </w:pPr>
      <w:r>
        <w:t xml:space="preserve">1.2 Motivation</w:t>
      </w:r>
    </w:p>
    <w:p>
      <w:pPr>
        <w:pStyle w:val="FirstParagraph"/>
        <w:widowControl/>
        <w:jc w:val="both"/>
      </w:pPr>
      <w:r>
        <w:t xml:space="preserve">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pPr>
        <w:pStyle w:val="BodyText"/>
      </w:pPr>
      <w:r>
        <w:t xml:space="preserve">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pPr>
        <w:pStyle w:val="BodyText"/>
      </w:pPr>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boundary-case claims separate. Benchmarking literature similarly shows that dataset and protocol choices can materially affect recommender comparisons</w:t>
      </w:r>
      <w:r>
        <w:t xml:space="preserve"> </w:t>
      </w:r>
      <w:r>
        <w:t xml:space="preserve">(</w:t>
      </w:r>
      <w:hyperlink w:anchor="ref-shevchenko2024recsysBenchmarking">
        <w:r>
          <w:rPr>
            <w:rStyle w:val="Hyperlink"/>
          </w:rPr>
          <w:t xml:space="preserve">Shevchenko et al. 2024</w:t>
        </w:r>
      </w:hyperlink>
      <w:r>
        <w:t xml:space="preserve">)</w:t>
      </w:r>
      <w:r>
        <w:t xml:space="preserve">.</w:t>
      </w:r>
    </w:p>
    <w:p>
      <w:pPr>
        <w:pStyle w:val="BodyText"/>
      </w:pPr>
      <w:r>
        <w:t xml:space="preserve">This dissertation responds to that need by developing and verifying a canonical native-path evaluation framework. It does not propose a new recommender model. The framework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bookmarkEnd w:id="21"/>
    <w:bookmarkStart w:id="22" w:name="objectives-and-specifications"/>
    <w:p>
      <w:pPr>
        <w:pStyle w:val="Heading2"/>
        <w:keepNext/>
      </w:pPr>
      <w:r>
        <w:t xml:space="preserve">1.3 Objectives and Specifications</w:t>
      </w:r>
    </w:p>
    <w:p>
      <w:pPr>
        <w:pStyle w:val="FirstParagraph"/>
        <w:widowControl/>
        <w:jc w:val="both"/>
      </w:pPr>
      <w:r>
        <w:t xml:space="preserve">The research objectives are:</w:t>
      </w:r>
    </w:p>
    <w:p>
      <w:pPr>
        <w:pStyle w:val="Compact"/>
        <w:widowControl/>
        <w:numPr>
          <w:ilvl w:val="0"/>
          <w:numId w:val="1001"/>
        </w:numPr>
        <w:jc w:val="both"/>
      </w:pPr>
      <w:r>
        <w:t xml:space="preserve">To design a canonical evaluation framework for native-path knowledge graph recommender systems.</w:t>
      </w:r>
    </w:p>
    <w:p>
      <w:pPr>
        <w:pStyle w:val="Compact"/>
        <w:widowControl/>
        <w:numPr>
          <w:ilvl w:val="0"/>
          <w:numId w:val="1001"/>
        </w:numPr>
        <w:jc w:val="both"/>
      </w:pPr>
      <w:r>
        <w:t xml:space="preserve">To construct canonical datasets and model-specific views without forcing heterogeneous models into an invalid common internal representation.</w:t>
      </w:r>
    </w:p>
    <w:p>
      <w:pPr>
        <w:pStyle w:val="Compact"/>
        <w:widowControl/>
        <w:numPr>
          <w:ilvl w:val="0"/>
          <w:numId w:val="1001"/>
        </w:numPr>
        <w:jc w:val="both"/>
      </w:pPr>
      <w:r>
        <w:t xml:space="preserve">To define a native-path export contract for recommendations, candidate paths, and user-item explanations.</w:t>
      </w:r>
    </w:p>
    <w:p>
      <w:pPr>
        <w:pStyle w:val="Compact"/>
        <w:widowControl/>
        <w:numPr>
          <w:ilvl w:val="0"/>
          <w:numId w:val="1001"/>
        </w:numPr>
        <w:jc w:val="both"/>
      </w:pPr>
      <w:r>
        <w:t xml:space="preserve">To validate exported recommendations and explanations before admitting them to comparative reporting.</w:t>
      </w:r>
    </w:p>
    <w:p>
      <w:pPr>
        <w:pStyle w:val="Compact"/>
        <w:widowControl/>
        <w:numPr>
          <w:ilvl w:val="0"/>
          <w:numId w:val="1001"/>
        </w:numPr>
        <w:jc w:val="both"/>
      </w:pPr>
      <w:r>
        <w:t xml:space="preserve">To evaluate strict recommendation accuracy through HR@10, NDCG@10, Precision@10, and Recall@10.</w:t>
      </w:r>
    </w:p>
    <w:p>
      <w:pPr>
        <w:pStyle w:val="Compact"/>
        <w:widowControl/>
        <w:numPr>
          <w:ilvl w:val="0"/>
          <w:numId w:val="1001"/>
        </w:numPr>
        <w:jc w:val="both"/>
      </w:pPr>
      <w:r>
        <w:t xml:space="preserve">To evaluate explanation evidence through the separate LIR, SEP, and ETD dimensions.</w:t>
      </w:r>
    </w:p>
    <w:p>
      <w:pPr>
        <w:pStyle w:val="Compact"/>
        <w:widowControl/>
        <w:numPr>
          <w:ilvl w:val="0"/>
          <w:numId w:val="1001"/>
        </w:numPr>
        <w:jc w:val="both"/>
      </w:pPr>
      <w:r>
        <w:t xml:space="preserve">To perform controlled, metric-specific accuracy–explainability trade-off analysis through alpha sweeps.</w:t>
      </w:r>
    </w:p>
    <w:p>
      <w:pPr>
        <w:pStyle w:val="Compact"/>
        <w:widowControl/>
        <w:numPr>
          <w:ilvl w:val="0"/>
          <w:numId w:val="1001"/>
        </w:numPr>
        <w:jc w:val="both"/>
      </w:pPr>
      <w:r>
        <w:t xml:space="preserve">To analyse ablation evidence, mechanism dependence, dataset dependence, and boundary cases without exceeding the registered evidence.</w:t>
      </w:r>
    </w:p>
    <w:p>
      <w:pPr>
        <w:pStyle w:val="Caption"/>
        <w:keepNext/>
        <w:jc w:val="left"/>
      </w:pPr>
      <w:r>
        <w:rPr>
          <w:b/>
          <w:bCs/>
        </w:rPr>
        <w:t xml:space="preserve">Table 1.1. Research objectives, specifications, and evidence locations.</w:t>
      </w:r>
      <w:r>
        <w:fldChar w:fldCharType="begin"/>
      </w:r>
      <w:r>
        <w:rPr>
          <w:vanish/>
        </w:rPr>
        <w:instrText xml:space="preserve"> TC "Table 1.1. Research objectives, specifications, and evidence locations." \f T \l 1 </w:instrText>
      </w:r>
      <w:r>
        <w:fldChar w:fldCharType="end"/>
      </w:r>
    </w:p>
    <w:tbl>
      <w:tblPr>
        <w:tblW w:type="dxa" w:w="792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388"/>
        <w:gridCol w:w="3176"/>
        <w:gridCol w:w="2356"/>
      </w:tblGrid>
      <w:tr>
        <w:trPr>
          <w:tblHeader w:val="true"/>
          <w:cantSplit/>
        </w:trPr>
        <w:tc>
          <w:tcPr>
            <w:tcW w:type="dxa" w:w="238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8"/>
              </w:rPr>
              <w:t>Objective</w:t>
            </w:r>
          </w:p>
        </w:tc>
        <w:tc>
          <w:tcPr>
            <w:tcW w:type="dxa" w:w="317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8"/>
              </w:rPr>
              <w:t>Specification</w:t>
            </w:r>
          </w:p>
        </w:tc>
        <w:tc>
          <w:tcPr>
            <w:tcW w:type="dxa" w:w="235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8"/>
              </w:rPr>
              <w:t>Evidence / chapter</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O1. Canonical evaluation framework</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Separate canonical truth, model execution, export, validation, and reporting concerns.</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Framework architecture and verification, Chapter 3.</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O2. Canonical and model-specific views</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Define common users, items, splits, labels, and mappings while allowing model-specific graph and identifier views.</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Canonical dataset and model-view construction, Section 3.2.</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O3. Native-path export contract</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Require canonical recommendation, path, and explanation artifacts for native-path rows.</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Export contract and implementation, Section 3.3.</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O4. Validation before reporting</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Check coverage, duplicates, leakage, endpoints, recommendation–explanation alignment, candidate consistency, and score ranges.</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Evaluation and validation pipeline, Sections 3.4–3.5.</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O5. Strict accuracy evaluation</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Report HR@10, NDCG@10, Precision@10, and Recall@10 from the registered strict-accuracy evidence stream.</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Strict accuracy results, Section 4.2.</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O6. Multidimensional explanation evaluation</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Report LIR, SEP, and ETD separately under the repository definitions and verified conceptual provenance.</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Sections 3.4 and 4.3–4.6.</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O7. Controlled trade-off analysis</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Use metric-specific alpha sweeps while keeping sweep ranking measures separate from strict accuracy.</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Sections 3.6 and 4.4–4.7.</w:t>
            </w:r>
          </w:p>
        </w:tc>
      </w:tr>
      <w:tr>
        <w:tc>
          <w:tcPr>
            <w:tcW w:type="dxa" w:w="23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O8. Ablation and boundary analysis</w:t>
            </w:r>
          </w:p>
        </w:tc>
        <w:tc>
          <w:tcPr>
            <w:tcW w:type="dxa" w:w="3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Use PGPR/UCPR ablation for bounded controllability evidence, descriptive mechanism context for other models, and Amazon-Book KGAT as a partial boundary case.</w:t>
            </w:r>
          </w:p>
        </w:tc>
        <w:tc>
          <w:tcPr>
            <w:tcW w:type="dxa" w:w="23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Chapter 5.</w:t>
            </w:r>
          </w:p>
        </w:tc>
      </w:tr>
    </w:tbl>
    <w:p>
      <w:pPr>
        <w:pStyle w:val="BodyText"/>
      </w:pPr>
      <w:r>
        <w:t xml:space="preserve">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bookmarkEnd w:id="22"/>
    <w:bookmarkStart w:id="23" w:name="major-contribution"/>
    <w:p>
      <w:pPr>
        <w:pStyle w:val="Heading2"/>
        <w:keepNext/>
      </w:pPr>
      <w:r>
        <w:t xml:space="preserve">1.4 Major Contribution</w:t>
      </w:r>
    </w:p>
    <w:p>
      <w:pPr>
        <w:pStyle w:val="FirstParagraph"/>
        <w:widowControl/>
        <w:jc w:val="both"/>
      </w:pPr>
      <w:r>
        <w:t xml:space="preserve">The dissertation makes eight connected contributions.</w:t>
      </w:r>
    </w:p>
    <w:p>
      <w:pPr>
        <w:pStyle w:val="Compact"/>
        <w:widowControl/>
        <w:numPr>
          <w:ilvl w:val="0"/>
          <w:numId w:val="1002"/>
        </w:numPr>
        <w:jc w:val="both"/>
      </w:pPr>
      <w:r>
        <w:t xml:space="preserve">It provides a canonical native-path evaluation framework that separates shared dataset truth from heterogeneous model execution.</w:t>
      </w:r>
    </w:p>
    <w:p>
      <w:pPr>
        <w:pStyle w:val="Compact"/>
        <w:widowControl/>
        <w:numPr>
          <w:ilvl w:val="0"/>
          <w:numId w:val="1002"/>
        </w:numPr>
        <w:jc w:val="both"/>
      </w:pPr>
      <w:r>
        <w:t xml:space="preserve">It establishes a validation-first export contract in which recommendation and native-path artifacts must return to canonical identifiers and pass registered checks before scoring.</w:t>
      </w:r>
    </w:p>
    <w:p>
      <w:pPr>
        <w:pStyle w:val="Compact"/>
        <w:widowControl/>
        <w:numPr>
          <w:ilvl w:val="0"/>
          <w:numId w:val="1002"/>
        </w:numPr>
        <w:jc w:val="both"/>
      </w:pPr>
      <w:r>
        <w:t xml:space="preserve">It preserves a strict separation between ranking accuracy and the LIR, SEP, and ETD explanation dimensions, preventing one evidence type from substituting for another.</w:t>
      </w:r>
    </w:p>
    <w:p>
      <w:pPr>
        <w:pStyle w:val="Compact"/>
        <w:widowControl/>
        <w:numPr>
          <w:ilvl w:val="0"/>
          <w:numId w:val="1002"/>
        </w:numPr>
        <w:jc w:val="both"/>
      </w:pPr>
      <w:r>
        <w:t xml:space="preserve">It supports controlled alpha-sweep analysis that records metric-specific trade-off trajectories without assuming a universal coefficient or operating point.</w:t>
      </w:r>
    </w:p>
    <w:p>
      <w:pPr>
        <w:pStyle w:val="Compact"/>
        <w:widowControl/>
        <w:numPr>
          <w:ilvl w:val="0"/>
          <w:numId w:val="1002"/>
        </w:numPr>
        <w:jc w:val="both"/>
      </w:pPr>
      <w:r>
        <w:t xml:space="preserve">It supplies PGPR/UCPR ablation evidence for framework controllability under an exact alpha=0 baseline and a declared NDCG-retention rule; this is not presented as improvement of the underlying recommenders.</w:t>
      </w:r>
    </w:p>
    <w:p>
      <w:pPr>
        <w:pStyle w:val="Compact"/>
        <w:widowControl/>
        <w:numPr>
          <w:ilvl w:val="0"/>
          <w:numId w:val="1002"/>
        </w:numPr>
        <w:jc w:val="both"/>
      </w:pPr>
      <w:r>
        <w:t xml:space="preserve">It provides mechanism-level and dataset-level interpretation through graded claims: registered ablation supports bounded control statements, while non-targeted model explanations remain descriptive rather than causal.</w:t>
      </w:r>
    </w:p>
    <w:p>
      <w:pPr>
        <w:pStyle w:val="Compact"/>
        <w:widowControl/>
        <w:numPr>
          <w:ilvl w:val="0"/>
          <w:numId w:val="1002"/>
        </w:numPr>
        <w:jc w:val="both"/>
      </w:pPr>
      <w:r>
        <w:t xml:space="preserve">It identifies Amazon-Book KGAT as a partial boundary case with reportable and blocked rows, demonstrating how validation prevents incomplete contracts from entering a full comparison.</w:t>
      </w:r>
    </w:p>
    <w:p>
      <w:pPr>
        <w:pStyle w:val="Compact"/>
        <w:widowControl/>
        <w:numPr>
          <w:ilvl w:val="0"/>
          <w:numId w:val="1002"/>
        </w:numPr>
        <w:jc w:val="both"/>
      </w:pPr>
      <w:r>
        <w:t xml:space="preserve">It assembles a traceable dissertation evidence package connecting claims, metrics, tables, figures, citations, validation states, and source paths while retaining unresolved provenance caveats.</w:t>
      </w:r>
    </w:p>
    <w:p>
      <w:pPr>
        <w:pStyle w:val="FirstParagraph"/>
        <w:widowControl/>
        <w:jc w:val="both"/>
      </w:pPr>
      <w:r>
        <w:t xml:space="preserve">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bookmarkEnd w:id="23"/>
    <w:bookmarkStart w:id="24" w:name="organisation"/>
    <w:p>
      <w:pPr>
        <w:pStyle w:val="Heading2"/>
        <w:keepNext/>
      </w:pPr>
      <w:r>
        <w:t xml:space="preserve">1.5 Organisation</w:t>
      </w:r>
    </w:p>
    <w:p>
      <w:pPr>
        <w:pStyle w:val="FirstParagraph"/>
        <w:widowControl/>
        <w:jc w:val="both"/>
      </w:pPr>
      <w:r>
        <w:t xml:space="preserve">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pPr>
        <w:pStyle w:val="BodyText"/>
      </w:pPr>
      <w:r>
        <w:t xml:space="preserve">Chapter 3 defines the implemented framework. It presents canonical datasets and model-specific views, the native-path export contract, the validation-first pipeline, framework verification, and the separation of strict accuracy, alpha-sweep, and ablation evidence.</w:t>
      </w:r>
    </w:p>
    <w:p>
      <w:pPr>
        <w:pStyle w:val="BodyText"/>
      </w:pPr>
      <w:r>
        <w:t xml:space="preserve">Chapter 4 reports the main empirical results for the complete LastFM and ML-1M six-model scope. It presents strict accuracy, explanation endpoints, LIR-, SEP-, and ETD-oriented alpha sweeps, and cross-dataset comparison while keeping mechanism claims outside the result evidence.</w:t>
      </w:r>
    </w:p>
    <w:p>
      <w:pPr>
        <w:pStyle w:val="BodyText"/>
      </w:pPr>
      <w:r>
        <w:t xml:space="preserve">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pPr>
        <w:pStyle w:val="BodyText"/>
      </w:pPr>
      <w:r>
        <w:t xml:space="preserve">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pPr>
        <w:pStyle w:val="BodyText"/>
      </w:pPr>
      <w:r>
        <w:t xml:space="preserve">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bookmarkEnd w:id="24"/>
    <w:bookmarkEnd w:id="25"/>
    <w:bookmarkStart w:id="32" w:name="chapter-2-literature-review"/>
    <w:p>
      <w:pPr>
        <w:pStyle w:val="Heading1"/>
        <w:keepNext/>
        <w:pageBreakBefore/>
      </w:pPr>
      <w:r>
        <w:t xml:space="preserve">Chapter 2 Literature Review</w:t>
      </w:r>
    </w:p>
    <w:p>
      <w:pPr>
        <w:pStyle w:val="FirstParagraph"/>
        <w:widowControl/>
        <w:jc w:val="both"/>
      </w:pPr>
      <w:r>
        <w:t xml:space="preserve">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pPr>
        <w:pStyle w:val="BodyText"/>
      </w:pPr>
      <w:r>
        <w:t xml:space="preserve">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bookmarkStart w:id="26" w:name="knowledge-graph-recommendation"/>
    <w:p>
      <w:pPr>
        <w:pStyle w:val="Heading2"/>
        <w:keepNext/>
      </w:pPr>
      <w:r>
        <w:t xml:space="preserve">2.1 Knowledge Graph Recommendation</w:t>
      </w:r>
    </w:p>
    <w:p>
      <w:pPr>
        <w:pStyle w:val="FirstParagraph"/>
        <w:widowControl/>
        <w:jc w:val="both"/>
      </w:pPr>
      <w:r>
        <w:t xml:space="preserve">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w:t>
      </w:r>
      <w:r>
        <w:t xml:space="preserve"> </w:t>
      </w:r>
      <w:r>
        <w:t xml:space="preserve">(</w:t>
      </w:r>
      <w:hyperlink w:anchor="ref-wang2018ripplenet">
        <w:r>
          <w:rPr>
            <w:rStyle w:val="Hyperlink"/>
          </w:rPr>
          <w:t xml:space="preserve">Wang et al. 2018</w:t>
        </w:r>
      </w:hyperlink>
      <w:r>
        <w:t xml:space="preserve">;</w:t>
      </w:r>
      <w:r>
        <w:t xml:space="preserve"> </w:t>
      </w:r>
      <w:hyperlink w:anchor="ref-wang2021kgin">
        <w:r>
          <w:rPr>
            <w:rStyle w:val="Hyperlink"/>
          </w:rPr>
          <w:t xml:space="preserve">Wang et al. 2021</w:t>
        </w:r>
      </w:hyperlink>
      <w:r>
        <w:t xml:space="preserve">)</w:t>
      </w:r>
      <w:r>
        <w:t xml:space="preserve">. VRKG4Rec instead groups relations into virtual relational graphs before encoding items and users</w:t>
      </w:r>
      <w:r>
        <w:t xml:space="preserve"> </w:t>
      </w:r>
      <w:r>
        <w:t xml:space="preserve">(</w:t>
      </w:r>
      <w:hyperlink w:anchor="ref-lu2023vrkg4rec">
        <w:r>
          <w:rPr>
            <w:rStyle w:val="Hyperlink"/>
          </w:rPr>
          <w:t xml:space="preserve">Lu et al. 2023</w:t>
        </w:r>
      </w:hyperlink>
      <w:r>
        <w:t xml:space="preserve">)</w:t>
      </w:r>
      <w:r>
        <w:t xml:space="preserve">. These approaches illustrate that KG use is not one method but a family of representation and inference strategies.</w:t>
      </w:r>
    </w:p>
    <w:p>
      <w:pPr>
        <w:pStyle w:val="BodyText"/>
      </w:pPr>
      <w:r>
        <w:t xml:space="preserve">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w:t>
      </w:r>
      <w:r>
        <w:t xml:space="preserve"> </w:t>
      </w:r>
      <w:r>
        <w:t xml:space="preserve">(</w:t>
      </w:r>
      <w:hyperlink w:anchor="ref-guo2022kgsurvey">
        <w:r>
          <w:rPr>
            <w:rStyle w:val="Hyperlink"/>
          </w:rPr>
          <w:t xml:space="preserve">Guo et al. 2022</w:t>
        </w:r>
      </w:hyperlink>
      <w:r>
        <w:t xml:space="preserve">;</w:t>
      </w:r>
      <w:r>
        <w:t xml:space="preserve"> </w:t>
      </w:r>
      <w:hyperlink w:anchor="ref-markchom2026graphExplainableSurvey">
        <w:r>
          <w:rPr>
            <w:rStyle w:val="Hyperlink"/>
          </w:rPr>
          <w:t xml:space="preserve">Markchom et al. 2026</w:t>
        </w:r>
      </w:hyperlink>
      <w:r>
        <w:t xml:space="preserve">)</w:t>
      </w:r>
      <w:r>
        <w:t xml:space="preserve">.</w:t>
      </w:r>
    </w:p>
    <w:p>
      <w:pPr>
        <w:pStyle w:val="BodyText"/>
      </w:pPr>
      <w:r>
        <w:t xml:space="preserve">The recent use of large language models further increases this heterogeneity. LLMs may support feature construction, representation encoding, scoring, interaction, or pipeline control, and they may also generate natural-language rationales</w:t>
      </w:r>
      <w:r>
        <w:t xml:space="preserve"> </w:t>
      </w:r>
      <w:r>
        <w:t xml:space="preserve">(</w:t>
      </w:r>
      <w:hyperlink w:anchor="ref-lin2025llmRecSurvey">
        <w:r>
          <w:rPr>
            <w:rStyle w:val="Hyperlink"/>
          </w:rPr>
          <w:t xml:space="preserve">Lin et al. 2025</w:t>
        </w:r>
      </w:hyperlink>
      <w:r>
        <w:t xml:space="preserve">)</w:t>
      </w:r>
      <w:r>
        <w:t xml:space="preserve">. Agent-oriented and multimodal surveys describe still broader combinations of language, memory, planning, interaction, and heterogeneous item content</w:t>
      </w:r>
      <w:r>
        <w:t xml:space="preserve"> </w:t>
      </w:r>
      <w:r>
        <w:t xml:space="preserve">(</w:t>
      </w:r>
      <w:hyperlink w:anchor="ref-peng2025llmAgentsRec">
        <w:r>
          <w:rPr>
            <w:rStyle w:val="Hyperlink"/>
          </w:rPr>
          <w:t xml:space="preserve">Peng et al. 2025</w:t>
        </w:r>
      </w:hyperlink>
      <w:r>
        <w:t xml:space="preserve">;</w:t>
      </w:r>
      <w:r>
        <w:t xml:space="preserve"> </w:t>
      </w:r>
      <w:hyperlink w:anchor="ref-lopezAvila2025llmMultimodalRec">
        <w:r>
          <w:rPr>
            <w:rStyle w:val="Hyperlink"/>
          </w:rPr>
          <w:t xml:space="preserve">López-Ávila and Du 2025</w:t>
        </w:r>
      </w:hyperlink>
      <w:r>
        <w:t xml:space="preserve">)</w:t>
      </w:r>
      <w:r>
        <w:t xml:space="preserve">.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pPr>
        <w:pStyle w:val="BodyText"/>
      </w:pPr>
      <w:r>
        <w:t xml:space="preserve">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bookmarkEnd w:id="26"/>
    <w:bookmarkStart w:id="27" w:name="X59a42b419a1430f357db1bc1da9026b5c14fbf6"/>
    <w:p>
      <w:pPr>
        <w:pStyle w:val="Heading2"/>
        <w:keepNext/>
      </w:pPr>
      <w:r>
        <w:t xml:space="preserve">2.2 Path Reasoning and Native-Path Explainability</w:t>
      </w:r>
    </w:p>
    <w:p>
      <w:pPr>
        <w:pStyle w:val="FirstParagraph"/>
        <w:widowControl/>
        <w:jc w:val="both"/>
      </w:pPr>
      <w:r>
        <w:t xml:space="preserve">Path-reasoning recommenders are especially relevant to explainability because their recommendation process can expose a sequence of relations connecting a user, historical evidence, graph entities, and a candidate item. PGPR formulates recommendation as policy-guided search over a KG and returns sampled reasoning paths with its recommendations</w:t>
      </w:r>
      <w:r>
        <w:t xml:space="preserve"> </w:t>
      </w:r>
      <w:r>
        <w:t xml:space="preserve">(</w:t>
      </w:r>
      <w:hyperlink w:anchor="ref-xian2019pgpr">
        <w:r>
          <w:rPr>
            <w:rStyle w:val="Hyperlink"/>
          </w:rPr>
          <w:t xml:space="preserve">Xian et al. 2019</w:t>
        </w:r>
      </w:hyperlink>
      <w:r>
        <w:t xml:space="preserve">)</w:t>
      </w:r>
      <w:r>
        <w:t xml:space="preserve">. Ekar uses a related sequential-decision formulation in which graph edges define actions and policy-gradient learning discovers paths from users to items</w:t>
      </w:r>
      <w:r>
        <w:t xml:space="preserve"> </w:t>
      </w:r>
      <w:r>
        <w:t xml:space="preserve">(</w:t>
      </w:r>
      <w:hyperlink w:anchor="ref-song2019ekar">
        <w:r>
          <w:rPr>
            <w:rStyle w:val="Hyperlink"/>
          </w:rPr>
          <w:t xml:space="preserve">Song et al. 2019</w:t>
        </w:r>
      </w:hyperlink>
      <w:r>
        <w:t xml:space="preserve">)</w:t>
      </w:r>
      <w:r>
        <w:t xml:space="preserve">. These methods make the path structurally inspectable rather than leaving all high-order connectivity inside a latent representation.</w:t>
      </w:r>
    </w:p>
    <w:p>
      <w:pPr>
        <w:pStyle w:val="BodyText"/>
      </w:pPr>
      <w:r>
        <w:t xml:space="preserve">Path reasoning nevertheless contains substantial methodological variation. KPRN encodes candidate paths and aggregates their contributions for recommendation</w:t>
      </w:r>
      <w:r>
        <w:t xml:space="preserve"> </w:t>
      </w:r>
      <w:r>
        <w:t xml:space="preserve">(</w:t>
      </w:r>
      <w:hyperlink w:anchor="ref-wang2019kprn">
        <w:r>
          <w:rPr>
            <w:rStyle w:val="Hyperlink"/>
          </w:rPr>
          <w:t xml:space="preserve">Wang et al. 2019</w:t>
        </w:r>
      </w:hyperlink>
      <w:r>
        <w:t xml:space="preserve">)</w:t>
      </w:r>
      <w:r>
        <w:t xml:space="preserve">. CAFE constructs coarse user profiles that guide fine-grained neural-symbolic path finding</w:t>
      </w:r>
      <w:r>
        <w:t xml:space="preserve"> </w:t>
      </w:r>
      <w:r>
        <w:t xml:space="preserve">(</w:t>
      </w:r>
      <w:hyperlink w:anchor="ref-xian2020cafe">
        <w:r>
          <w:rPr>
            <w:rStyle w:val="Hyperlink"/>
          </w:rPr>
          <w:t xml:space="preserve">Xian et al. 2020</w:t>
        </w:r>
      </w:hyperlink>
      <w:r>
        <w:t xml:space="preserve">)</w:t>
      </w:r>
      <w:r>
        <w:t xml:space="preserve">. UCPR introduces a user-centric path-reasoning design, while TPRec adds time-aware path reasoning and therefore depends on temporal information that is not required by every KG recommender</w:t>
      </w:r>
      <w:r>
        <w:t xml:space="preserve"> </w:t>
      </w:r>
      <w:r>
        <w:t xml:space="preserve">(</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Multi-level reasoning over ontology- and instance-view KGs provides another example in which the graph hierarchy and the path extraction process are specific to the model</w:t>
      </w:r>
      <w:r>
        <w:t xml:space="preserve"> </w:t>
      </w:r>
      <w:r>
        <w:t xml:space="preserve">(</w:t>
      </w:r>
      <w:hyperlink w:anchor="ref-wang2022multilevelReasoning">
        <w:r>
          <w:rPr>
            <w:rStyle w:val="Hyperlink"/>
          </w:rPr>
          <w:t xml:space="preserve">Wang et al. 2022</w:t>
        </w:r>
      </w:hyperlink>
      <w:r>
        <w:t xml:space="preserve">)</w:t>
      </w:r>
      <w:r>
        <w:t xml:space="preserve">. The literature therefore supports explicit paths as explanation candidates, but it also shows that path length, relation vocabulary, search constraints, graph views, and candidate construction can differ materially.</w:t>
      </w:r>
    </w:p>
    <w:p>
      <w:pPr>
        <w:pStyle w:val="BodyText"/>
      </w:pPr>
      <w:r>
        <w:t xml:space="preserve">Language modelling introduces a further path-generation family. KGGLM uses a generative language-model formulation for KG representation learning in recommendation</w:t>
      </w:r>
      <w:r>
        <w:t xml:space="preserve"> </w:t>
      </w:r>
      <w:r>
        <w:t xml:space="preserve">(</w:t>
      </w:r>
      <w:hyperlink w:anchor="ref-balloccu2024kgglm">
        <w:r>
          <w:rPr>
            <w:rStyle w:val="Hyperlink"/>
          </w:rPr>
          <w:t xml:space="preserve">Balloccu et al. 2024</w:t>
        </w:r>
      </w:hyperlink>
      <w:r>
        <w:t xml:space="preserve">)</w:t>
      </w:r>
      <w:r>
        <w:t xml:space="preserve">. PEARLM is described in its verified arXiv record as a faithful path-language-modelling approach for explainable recommendation over KGs</w:t>
      </w:r>
      <w:r>
        <w:t xml:space="preserve"> </w:t>
      </w:r>
      <w:r>
        <w:t xml:space="preserve">(</w:t>
      </w:r>
      <w:hyperlink w:anchor="ref-balloccu2023pearlm">
        <w:r>
          <w:rPr>
            <w:rStyle w:val="Hyperlink"/>
          </w:rPr>
          <w:t xml:space="preserve">Balloccu et al. 2023</w:t>
        </w:r>
      </w:hyperlink>
      <w:r>
        <w:t xml:space="preserve">)</w:t>
      </w:r>
      <w:r>
        <w:t xml:space="preserve">.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pPr>
        <w:pStyle w:val="BodyText"/>
      </w:pPr>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approaches</w:t>
      </w:r>
      <w:r>
        <w:t xml:space="preserve"> </w:t>
      </w:r>
      <w:r>
        <w:t xml:space="preserve">(</w:t>
      </w:r>
      <w:hyperlink w:anchor="ref-zhang2020explainableSurvey">
        <w:r>
          <w:rPr>
            <w:rStyle w:val="Hyperlink"/>
          </w:rPr>
          <w:t xml:space="preserve">Zhang and Chen 2020</w:t>
        </w:r>
      </w:hyperlink>
      <w:r>
        <w:t xml:space="preserve">)</w:t>
      </w:r>
      <w:r>
        <w:t xml:space="preserve">, while general tools such as InterpretML and Captum illustrate how a separate method can explain an existing prediction</w:t>
      </w:r>
      <w:r>
        <w:t xml:space="preserve"> </w:t>
      </w:r>
      <w:r>
        <w:t xml:space="preserve">(</w:t>
      </w:r>
      <w:hyperlink w:anchor="ref-nori2019interpretml">
        <w:r>
          <w:rPr>
            <w:rStyle w:val="Hyperlink"/>
          </w:rPr>
          <w:t xml:space="preserve">Nori et al. 2019</w:t>
        </w:r>
      </w:hyperlink>
      <w:r>
        <w:t xml:space="preserve">;</w:t>
      </w:r>
      <w:r>
        <w:t xml:space="preserve"> </w:t>
      </w:r>
      <w:hyperlink w:anchor="ref-kokhlikyan2020captum">
        <w:r>
          <w:rPr>
            <w:rStyle w:val="Hyperlink"/>
          </w:rPr>
          <w:t xml:space="preserve">Kokhlikyan et al. 2020</w:t>
        </w:r>
      </w:hyperlink>
      <w:r>
        <w:t xml:space="preserve">)</w:t>
      </w:r>
      <w:r>
        <w:t xml:space="preserve">. Post-hoc explanations may be useful, but they do not provide the same evidence about how a native-path recommender generated its output.</w:t>
      </w:r>
    </w:p>
    <w:p>
      <w:pPr>
        <w:pStyle w:val="BodyText"/>
      </w:pPr>
      <w:r>
        <w:t xml:space="preserve">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bookmarkEnd w:id="27"/>
    <w:bookmarkStart w:id="28" w:name="X915968d31f6a427e3d2471f839aa7c78e8664e6"/>
    <w:p>
      <w:pPr>
        <w:pStyle w:val="Heading2"/>
        <w:keepNext/>
      </w:pPr>
      <w:r>
        <w:t xml:space="preserve">2.3 Explainable Recommendation and Explanation Quality</w:t>
      </w:r>
    </w:p>
    <w:p>
      <w:pPr>
        <w:pStyle w:val="FirstParagraph"/>
        <w:widowControl/>
        <w:jc w:val="both"/>
      </w:pPr>
      <w:r>
        <w:t xml:space="preserve">Explanation quality is multidimensional because explanations serve different purposes and stakeholders. Explainable recommendation can support transparency, persuasion, trust, satisfaction, debugging, or control, and these goals do not imply the same preferred explanation form</w:t>
      </w:r>
      <w:r>
        <w:t xml:space="preserve"> </w:t>
      </w:r>
      <w:r>
        <w:t xml:space="preserve">(</w:t>
      </w:r>
      <w:hyperlink w:anchor="ref-zhang2020explainableSurvey">
        <w:r>
          <w:rPr>
            <w:rStyle w:val="Hyperlink"/>
          </w:rPr>
          <w:t xml:space="preserve">Zhang and Chen 2020</w:t>
        </w:r>
      </w:hyperlink>
      <w:r>
        <w:t xml:space="preserve">)</w:t>
      </w:r>
      <w:r>
        <w:t xml:space="preserve">. Trustworthy-recommendation research places explainability alongside fairness, privacy, robustness, and controllability, further indicating that system quality cannot be reduced to one undifferentiated property</w:t>
      </w:r>
      <w:r>
        <w:t xml:space="preserve"> </w:t>
      </w:r>
      <w:r>
        <w:t xml:space="preserve">(</w:t>
      </w:r>
      <w:hyperlink w:anchor="ref-ge2025trustworthyRecSurvey">
        <w:r>
          <w:rPr>
            <w:rStyle w:val="Hyperlink"/>
          </w:rPr>
          <w:t xml:space="preserve">Ge et al. 2025</w:t>
        </w:r>
      </w:hyperlink>
      <w:r>
        <w:t xml:space="preserve">)</w:t>
      </w:r>
      <w:r>
        <w:t xml:space="preserve">. Reviews of graph-based explainable recommendation similarly distinguish learning methods, explaining methods, explanation types, datasets, and qualitative and quantitative evaluation practices</w:t>
      </w:r>
      <w:r>
        <w:t xml:space="preserve"> </w:t>
      </w:r>
      <w:r>
        <w:t xml:space="preserve">(</w:t>
      </w:r>
      <w:hyperlink w:anchor="ref-markchom2026graphExplainableSurvey">
        <w:r>
          <w:rPr>
            <w:rStyle w:val="Hyperlink"/>
          </w:rPr>
          <w:t xml:space="preserve">Markchom et al. 2026</w:t>
        </w:r>
      </w:hyperlink>
      <w:r>
        <w:t xml:space="preserve">)</w:t>
      </w:r>
      <w:r>
        <w:t xml:space="preserve">.</w:t>
      </w:r>
    </w:p>
    <w:p>
      <w:pPr>
        <w:pStyle w:val="BodyText"/>
      </w:pPr>
      <w:r>
        <w:t xml:space="preserve">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w:t>
      </w:r>
      <w:r>
        <w:t xml:space="preserve"> </w:t>
      </w:r>
      <w:r>
        <w:t xml:space="preserve">(</w:t>
      </w:r>
      <w:hyperlink w:anchor="ref-yuan2020gnnExplainability">
        <w:r>
          <w:rPr>
            <w:rStyle w:val="Hyperlink"/>
          </w:rPr>
          <w:t xml:space="preserve">Yuan et al. 2020</w:t>
        </w:r>
      </w:hyperlink>
      <w:r>
        <w:t xml:space="preserve">)</w:t>
      </w:r>
      <w:r>
        <w:t xml:space="preserve">.</w:t>
      </w:r>
    </w:p>
    <w:p>
      <w:pPr>
        <w:pStyle w:val="BodyText"/>
      </w:pPr>
      <w:r>
        <w:t xml:space="preserve">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w:t>
      </w:r>
      <w:r>
        <w:t xml:space="preserve"> </w:t>
      </w:r>
      <w:r>
        <w:t xml:space="preserve">(</w:t>
      </w:r>
      <w:hyperlink w:anchor="ref-balloccu2022xrecsys">
        <w:r>
          <w:rPr>
            <w:rStyle w:val="Hyperlink"/>
          </w:rPr>
          <w:t xml:space="preserve">Balloccu et al. 2022a</w:t>
        </w:r>
      </w:hyperlink>
      <w:r>
        <w:t xml:space="preserve">)</w:t>
      </w:r>
      <w:r>
        <w:t xml:space="preserve">. The related software article presents XRecSys as a framework for assessing and optimising recommendation and explanation outputs from path-reasoning systems</w:t>
      </w:r>
      <w:r>
        <w:t xml:space="preserve"> </w:t>
      </w:r>
      <w:r>
        <w:t xml:space="preserve">(</w:t>
      </w:r>
      <w:hyperlink w:anchor="ref-balloccu2022xrecsysFramework">
        <w:r>
          <w:rPr>
            <w:rStyle w:val="Hyperlink"/>
          </w:rPr>
          <w:t xml:space="preserve">Balloccu et al. 2022b</w:t>
        </w:r>
      </w:hyperlink>
      <w:r>
        <w:t xml:space="preserve">)</w:t>
      </w:r>
      <w:r>
        <w:t xml:space="preserve">. These sources motivate the dissertation’s use of separate path-property dimensions rather than a generic explanation score.</w:t>
      </w:r>
    </w:p>
    <w:p>
      <w:pPr>
        <w:pStyle w:val="BodyText"/>
      </w:pPr>
      <w:r>
        <w:t xml:space="preserve">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pPr>
        <w:pStyle w:val="BodyText"/>
      </w:pPr>
      <w:r>
        <w:t xml:space="preserve">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bookmarkEnd w:id="28"/>
    <w:bookmarkStart w:id="29" w:name="X568989362ae1782a1a57f1dd34e17442913a07e"/>
    <w:p>
      <w:pPr>
        <w:pStyle w:val="Heading2"/>
        <w:keepNext/>
      </w:pPr>
      <w:r>
        <w:t xml:space="preserve">2.4 Accuracy–Explainability Trade-off in Recommendation</w:t>
      </w:r>
    </w:p>
    <w:p>
      <w:pPr>
        <w:pStyle w:val="FirstParagraph"/>
        <w:widowControl/>
        <w:jc w:val="both"/>
      </w:pPr>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does not establish that the associated item is accurately ranked. Explainable-recommendation and trustworthy-recommendation surveys therefore motivate joint consideration of recommendation effectiveness and explanation properties without treating them as one quantity</w:t>
      </w:r>
      <w:r>
        <w:t xml:space="preserve"> </w:t>
      </w:r>
      <w:r>
        <w:t xml:space="preserve">(</w:t>
      </w:r>
      <w:hyperlink w:anchor="ref-zhang2020explainableSurvey">
        <w:r>
          <w:rPr>
            <w:rStyle w:val="Hyperlink"/>
          </w:rPr>
          <w:t xml:space="preserve">Zhang and Chen 2020</w:t>
        </w:r>
      </w:hyperlink>
      <w:r>
        <w:t xml:space="preserve">;</w:t>
      </w:r>
      <w:r>
        <w:t xml:space="preserve"> </w:t>
      </w:r>
      <w:hyperlink w:anchor="ref-ge2025trustworthyRecSurvey">
        <w:r>
          <w:rPr>
            <w:rStyle w:val="Hyperlink"/>
          </w:rPr>
          <w:t xml:space="preserve">Ge et al. 2025</w:t>
        </w:r>
      </w:hyperlink>
      <w:r>
        <w:t xml:space="preserve">)</w:t>
      </w:r>
      <w:r>
        <w:t xml:space="preserve">.</w:t>
      </w:r>
    </w:p>
    <w:p>
      <w:pPr>
        <w:pStyle w:val="BodyText"/>
      </w:pPr>
      <w:r>
        <w:t xml:space="preserve">The XRecSys work provides direct evidence that explanation-oriented properties can be placed in a re-ranking objective while recommendation utility is monitored separately</w:t>
      </w:r>
      <w:r>
        <w:t xml:space="preserve"> </w:t>
      </w:r>
      <w:r>
        <w:t xml:space="preserve">(</w:t>
      </w:r>
      <w:hyperlink w:anchor="ref-balloccu2022xrecsys">
        <w:r>
          <w:rPr>
            <w:rStyle w:val="Hyperlink"/>
          </w:rPr>
          <w:t xml:space="preserve">Balloccu et al. 2022a</w:t>
        </w:r>
      </w:hyperlink>
      <w:r>
        <w:t xml:space="preserve">)</w:t>
      </w:r>
      <w:r>
        <w:t xml:space="preserve">.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pPr>
        <w:pStyle w:val="BodyText"/>
      </w:pPr>
      <w:r>
        <w:t xml:space="preserve">RL and LLM recommender surveys broaden the trade-off context. RL systems can optimise immediate or long-term rewards and differ in state, action, reward, and environment construction</w:t>
      </w:r>
      <w:r>
        <w:t xml:space="preserve"> </w:t>
      </w:r>
      <w:r>
        <w:t xml:space="preserve">(</w:t>
      </w:r>
      <w:hyperlink w:anchor="ref-afsar2022rlRecSurvey">
        <w:r>
          <w:rPr>
            <w:rStyle w:val="Hyperlink"/>
          </w:rPr>
          <w:t xml:space="preserve">Afsar et al. 2022</w:t>
        </w:r>
      </w:hyperlink>
      <w:r>
        <w:t xml:space="preserve">;</w:t>
      </w:r>
      <w:r>
        <w:t xml:space="preserve"> </w:t>
      </w:r>
      <w:hyperlink w:anchor="ref-lin2024rlRecSurvey">
        <w:r>
          <w:rPr>
            <w:rStyle w:val="Hyperlink"/>
          </w:rPr>
          <w:t xml:space="preserve">Lin et al. 2024</w:t>
        </w:r>
      </w:hyperlink>
      <w:r>
        <w:t xml:space="preserve">)</w:t>
      </w:r>
      <w:r>
        <w:t xml:space="preserve">. LLM-based systems introduce additional concerns such as training efficiency, inference latency, hallucination, privacy, fairness, and explainability</w:t>
      </w:r>
      <w:r>
        <w:t xml:space="preserve"> </w:t>
      </w:r>
      <w:r>
        <w:t xml:space="preserve">(</w:t>
      </w:r>
      <w:hyperlink w:anchor="ref-lin2025llmRecSurvey">
        <w:r>
          <w:rPr>
            <w:rStyle w:val="Hyperlink"/>
          </w:rPr>
          <w:t xml:space="preserve">Lin et al. 2025</w:t>
        </w:r>
      </w:hyperlink>
      <w:r>
        <w:t xml:space="preserve">)</w:t>
      </w:r>
      <w:r>
        <w:t xml:space="preserve">. These literatures show that recommender objectives are plural and implementation-dependent. They do not, however, provide a common native-path experiment in which heterogeneous models are evaluated under the same path-property control and validation rules.</w:t>
      </w:r>
    </w:p>
    <w:p>
      <w:pPr>
        <w:pStyle w:val="BodyText"/>
      </w:pPr>
      <w:r>
        <w:t xml:space="preserve">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bookmarkEnd w:id="29"/>
    <w:bookmarkStart w:id="30" w:name="Xc1fd117505b7c95846ca82b5ec8c3c5e86c7ec7"/>
    <w:p>
      <w:pPr>
        <w:pStyle w:val="Heading2"/>
        <w:keepNext/>
      </w:pPr>
      <w:r>
        <w:t xml:space="preserve">2.5 Evaluation Protocols, Reproducibility, and Fair Comparison</w:t>
      </w:r>
    </w:p>
    <w:p>
      <w:pPr>
        <w:pStyle w:val="FirstParagraph"/>
        <w:widowControl/>
        <w:jc w:val="both"/>
      </w:pPr>
      <w:r>
        <w:t xml:space="preserve">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w:t>
      </w:r>
      <w:r>
        <w:t xml:space="preserve"> </w:t>
      </w:r>
      <w:r>
        <w:t xml:space="preserve">(</w:t>
      </w:r>
      <w:hyperlink w:anchor="ref-shevchenko2024recsysBenchmarking">
        <w:r>
          <w:rPr>
            <w:rStyle w:val="Hyperlink"/>
          </w:rPr>
          <w:t xml:space="preserve">Shevchenko et al. 2024</w:t>
        </w:r>
      </w:hyperlink>
      <w:r>
        <w:t xml:space="preserve">)</w:t>
      </w:r>
      <w:r>
        <w:t xml:space="preserve">. RL recommender surveys likewise identify environment construction, reward definition, offline evaluation, and scalability as recurring methodological challenges</w:t>
      </w:r>
      <w:r>
        <w:t xml:space="preserve"> </w:t>
      </w:r>
      <w:r>
        <w:t xml:space="preserve">(</w:t>
      </w:r>
      <w:hyperlink w:anchor="ref-afsar2022rlRecSurvey">
        <w:r>
          <w:rPr>
            <w:rStyle w:val="Hyperlink"/>
          </w:rPr>
          <w:t xml:space="preserve">Afsar et al. 2022</w:t>
        </w:r>
      </w:hyperlink>
      <w:r>
        <w:t xml:space="preserve">;</w:t>
      </w:r>
      <w:r>
        <w:t xml:space="preserve"> </w:t>
      </w:r>
      <w:hyperlink w:anchor="ref-chen2021drlRecSurvey">
        <w:r>
          <w:rPr>
            <w:rStyle w:val="Hyperlink"/>
          </w:rPr>
          <w:t xml:space="preserve">Chen et al. 2021</w:t>
        </w:r>
      </w:hyperlink>
      <w:r>
        <w:t xml:space="preserve">;</w:t>
      </w:r>
      <w:r>
        <w:t xml:space="preserve"> </w:t>
      </w:r>
      <w:hyperlink w:anchor="ref-rossiiev2025rlRecSurvey">
        <w:r>
          <w:rPr>
            <w:rStyle w:val="Hyperlink"/>
          </w:rPr>
          <w:t xml:space="preserve">Rossiiev et al. 2025</w:t>
        </w:r>
      </w:hyperlink>
      <w:r>
        <w:t xml:space="preserve">)</w:t>
      </w:r>
      <w:r>
        <w:t xml:space="preserve">.</w:t>
      </w:r>
    </w:p>
    <w:p>
      <w:pPr>
        <w:pStyle w:val="BodyText"/>
      </w:pPr>
      <w:r>
        <w:t xml:space="preserve">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w:t>
      </w:r>
      <w:r>
        <w:t xml:space="preserve"> </w:t>
      </w:r>
      <w:r>
        <w:t xml:space="preserve">(</w:t>
      </w:r>
      <w:hyperlink w:anchor="ref-balloccu2022xrecsysFramework">
        <w:r>
          <w:rPr>
            <w:rStyle w:val="Hyperlink"/>
          </w:rPr>
          <w:t xml:space="preserve">Balloccu et al. 2022b</w:t>
        </w:r>
      </w:hyperlink>
      <w:r>
        <w:t xml:space="preserve">;</w:t>
      </w:r>
      <w:r>
        <w:t xml:space="preserve"> </w:t>
      </w:r>
      <w:hyperlink w:anchor="ref-markchom2026graphExplainableSurvey">
        <w:r>
          <w:rPr>
            <w:rStyle w:val="Hyperlink"/>
          </w:rPr>
          <w:t xml:space="preserve">Markchom et al. 2026</w:t>
        </w:r>
      </w:hyperlink>
      <w:r>
        <w:t xml:space="preserve">)</w:t>
      </w:r>
      <w:r>
        <w:t xml:space="preserve">. The literature motivates stronger protocol discipline, but the exact validation gates remain part of this dissertation’s methodological design.</w:t>
      </w:r>
    </w:p>
    <w:p>
      <w:pPr>
        <w:pStyle w:val="BodyText"/>
      </w:pPr>
      <w:r>
        <w:t xml:space="preserve">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pPr>
        <w:pStyle w:val="BodyText"/>
      </w:pPr>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about the evaluation boundary. This approach aligns benchmarking with validation: only supported outputs enter comparative reporting, while unsupported combinations remain visible without being misinterpreted as measured model performance.</w:t>
      </w:r>
    </w:p>
    <w:p>
      <w:pPr>
        <w:pStyle w:val="BodyText"/>
      </w:pPr>
      <w:r>
        <w:t xml:space="preserve">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bookmarkEnd w:id="30"/>
    <w:bookmarkStart w:id="31" w:name="X2c2d33820b1db800becde7115f2ed7a03da5a15"/>
    <w:p>
      <w:pPr>
        <w:pStyle w:val="Heading2"/>
        <w:keepNext/>
      </w:pPr>
      <w:r>
        <w:t xml:space="preserve">2.6 Research Gap and Positioning of This Dissertation</w:t>
      </w:r>
    </w:p>
    <w:p>
      <w:pPr>
        <w:pStyle w:val="FirstParagraph"/>
        <w:widowControl/>
        <w:jc w:val="both"/>
      </w:pPr>
      <w:r>
        <w:t xml:space="preserve">The reviewed literature provides the main components needed to study explainable KG recommendation, but it leaves them distributed across separate research strands. KG representation methods exploit structured side information but may not expose complete reasoning paths</w:t>
      </w:r>
      <w:r>
        <w:t xml:space="preserve"> </w:t>
      </w:r>
      <w:r>
        <w:t xml:space="preserve">(</w:t>
      </w:r>
      <w:hyperlink w:anchor="ref-wang2018ripplenet">
        <w:r>
          <w:rPr>
            <w:rStyle w:val="Hyperlink"/>
          </w:rPr>
          <w:t xml:space="preserve">Wang et al. 2018</w:t>
        </w:r>
      </w:hyperlink>
      <w:r>
        <w:t xml:space="preserve">;</w:t>
      </w:r>
      <w:r>
        <w:t xml:space="preserve"> </w:t>
      </w:r>
      <w:hyperlink w:anchor="ref-wang2021kgin">
        <w:r>
          <w:rPr>
            <w:rStyle w:val="Hyperlink"/>
          </w:rPr>
          <w:t xml:space="preserve">Wang et al. 2021</w:t>
        </w:r>
      </w:hyperlink>
      <w:r>
        <w:t xml:space="preserve">;</w:t>
      </w:r>
      <w:r>
        <w:t xml:space="preserve"> </w:t>
      </w:r>
      <w:hyperlink w:anchor="ref-lu2023vrkg4rec">
        <w:r>
          <w:rPr>
            <w:rStyle w:val="Hyperlink"/>
          </w:rPr>
          <w:t xml:space="preserve">Lu et al. 2023</w:t>
        </w:r>
      </w:hyperlink>
      <w:r>
        <w:t xml:space="preserve">)</w:t>
      </w:r>
      <w:r>
        <w:t xml:space="preserve">. Native-path methods generate or score paths, but their graph views, search mechanisms, and outputs are model-specific</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w:t>
      </w:r>
      <w:hyperlink w:anchor="ref-wang2022multilevelReasoning">
        <w:r>
          <w:rPr>
            <w:rStyle w:val="Hyperlink"/>
          </w:rPr>
          <w:t xml:space="preserve">Wang et al. 2022</w:t>
        </w:r>
      </w:hyperlink>
      <w:r>
        <w:t xml:space="preserve">)</w:t>
      </w:r>
      <w:r>
        <w:t xml:space="preserve">. Explainability surveys and XRecSys provide taxonomies and path-quality dimensions, while benchmarking research establishes the importance of dataset and protocol control</w:t>
      </w:r>
      <w:r>
        <w:t xml:space="preserve"> </w:t>
      </w:r>
      <w:r>
        <w:t xml:space="preserve">(</w:t>
      </w:r>
      <w:hyperlink w:anchor="ref-zhang2020explainableSurvey">
        <w:r>
          <w:rPr>
            <w:rStyle w:val="Hyperlink"/>
          </w:rPr>
          <w:t xml:space="preserve">Zhang and Chen 2020</w:t>
        </w:r>
      </w:hyperlink>
      <w:r>
        <w:t xml:space="preserve">;</w:t>
      </w:r>
      <w:r>
        <w:t xml:space="preserve"> </w:t>
      </w:r>
      <w:hyperlink w:anchor="ref-balloccu2022xrecsys">
        <w:r>
          <w:rPr>
            <w:rStyle w:val="Hyperlink"/>
          </w:rPr>
          <w:t xml:space="preserve">Balloccu et al. 2022a</w:t>
        </w:r>
      </w:hyperlink>
      <w:r>
        <w:t xml:space="preserve">,</w:t>
      </w:r>
      <w:r>
        <w:t xml:space="preserve"> </w:t>
      </w:r>
      <w:hyperlink w:anchor="ref-balloccu2022xrecsysFramework">
        <w:r>
          <w:rPr>
            <w:rStyle w:val="Hyperlink"/>
          </w:rPr>
          <w:t xml:space="preserve">2022b</w:t>
        </w:r>
      </w:hyperlink>
      <w:r>
        <w:t xml:space="preserve">;</w:t>
      </w:r>
      <w:r>
        <w:t xml:space="preserve"> </w:t>
      </w:r>
      <w:hyperlink w:anchor="ref-shevchenko2024recsysBenchmarking">
        <w:r>
          <w:rPr>
            <w:rStyle w:val="Hyperlink"/>
          </w:rPr>
          <w:t xml:space="preserve">Shevchenko et al. 2024</w:t>
        </w:r>
      </w:hyperlink>
      <w:r>
        <w:t xml:space="preserve">;</w:t>
      </w:r>
      <w:r>
        <w:t xml:space="preserve"> </w:t>
      </w:r>
      <w:hyperlink w:anchor="ref-markchom2026graphExplainableSurvey">
        <w:r>
          <w:rPr>
            <w:rStyle w:val="Hyperlink"/>
          </w:rPr>
          <w:t xml:space="preserve">Markchom et al. 2026</w:t>
        </w:r>
      </w:hyperlink>
      <w:r>
        <w:t xml:space="preserve">)</w:t>
      </w:r>
      <w:r>
        <w:t xml:space="preserve">.</w:t>
      </w:r>
    </w:p>
    <w:p>
      <w:pPr>
        <w:pStyle w:val="BodyText"/>
      </w:pPr>
      <w:r>
        <w:t xml:space="preserve">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p>
      <w:pPr>
        <w:sectPr>
          <w:footerReference w:type="default" r:id="rId12"/>
          <w:pgSz w:w="12240" w:h="15840"/>
          <w:pgMar w:top="1440" w:right="1440" w:bottom="1440" w:left="2160" w:header="720" w:footer="720" w:gutter="0"/>
          <w:pgNumType w:fmt="decimal" w:start="1"/>
          <w:cols w:space="720"/>
          <w:docGrid w:linePitch="360"/>
        </w:sectPr>
      </w:pPr>
    </w:p>
    <w:p>
      <w:pPr>
        <w:pStyle w:val="Caption"/>
        <w:keepNext/>
        <w:jc w:val="left"/>
      </w:pPr>
      <w:r>
        <w:rPr>
          <w:b/>
          <w:bCs/>
        </w:rPr>
        <w:t xml:space="preserve">Table 2.1. Literature themes and dissertation positioning.</w:t>
      </w:r>
      <w:r>
        <w:fldChar w:fldCharType="begin"/>
      </w:r>
      <w:r>
        <w:rPr>
          <w:vanish/>
        </w:rPr>
        <w:instrText xml:space="preserve"> TC "Table 2.1. Literature themes and dissertation positioning."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749"/>
        <w:gridCol w:w="3767"/>
        <w:gridCol w:w="3247"/>
        <w:gridCol w:w="3197"/>
      </w:tblGrid>
      <w:tr>
        <w:trPr>
          <w:tblHeader w:val="true"/>
          <w:cantSplit/>
        </w:trPr>
        <w:tc>
          <w:tcPr>
            <w:tcW w:type="dxa" w:w="274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Literature theme</w:t>
            </w:r>
          </w:p>
        </w:tc>
        <w:tc>
          <w:tcPr>
            <w:tcW w:type="dxa" w:w="376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Representative sources</w:t>
            </w:r>
          </w:p>
        </w:tc>
        <w:tc>
          <w:tcPr>
            <w:tcW w:type="dxa" w:w="324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Dissertation positioning</w:t>
            </w:r>
          </w:p>
        </w:tc>
        <w:tc>
          <w:tcPr>
            <w:tcW w:type="dxa" w:w="319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Boundary retained</w:t>
            </w:r>
          </w:p>
        </w:tc>
      </w:tr>
      <w:tr>
        <w:tc>
          <w:tcPr>
            <w:tcW w:type="dxa" w:w="274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KG representation and propagation</w:t>
            </w:r>
          </w:p>
        </w:tc>
        <w:tc>
          <w:tcPr>
            <w:tcW w:type="dxa" w:w="37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RippleNet, KGIN, and VRKG4Rec (Wang et al. 2018; Wang et al. 2021; Lu et al. 2023)</w:t>
            </w:r>
          </w:p>
        </w:tc>
        <w:tc>
          <w:tcPr>
            <w:tcW w:type="dxa" w:w="3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Motivates model-specific graph views within a canonical evaluation space.</w:t>
            </w:r>
          </w:p>
        </w:tc>
        <w:tc>
          <w:tcPr>
            <w:tcW w:type="dxa" w:w="319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A KG signal is not automatically an inspectable native path.</w:t>
            </w:r>
          </w:p>
        </w:tc>
      </w:tr>
      <w:tr>
        <w:tc>
          <w:tcPr>
            <w:tcW w:type="dxa" w:w="274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Native-path reasoning</w:t>
            </w:r>
          </w:p>
        </w:tc>
        <w:tc>
          <w:tcPr>
            <w:tcW w:type="dxa" w:w="37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PGPR, KPRN, CAFE, UCPR, TPRec, and multi-level reasoning (Xian et al. 2019, 2020; Wang et al. 2019; Tai et al. 2021; Zhao et al. 2022; Wang et al. 2022)</w:t>
            </w:r>
          </w:p>
        </w:tc>
        <w:tc>
          <w:tcPr>
            <w:tcW w:type="dxa" w:w="3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Motivates a shared export and endpoint-validation contract.</w:t>
            </w:r>
          </w:p>
        </w:tc>
        <w:tc>
          <w:tcPr>
            <w:tcW w:type="dxa" w:w="319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Different path structures and search procedures remain model-specific.</w:t>
            </w:r>
          </w:p>
        </w:tc>
      </w:tr>
      <w:tr>
        <w:tc>
          <w:tcPr>
            <w:tcW w:type="dxa" w:w="274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Path-language modelling</w:t>
            </w:r>
          </w:p>
        </w:tc>
        <w:tc>
          <w:tcPr>
            <w:tcW w:type="dxa" w:w="37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KGGLM and PEARLM (Balloccu et al. 2024, 2023)</w:t>
            </w:r>
          </w:p>
        </w:tc>
        <w:tc>
          <w:tcPr>
            <w:tcW w:type="dxa" w:w="3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Extends the native-path comparison to language-model-style path generation or scoring.</w:t>
            </w:r>
          </w:p>
        </w:tc>
        <w:tc>
          <w:tcPr>
            <w:tcW w:type="dxa" w:w="319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Generated sequences require graph and recommendation alignment; PEARLM final venue and DOI remain a manual check.</w:t>
            </w:r>
          </w:p>
        </w:tc>
      </w:tr>
      <w:tr>
        <w:tc>
          <w:tcPr>
            <w:tcW w:type="dxa" w:w="274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Explainability and post-hoc methods</w:t>
            </w:r>
          </w:p>
        </w:tc>
        <w:tc>
          <w:tcPr>
            <w:tcW w:type="dxa" w:w="37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Explainable-recommendation surveys, InterpretML, and Captum (Zhang and Chen 2020; Nori et al. 2019; Kokhlikyan et al. 2020)</w:t>
            </w:r>
          </w:p>
        </w:tc>
        <w:tc>
          <w:tcPr>
            <w:tcW w:type="dxa" w:w="3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Supports an explicit distinction between native and post-hoc evidence.</w:t>
            </w:r>
          </w:p>
        </w:tc>
        <w:tc>
          <w:tcPr>
            <w:tcW w:type="dxa" w:w="319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A post-hoc path is not treated as evidence of the native recommendation mechanism.</w:t>
            </w:r>
          </w:p>
        </w:tc>
      </w:tr>
      <w:tr>
        <w:tc>
          <w:tcPr>
            <w:tcW w:type="dxa" w:w="274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Multidimensional path quality</w:t>
            </w:r>
          </w:p>
        </w:tc>
        <w:tc>
          <w:tcPr>
            <w:tcW w:type="dxa" w:w="37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XRecSys and its framework (Balloccu et al. 2022a, 2022b)</w:t>
            </w:r>
          </w:p>
        </w:tc>
        <w:tc>
          <w:tcPr>
            <w:tcW w:type="dxa" w:w="3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Motivates separate LIR, SEP, and ETD reporting.</w:t>
            </w:r>
          </w:p>
        </w:tc>
        <w:tc>
          <w:tcPr>
            <w:tcW w:type="dxa" w:w="319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SEP remains a repository-specific bridge-entity score, not direct user-perceived serendipity.</w:t>
            </w:r>
          </w:p>
        </w:tc>
      </w:tr>
      <w:tr>
        <w:tc>
          <w:tcPr>
            <w:tcW w:type="dxa" w:w="274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Benchmarking and reproducibility</w:t>
            </w:r>
          </w:p>
        </w:tc>
        <w:tc>
          <w:tcPr>
            <w:tcW w:type="dxa" w:w="37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Recommender benchmarking and graph-explanation surveys (Shevchenko et al. 2024; Markchom et al. 2026)</w:t>
            </w:r>
          </w:p>
        </w:tc>
        <w:tc>
          <w:tcPr>
            <w:tcW w:type="dxa" w:w="3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Motivates canonical populations, validation before reporting, and visible blocked states.</w:t>
            </w:r>
          </w:p>
        </w:tc>
        <w:tc>
          <w:tcPr>
            <w:tcW w:type="dxa" w:w="319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Validation status is not a performance ranking.</w:t>
            </w:r>
          </w:p>
        </w:tc>
      </w:tr>
    </w:tbl>
    <w:p>
      <w:pPr>
        <w:sectPr>
          <w:pgSz w:w="15840" w:h="12240" w:orient="landscape"/>
          <w:pgMar w:top="1080" w:right="1080" w:bottom="1080" w:left="1080" w:header="720" w:footer="720" w:gutter="0"/>
          <w:cols w:space="720"/>
          <w:docGrid w:linePitch="360"/>
        </w:sectPr>
      </w:pPr>
    </w:p>
    <w:p>
      <w:pPr>
        <w:pStyle w:val="BodyText"/>
      </w:pPr>
      <w:r>
        <w:t xml:space="preserve">The table summarises the bounded literature synthesis used to derive the framework requirements; it does not claim exhaustive coverage beyond the reviewed corpus.</w:t>
      </w:r>
    </w:p>
    <w:p>
      <w:pPr>
        <w:pStyle w:val="BodyText"/>
      </w:pPr>
      <w:r>
        <w:t xml:space="preserve">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pPr>
        <w:pStyle w:val="BodyText"/>
      </w:pPr>
      <w:r>
        <w:t xml:space="preserve">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pPr>
        <w:pStyle w:val="BodyText"/>
      </w:pPr>
      <w:r>
        <w:t xml:space="preserve">The resulting contribution is a method for auditable comparison and controlled trade-off analysis across heterogeneous native-path recommenders. The literature synthesis establishes five requirements for the next chapter: canonical dataset truth, model-specific 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bookmarkEnd w:id="31"/>
    <w:bookmarkEnd w:id="32"/>
    <w:bookmarkStart w:id="48" w:name="Xc2e8359bd8d69263a55319166f0fdf6cdb926aa"/>
    <w:p>
      <w:pPr>
        <w:pStyle w:val="Heading1"/>
        <w:keepNext/>
        <w:pageBreakBefore/>
      </w:pPr>
      <w:r>
        <w:t xml:space="preserve">Chapter 3 Framework Implementation and Verification</w:t>
      </w:r>
    </w:p>
    <w:bookmarkStart w:id="36" w:name="overview-of-the-implemented-framework"/>
    <w:p>
      <w:pPr>
        <w:pStyle w:val="Heading2"/>
        <w:keepNext/>
      </w:pPr>
      <w:r>
        <w:t xml:space="preserve">3.1 Overview of the Implemented Framework</w:t>
      </w:r>
    </w:p>
    <w:p>
      <w:pPr>
        <w:pStyle w:val="FirstParagraph"/>
        <w:widowControl/>
        <w:jc w:val="both"/>
      </w:pPr>
      <w:r>
        <w:t xml:space="preserve">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pPr>
        <w:pStyle w:val="BodyText"/>
      </w:pPr>
      <w:r>
        <w:t xml:space="preserve">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pPr>
        <w:pStyle w:val="BodyText"/>
      </w:pPr>
      <w:r>
        <w:t xml:space="preserve">Figure 3.1 presents these components as one evaluation workflow and makes their evidence boundaries explicit. The framework dataflow expands that workflow from canonical dataset truth through native-path exports and validation to the separate Chapter 4 and Chapter 5 evidence roles; it describes an evaluation process rather than a new recommender architecture.</w:t>
      </w:r>
    </w:p>
    <w:p xmlns:a="http://schemas.openxmlformats.org/drawingml/2006/main" xmlns:pic="http://schemas.openxmlformats.org/drawingml/2006/picture">
      <w:pPr>
        <w:pStyle w:val="BodyText"/>
        <w:keepNext/>
        <w:spacing w:before="160" w:after="80"/>
        <w:jc w:val="center"/>
      </w:pPr>
      <w:r>
        <w:drawing>
          <wp:inline>
            <wp:extent cx="4699000" cy="2177203"/>
            <wp:effectExtent b="0" l="0" r="0" t="0"/>
            <wp:docPr descr="Figure 3.1 framework overview" title="" id="34" name="Picture"/>
            <a:graphic>
              <a:graphicData uri="http://schemas.openxmlformats.org/drawingml/2006/picture">
                <pic:pic>
                  <pic:nvPicPr>
                    <pic:cNvPr descr="paper/current_dissertation/figures/png/figure_3_1_framework_overview_final.png" id="35" name="Picture"/>
                    <pic:cNvPicPr>
                      <a:picLocks noChangeArrowheads="1" noChangeAspect="1"/>
                    </pic:cNvPicPr>
                  </pic:nvPicPr>
                  <pic:blipFill>
                    <a:blip r:embed="rId13"/>
                    <a:stretch>
                      <a:fillRect/>
                    </a:stretch>
                  </pic:blipFill>
                  <pic:spPr bwMode="auto">
                    <a:xfrm>
                      <a:off x="0" y="0"/>
                      <a:ext cx="4699000" cy="2177203"/>
                    </a:xfrm>
                    <a:prstGeom prst="rect">
                      <a:avLst/>
                    </a:prstGeom>
                    <a:noFill/>
                    <a:ln w="9525">
                      <a:noFill/>
                      <a:headEnd/>
                      <a:tailEnd/>
                    </a:ln>
                  </pic:spPr>
                </pic:pic>
              </a:graphicData>
            </a:graphic>
          </wp:inline>
        </w:drawing>
      </w:r>
    </w:p>
    <w:p>
      <w:pPr>
        <w:pStyle w:val="Caption"/>
        <w:jc w:val="center"/>
      </w:pPr>
      <w:r>
        <w:rPr>
          <w:b/>
          <w:bCs/>
        </w:rPr>
        <w:t xml:space="preserve">Figure 3.1.</w:t>
      </w:r>
      <w:r>
        <w:t xml:space="preserve"> </w:t>
      </w:r>
      <w:r>
        <w:t xml:space="preserve">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fldChar w:fldCharType="begin"/>
      </w:r>
      <w:r>
        <w:rPr>
          <w:vanish/>
        </w:rPr>
        <w:instrText xml:space="preserve"> TC "Figure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 \f F \l 1 </w:instrText>
      </w:r>
      <w:r>
        <w:fldChar w:fldCharType="end"/>
      </w:r>
    </w:p>
    <w:p>
      <w:pPr>
        <w:pStyle w:val="BodyText"/>
      </w:pPr>
      <w:r>
        <w:t xml:space="preserve">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space before evaluation. The validation layer then checks whether the recommendations and explanation paths are complete and internally consistent. Only rows that pass these checks are admitted as reportable experimental evidence.</w:t>
      </w:r>
    </w:p>
    <w:p>
      <w:pPr>
        <w:pStyle w:val="BodyText"/>
      </w:pPr>
      <w:r>
        <w:t xml:space="preserve">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pPr>
        <w:pStyle w:val="BodyText"/>
      </w:pPr>
      <w:r>
        <w:t xml:space="preserve">The notation used to formalise this evaluation contract is summarised below.</w:t>
      </w:r>
    </w:p>
    <w:p>
      <w:pPr>
        <w:pStyle w:val="BodyText"/>
      </w:pPr>
      <w:r>
        <w:rPr>
          <w:b/>
          <w:bCs/>
        </w:rPr>
        <w:t xml:space="preserve">Core notation used in the framework.</w:t>
      </w:r>
    </w:p>
    <w:p>
      <w:pPr>
        <w:pStyle w:val="Compact"/>
        <w:widowControl/>
        <w:numPr>
          <w:ilvl w:val="0"/>
          <w:numId w:val="1003"/>
        </w:numPr>
        <w:jc w:val="both"/>
      </w:pPr>
      <w:r>
        <w:t xml:space="preserve">(</w:t>
      </w:r>
      <w:r>
        <w:t xml:space="preserve">): Set of datasets considered in the framework.</w:t>
      </w:r>
    </w:p>
    <w:p>
      <w:pPr>
        <w:pStyle w:val="Compact"/>
        <w:widowControl/>
        <w:numPr>
          <w:ilvl w:val="0"/>
          <w:numId w:val="1003"/>
        </w:numPr>
        <w:jc w:val="both"/>
      </w:pPr>
      <w:r>
        <w:t xml:space="preserve">(d): Dataset index.</w:t>
      </w:r>
    </w:p>
    <w:p>
      <w:pPr>
        <w:pStyle w:val="Compact"/>
        <w:widowControl/>
        <w:numPr>
          <w:ilvl w:val="0"/>
          <w:numId w:val="1003"/>
        </w:numPr>
        <w:jc w:val="both"/>
      </w:pPr>
      <w:r>
        <w:t xml:space="preserve">(</w:t>
      </w:r>
      <w:r>
        <w:t xml:space="preserve">_d): Canonical user set for dataset (d).</w:t>
      </w:r>
    </w:p>
    <w:p>
      <w:pPr>
        <w:pStyle w:val="Compact"/>
        <w:widowControl/>
        <w:numPr>
          <w:ilvl w:val="0"/>
          <w:numId w:val="1003"/>
        </w:numPr>
        <w:jc w:val="both"/>
      </w:pPr>
      <w:r>
        <w:t xml:space="preserve">(</w:t>
      </w:r>
      <w:r>
        <w:t xml:space="preserve">_d): Canonical item set for dataset (d).</w:t>
      </w:r>
    </w:p>
    <w:p>
      <w:pPr>
        <w:pStyle w:val="Compact"/>
        <w:widowControl/>
        <w:numPr>
          <w:ilvl w:val="0"/>
          <w:numId w:val="1003"/>
        </w:numPr>
        <w:jc w:val="both"/>
      </w:pPr>
      <w:r>
        <w:t xml:space="preserve">(</w:t>
      </w:r>
      <w:r>
        <w:t xml:space="preserve">_d): Knowledge graph associated with dataset (d).</w:t>
      </w:r>
    </w:p>
    <w:p>
      <w:pPr>
        <w:pStyle w:val="Compact"/>
        <w:widowControl/>
        <w:numPr>
          <w:ilvl w:val="0"/>
          <w:numId w:val="1003"/>
        </w:numPr>
        <w:jc w:val="both"/>
      </w:pPr>
      <w:r>
        <w:t xml:space="preserve">(</w:t>
      </w:r>
      <w:r>
        <w:t xml:space="preserve">): Set of native-path models evaluated in the main experiments.</w:t>
      </w:r>
    </w:p>
    <w:p>
      <w:pPr>
        <w:pStyle w:val="Compact"/>
        <w:widowControl/>
        <w:numPr>
          <w:ilvl w:val="0"/>
          <w:numId w:val="1003"/>
        </w:numPr>
        <w:jc w:val="both"/>
      </w:pPr>
      <w:r>
        <w:t xml:space="preserve">(m): Model index.</w:t>
      </w:r>
    </w:p>
    <w:p>
      <w:pPr>
        <w:pStyle w:val="Compact"/>
        <w:widowControl/>
        <w:numPr>
          <w:ilvl w:val="0"/>
          <w:numId w:val="1003"/>
        </w:numPr>
        <w:jc w:val="both"/>
      </w:pPr>
      <w:r>
        <w:t xml:space="preserve">(</w:t>
      </w:r>
      <w:r>
        <w:t xml:space="preserve">_{u}^{K,m,d}): Top-(K) recommendation list for user (u), model (m), dataset (d).</w:t>
      </w:r>
    </w:p>
    <w:p>
      <w:pPr>
        <w:pStyle w:val="Compact"/>
        <w:widowControl/>
        <w:numPr>
          <w:ilvl w:val="0"/>
          <w:numId w:val="1003"/>
        </w:numPr>
        <w:jc w:val="both"/>
      </w:pPr>
      <w:r>
        <w:t xml:space="preserve">(p_{u,i}^{m,d}): Native path associated with recommendation item (i) for user (u).</w:t>
      </w:r>
    </w:p>
    <w:p>
      <w:pPr>
        <w:pStyle w:val="Compact"/>
        <w:widowControl/>
        <w:numPr>
          <w:ilvl w:val="0"/>
          <w:numId w:val="1003"/>
        </w:numPr>
        <w:jc w:val="both"/>
      </w:pPr>
      <w:r>
        <w:t xml:space="preserve">(V_{m,d}): Validation eligibility indicator for model-dataset row ((m,d)).</w:t>
      </w:r>
    </w:p>
    <w:p>
      <w:pPr>
        <w:pStyle w:val="Compact"/>
        <w:widowControl/>
        <w:numPr>
          <w:ilvl w:val="0"/>
          <w:numId w:val="1003"/>
        </w:numPr>
        <w:jc w:val="both"/>
      </w:pPr>
      <w:r>
        <w:t xml:space="preserve">(q): Explanation objective, one of LIR, SEP, or ETD.</w:t>
      </w:r>
    </w:p>
    <w:p>
      <w:pPr>
        <w:pStyle w:val="Compact"/>
        <w:widowControl/>
        <w:numPr>
          <w:ilvl w:val="0"/>
          <w:numId w:val="1003"/>
        </w:numPr>
        <w:jc w:val="both"/>
      </w:pPr>
      <w:r>
        <w:t xml:space="preserve">(</w:t>
      </w:r>
      <w:r>
        <w:t xml:space="preserve">): Trade-off control parameter.</w:t>
      </w:r>
    </w:p>
    <w:p>
      <w:pPr>
        <w:pStyle w:val="FirstParagraph"/>
        <w:widowControl/>
        <w:jc w:val="both"/>
      </w:pPr>
      <w:r>
        <w:t xml:space="preserve">These definitions formalise the evaluation framework. They do not define a new recommender model.</w:t>
      </w:r>
    </w:p>
    <w:bookmarkEnd w:id="36"/>
    <w:bookmarkStart w:id="37" w:name="X989d8ad0f52631ce2af55eb92a00065cba2bbce"/>
    <w:p>
      <w:pPr>
        <w:pStyle w:val="Heading2"/>
        <w:keepNext/>
      </w:pPr>
      <w:r>
        <w:t xml:space="preserve">3.2 Canonical Dataset and Model View Construction</w:t>
      </w:r>
    </w:p>
    <w:p>
      <w:pPr>
        <w:pStyle w:val="FirstParagraph"/>
        <w:widowControl/>
        <w:jc w:val="both"/>
      </w:pPr>
      <w:r>
        <w:t xml:space="preserve">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w:t>
      </w:r>
      <w:r>
        <w:t xml:space="preserve"> </w:t>
      </w:r>
      <w:r>
        <w:rPr>
          <w:rStyle w:val="VerbatimChar"/>
        </w:rPr>
        <w:t xml:space="preserve">docs/guides/CANONICAL_DATASET_STANDARD.md</w:t>
      </w:r>
      <w:r>
        <w:t xml:space="preserve"> </w:t>
      </w:r>
      <w:r>
        <w:t xml:space="preserve">and provides the shared truth against which model exports are evaluated.</w:t>
      </w:r>
    </w:p>
    <w:p>
      <w:pPr>
        <w:pStyle w:val="BodyText"/>
      </w:pPr>
      <w:r>
        <w:t xml:space="preserve">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pPr>
        <w:pStyle w:val="BodyText"/>
      </w:pPr>
      <w:r>
        <w:t xml:space="preserve">For a model-dataset row ((m,d)</w:t>
      </w:r>
      <w:r>
        <w:t xml:space="preserve"> </w:t>
      </w:r>
      <w:r>
        <w:t xml:space="preserve"> </w:t>
      </w:r>
      <w:r>
        <w:t xml:space="preserve">), the canonical return mappings are</w:t>
      </w:r>
    </w:p>
    <w:p>
      <w:pPr>
        <w:pStyle w:val="BodyText"/>
      </w:pPr>
      <w:r>
        <w:t xml:space="preserve">[</w:t>
      </w:r>
      <w:r>
        <w:t xml:space="preserve"> </w:t>
      </w:r>
      <w:r>
        <w:rPr>
          <w:i/>
          <w:iCs/>
        </w:rPr>
        <w:t xml:space="preserve">U^{m,d}:</w:t>
      </w:r>
      <w:r>
        <w:rPr>
          <w:i/>
          <w:iCs/>
        </w:rPr>
        <w:t xml:space="preserve"> </w:t>
      </w:r>
      <w:r>
        <w:t xml:space="preserve">{m,d}</w:t>
      </w:r>
      <w:r>
        <w:t xml:space="preserve"> </w:t>
      </w:r>
      <w:r>
        <w:t xml:space="preserve">_d</w:t>
      </w:r>
      <w:r>
        <w:t xml:space="preserve"> </w:t>
      </w:r>
      <w:r>
        <w:t xml:space="preserve">]</w:t>
      </w:r>
    </w:p>
    <w:p>
      <w:pPr>
        <w:pStyle w:val="BodyText"/>
      </w:pPr>
      <w:r>
        <w:t xml:space="preserve">and</w:t>
      </w:r>
    </w:p>
    <w:p>
      <w:pPr>
        <w:pStyle w:val="BodyText"/>
      </w:pPr>
      <w:r>
        <w:t xml:space="preserve">[</w:t>
      </w:r>
      <w:r>
        <w:t xml:space="preserve"> </w:t>
      </w:r>
      <w:r>
        <w:rPr>
          <w:i/>
          <w:iCs/>
        </w:rPr>
        <w:t xml:space="preserve">I^{m,d}:</w:t>
      </w:r>
      <w:r>
        <w:rPr>
          <w:i/>
          <w:iCs/>
        </w:rPr>
        <w:t xml:space="preserve"> </w:t>
      </w:r>
      <w:r>
        <w:t xml:space="preserve">{m,d}</w:t>
      </w:r>
      <w:r>
        <w:t xml:space="preserve"> </w:t>
      </w:r>
      <w:r>
        <w:t xml:space="preserve">_d.</w:t>
      </w:r>
      <w:r>
        <w:t xml:space="preserve"> </w:t>
      </w:r>
      <w:r>
        <w:t xml:space="preserve">]</w:t>
      </w:r>
    </w:p>
    <w:p>
      <w:pPr>
        <w:pStyle w:val="BodyText"/>
      </w:pPr>
      <w:r>
        <w:t xml:space="preserve">Here, (</w:t>
      </w:r>
      <w:r>
        <w:rPr>
          <w:i/>
          <w:iCs/>
        </w:rPr>
        <w:t xml:space="preserve">{m,d}) and (</w:t>
      </w:r>
      <w:r>
        <w:t xml:space="preserve">{m,d}) 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pPr>
        <w:pStyle w:val="BodyText"/>
      </w:pPr>
      <w:r>
        <w:t xml:space="preserve">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w:t>
      </w:r>
      <w:r>
        <w:t xml:space="preserve"> </w:t>
      </w:r>
      <w:r>
        <w:t xml:space="preserve">(</w:t>
      </w:r>
      <w:hyperlink w:anchor="ref-xian2019pgpr">
        <w:r>
          <w:rPr>
            <w:rStyle w:val="Hyperlink"/>
          </w:rPr>
          <w:t xml:space="preserve">Xian et al. 2019</w:t>
        </w:r>
      </w:hyperlink>
      <w:r>
        <w:t xml:space="preserve">,</w:t>
      </w:r>
      <w:r>
        <w:t xml:space="preserve"> </w:t>
      </w:r>
      <w:hyperlink w:anchor="ref-xian2020cafe">
        <w:r>
          <w:rPr>
            <w:rStyle w:val="Hyperlink"/>
          </w:rPr>
          <w:t xml:space="preserve">2020</w:t>
        </w:r>
      </w:hyperlink>
      <w:r>
        <w:t xml:space="preserve">;</w:t>
      </w:r>
      <w:r>
        <w:t xml:space="preserve"> </w:t>
      </w:r>
      <w:hyperlink w:anchor="ref-tai2021ucpr">
        <w:r>
          <w:rPr>
            <w:rStyle w:val="Hyperlink"/>
          </w:rPr>
          <w:t xml:space="preserve">Tai et al. 2021</w:t>
        </w:r>
      </w:hyperlink>
      <w:r>
        <w:t xml:space="preserve">;</w:t>
      </w:r>
      <w:r>
        <w:t xml:space="preserve"> </w:t>
      </w:r>
      <w:hyperlink w:anchor="ref-zhao2022tprec">
        <w:r>
          <w:rPr>
            <w:rStyle w:val="Hyperlink"/>
          </w:rPr>
          <w:t xml:space="preserve">Zhao et al. 2022</w:t>
        </w:r>
      </w:hyperlink>
      <w:r>
        <w:t xml:space="preserve">;</w:t>
      </w:r>
      <w:r>
        <w:t xml:space="preserve"> </w:t>
      </w:r>
      <w:hyperlink w:anchor="ref-balloccu2024kgglm">
        <w:r>
          <w:rPr>
            <w:rStyle w:val="Hyperlink"/>
          </w:rPr>
          <w:t xml:space="preserve">Balloccu et al. 2024</w:t>
        </w:r>
      </w:hyperlink>
      <w:r>
        <w:t xml:space="preserve">,</w:t>
      </w:r>
      <w:r>
        <w:t xml:space="preserve"> </w:t>
      </w:r>
      <w:hyperlink w:anchor="ref-balloccu2023pearlm">
        <w:r>
          <w:rPr>
            <w:rStyle w:val="Hyperlink"/>
          </w:rPr>
          <w:t xml:space="preserve">2023</w:t>
        </w:r>
      </w:hyperlink>
      <w:r>
        <w:t xml:space="preserve">)</w:t>
      </w:r>
      <w:r>
        <w:t xml:space="preserve">. These views may remap identifiers internally, but the reported artifacts must return to canonical identifiers. In particular, exported</w:t>
      </w:r>
      <w:r>
        <w:t xml:space="preserve"> </w:t>
      </w:r>
      <w:r>
        <w:rPr>
          <w:rStyle w:val="VerbatimChar"/>
        </w:rPr>
        <w:t xml:space="preserve">uid_topk.csv</w:t>
      </w:r>
      <w:r>
        <w:t xml:space="preserve">,</w:t>
      </w:r>
      <w:r>
        <w:t xml:space="preserve"> </w:t>
      </w:r>
      <w:r>
        <w:rPr>
          <w:rStyle w:val="VerbatimChar"/>
        </w:rPr>
        <w:t xml:space="preserve">pred_paths.csv</w:t>
      </w:r>
      <w:r>
        <w:t xml:space="preserve">, and</w:t>
      </w:r>
      <w:r>
        <w:t xml:space="preserve"> </w:t>
      </w:r>
      <w:r>
        <w:rPr>
          <w:rStyle w:val="VerbatimChar"/>
        </w:rPr>
        <w:t xml:space="preserve">uid_pid_explanation.csv</w:t>
      </w:r>
      <w:r>
        <w:t xml:space="preserve"> </w:t>
      </w:r>
      <w:r>
        <w:t xml:space="preserve">files must use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even when the training and inference code uses a different internal namespace. This rule separates legitimate implementation variation from variation that would make outputs incomparable.</w:t>
      </w:r>
    </w:p>
    <w:p>
      <w:pPr>
        <w:pStyle w:val="BodyText"/>
      </w:pPr>
      <w:r>
        <w:t xml:space="preserve">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3.1. Dataset summary and dissertation evidence role.</w:t>
      </w:r>
      <w:r>
        <w:fldChar w:fldCharType="begin"/>
      </w:r>
      <w:r>
        <w:rPr>
          <w:vanish/>
        </w:rPr>
        <w:instrText xml:space="preserve"> TC "Table 3.1. Dataset summary and dissertation evidence role."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1628"/>
        <w:gridCol w:w="1855"/>
        <w:gridCol w:w="1512"/>
        <w:gridCol w:w="1884"/>
        <w:gridCol w:w="1540"/>
        <w:gridCol w:w="1859"/>
        <w:gridCol w:w="2682"/>
      </w:tblGrid>
      <w:tr>
        <w:trPr>
          <w:tblHeader w:val="true"/>
          <w:cantSplit/>
        </w:trPr>
        <w:tc>
          <w:tcPr>
            <w:tcW w:type="dxa" w:w="162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Dataset</w:t>
            </w:r>
          </w:p>
        </w:tc>
        <w:tc>
          <w:tcPr>
            <w:tcW w:type="dxa" w:w="1855"/>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Role in dissertation</w:t>
            </w:r>
          </w:p>
        </w:tc>
        <w:tc>
          <w:tcPr>
            <w:tcW w:type="dxa" w:w="151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Models available</w:t>
            </w:r>
          </w:p>
        </w:tc>
        <w:tc>
          <w:tcPr>
            <w:tcW w:type="dxa" w:w="1884"/>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Metrics available</w:t>
            </w:r>
          </w:p>
        </w:tc>
        <w:tc>
          <w:tcPr>
            <w:tcW w:type="dxa" w:w="154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Validation status</w:t>
            </w:r>
          </w:p>
        </w:tc>
        <w:tc>
          <w:tcPr>
            <w:tcW w:type="dxa" w:w="185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Limitations</w:t>
            </w:r>
          </w:p>
        </w:tc>
        <w:tc>
          <w:tcPr>
            <w:tcW w:type="dxa" w:w="268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Evidence file paths</w:t>
            </w:r>
          </w:p>
        </w:tc>
      </w:tr>
      <w:tr>
        <w:tc>
          <w:tcPr>
            <w:tcW w:type="dxa" w:w="16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85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 experiment dataset</w:t>
            </w:r>
          </w:p>
        </w:tc>
        <w:tc>
          <w:tcPr>
            <w:tcW w:type="dxa" w:w="15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 UCPR, CAFE, TPRec, KGGLM, PEARLM</w:t>
            </w:r>
          </w:p>
        </w:tc>
        <w:tc>
          <w:tcPr>
            <w:tcW w:type="dxa" w:w="188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HR@10, NDCG@10, Precision@10, Recall@10; Accuracy plus LIR/SEP/ETD alpha-sweep evidence</w:t>
            </w:r>
          </w:p>
        </w:tc>
        <w:tc>
          <w:tcPr>
            <w:tcW w:type="dxa" w:w="15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 for complete rows</w:t>
            </w:r>
          </w:p>
        </w:tc>
        <w:tc>
          <w:tcPr>
            <w:tcW w:type="dxa" w:w="18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Use canonical status matrix and trade-off bundles; avoid older duplicate figure folders</w:t>
            </w:r>
          </w:p>
        </w:tc>
        <w:tc>
          <w:tcPr>
            <w:tcW w:type="dxa" w:w="26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reports/tables/canonical_native_path_status_matrix.md; docs/guides/CANONICAL_NATIVE_PATH_COMPLETION_AUDIT_2026-06-27.md</w:t>
            </w:r>
          </w:p>
        </w:tc>
      </w:tr>
      <w:tr>
        <w:tc>
          <w:tcPr>
            <w:tcW w:type="dxa" w:w="16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85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 experiment dataset</w:t>
            </w:r>
          </w:p>
        </w:tc>
        <w:tc>
          <w:tcPr>
            <w:tcW w:type="dxa" w:w="15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 UCPR, CAFE, TPRec, KGGLM, PEARLM</w:t>
            </w:r>
          </w:p>
        </w:tc>
        <w:tc>
          <w:tcPr>
            <w:tcW w:type="dxa" w:w="188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HR@10, NDCG@10, Precision@10, Recall@10; Accuracy plus LIR/SEP/ETD alpha-sweep evidence</w:t>
            </w:r>
          </w:p>
        </w:tc>
        <w:tc>
          <w:tcPr>
            <w:tcW w:type="dxa" w:w="15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 for complete rows</w:t>
            </w:r>
          </w:p>
        </w:tc>
        <w:tc>
          <w:tcPr>
            <w:tcW w:type="dxa" w:w="18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Use canonical status matrix and trade-off bundles; avoid older duplicate figure folders</w:t>
            </w:r>
          </w:p>
        </w:tc>
        <w:tc>
          <w:tcPr>
            <w:tcW w:type="dxa" w:w="26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reports/tables/canonical_native_path_status_matrix.md; docs/guides/CANONICAL_NATIVE_PATH_COMPLETION_AUDIT_2026-06-27.md</w:t>
            </w:r>
          </w:p>
        </w:tc>
      </w:tr>
      <w:tr>
        <w:tc>
          <w:tcPr>
            <w:tcW w:type="dxa" w:w="16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Amazon-Book KGAT</w:t>
            </w:r>
          </w:p>
        </w:tc>
        <w:tc>
          <w:tcPr>
            <w:tcW w:type="dxa" w:w="185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Secondary stress-test / boundary dataset</w:t>
            </w:r>
          </w:p>
        </w:tc>
        <w:tc>
          <w:tcPr>
            <w:tcW w:type="dxa" w:w="15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KGGLM, PEARLM, PGPR</w:t>
            </w:r>
          </w:p>
        </w:tc>
        <w:tc>
          <w:tcPr>
            <w:tcW w:type="dxa" w:w="188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HR@10, NDCG@10, Precision@10, Recall@10; Accuracy complete for KGGLM/PEARLM/PGPR; LIR/SEP/ETD alpha sweeps N/A</w:t>
            </w:r>
          </w:p>
        </w:tc>
        <w:tc>
          <w:tcPr>
            <w:tcW w:type="dxa" w:w="15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 for complete rows; blocked rows: UCPR, CAFE, TPRec</w:t>
            </w:r>
          </w:p>
        </w:tc>
        <w:tc>
          <w:tcPr>
            <w:tcW w:type="dxa" w:w="18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 approved timestamp/SEP/ETD denominator; UCPR/CAFE/TPRec blocked</w:t>
            </w:r>
          </w:p>
        </w:tc>
        <w:tc>
          <w:tcPr>
            <w:tcW w:type="dxa" w:w="26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reports/tables/canonical_native_path_status_matrix.md; docs/guides/CANONICAL_NATIVE_PATH_COMPLETION_AUDIT_2026-06-27.md</w:t>
            </w:r>
          </w:p>
        </w:tc>
      </w:tr>
      <w:tr>
        <w:tc>
          <w:tcPr>
            <w:tcW w:type="dxa" w:w="16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beauty_legacy_v1</w:t>
            </w:r>
          </w:p>
        </w:tc>
        <w:tc>
          <w:tcPr>
            <w:tcW w:type="dxa" w:w="185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Historical/reference or appendix only</w:t>
            </w:r>
          </w:p>
        </w:tc>
        <w:tc>
          <w:tcPr>
            <w:tcW w:type="dxa" w:w="15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Historical CAFE/PGPR references in docs; not a current main result row</w:t>
            </w:r>
          </w:p>
        </w:tc>
        <w:tc>
          <w:tcPr>
            <w:tcW w:type="dxa" w:w="188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Not part of final status matrix</w:t>
            </w:r>
          </w:p>
        </w:tc>
        <w:tc>
          <w:tcPr>
            <w:tcW w:type="dxa" w:w="15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 in current canonical native-path status matrix</w:t>
            </w:r>
          </w:p>
        </w:tc>
        <w:tc>
          <w:tcPr>
            <w:tcW w:type="dxa" w:w="18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Compatibility protocol with empty validation split; should not be presented as large Amazon-Book KGAT result</w:t>
            </w:r>
          </w:p>
        </w:tc>
        <w:tc>
          <w:tcPr>
            <w:tcW w:type="dxa" w:w="26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docs/guides/CANONICAL_DATASET_STANDARD.md; docs/guides/NATIVE_PATH_MODEL_CANDIDATE_AUDIT_2026-06-21.md</w:t>
            </w:r>
          </w:p>
        </w:tc>
      </w:tr>
    </w:tbl>
    <w:p>
      <w:pPr>
        <w:sectPr>
          <w:pgSz w:w="15840" w:h="12240" w:orient="landscape"/>
          <w:pgMar w:top="1080" w:right="1080" w:bottom="1080" w:left="1080" w:header="720" w:footer="720" w:gutter="0"/>
          <w:cols w:space="720"/>
          <w:docGrid w:linePitch="360"/>
        </w:sectPr>
      </w:pPr>
    </w:p>
    <w:p>
      <w:pPr>
        <w:pStyle w:val="BodyText"/>
      </w:pPr>
      <w:r>
        <w:t xml:space="preserve">Source note: this table reproduces the registered dataset scope in</w:t>
      </w:r>
      <w:r>
        <w:t xml:space="preserve"> </w:t>
      </w:r>
      <w:r>
        <w:rPr>
          <w:rStyle w:val="VerbatimChar"/>
        </w:rPr>
        <w:t xml:space="preserve">thesis_analysis_pack/dataset_summary_table.md</w:t>
      </w:r>
      <w:r>
        <w:t xml:space="preserve">; validation status is an evidence-eligibility result, not a performance ranking.</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3.2. Model scope and native-path evidence availability.</w:t>
      </w:r>
      <w:r>
        <w:fldChar w:fldCharType="begin"/>
      </w:r>
      <w:r>
        <w:rPr>
          <w:vanish/>
        </w:rPr>
        <w:instrText xml:space="preserve"> TC "Table 3.2. Model scope and native-path evidence availability."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1360"/>
        <w:gridCol w:w="1695"/>
        <w:gridCol w:w="1556"/>
        <w:gridCol w:w="1479"/>
        <w:gridCol w:w="1706"/>
        <w:gridCol w:w="2176"/>
        <w:gridCol w:w="2988"/>
      </w:tblGrid>
      <w:tr>
        <w:trPr>
          <w:tblHeader w:val="true"/>
          <w:cantSplit/>
        </w:trPr>
        <w:tc>
          <w:tcPr>
            <w:tcW w:type="dxa" w:w="136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Model</w:t>
            </w:r>
          </w:p>
        </w:tc>
        <w:tc>
          <w:tcPr>
            <w:tcW w:type="dxa" w:w="1695"/>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Native path available?</w:t>
            </w:r>
          </w:p>
        </w:tc>
        <w:tc>
          <w:tcPr>
            <w:tcW w:type="dxa" w:w="155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Datasets completed</w:t>
            </w:r>
          </w:p>
        </w:tc>
        <w:tc>
          <w:tcPr>
            <w:tcW w:type="dxa" w:w="147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Accuracy metrics available?</w:t>
            </w:r>
          </w:p>
        </w:tc>
        <w:tc>
          <w:tcPr>
            <w:tcW w:type="dxa" w:w="170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Explanation metrics available?</w:t>
            </w:r>
          </w:p>
        </w:tc>
        <w:tc>
          <w:tcPr>
            <w:tcW w:type="dxa" w:w="217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Dissertation role</w:t>
            </w:r>
          </w:p>
        </w:tc>
        <w:tc>
          <w:tcPr>
            <w:tcW w:type="dxa" w:w="298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Evidence file paths</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 ML-1M, Amazon-Book KGAT</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for LastFM/ML-1M; Amazon LIR/SEP/ETD N/A</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Native RL/path reasoning baseline; main comparison model</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reports/tables/canonical_native_path_status_matrix.md; docs/guides/NATIVE_PATH_EXPERIMENT_ARCHITECTURE_2026-06-11.md</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 ML-1M</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for completed LastFM/ML-1M; blocked on Amazon</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Native path baseline on LastFM/ML-1M; Amazon blocked</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reports/tables/canonical_native_path_status_matrix.md; reports/tables/amazon_classic_port_readiness.json</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CAFE</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 ML-1M</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for completed LastFM/ML-1M; blocked on Amazon</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Native path baseline on LastFM/ML-1M; Amazon blocked pending port</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reports/tables/canonical_native_path_status_matrix.md; reports/tables/amazon_classic_port_readiness.json</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TPRec</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where timestamps are valid</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 ML-1M</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for completed LastFM/ML-1M; blocked on Amazon</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Temporal native-path baseline on LastFM/ML-1M; Amazon blocked by sentinel timestamps</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docs/guides/NATIVE_PATH_MODEL_CANDIDATE_AUDIT_2026-06-21.md; reports/tables/amazon_classic_port_readiness.json</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KGGLM</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 ML-1M, Amazon-Book KGAT</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for LastFM/ML-1M; Amazon LIR/SEP/ETD N/A</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Path-language-model native-path baseline; main comparison model</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docs/guides/NATIVE_PATH_MODEL_CANDIDATE_AUDIT_2026-06-21.md; reports/tables/canonical_native_path_status_matrix.md</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PEARLM</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 ML-1M, Amazon-Book KGAT</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Yes for LastFM/ML-1M; Amazon LIR/SEP/ETD N/A</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KG-constrained path-language-model baseline; main comparison model</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docs/guides/NATIVE_PATH_MODEL_CANDIDATE_AUDIT_2026-06-21.md; reports/tables/canonical_native_path_status_matrix.md</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KGIN</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 native recommendation path</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Deferred / N/A</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Accuracy-only reference / optional appendix, not LIR/SEP/ETD</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README.md; docs/guides/NATIVE_PATH_EXPERIMENT_ARCHITECTURE_2026-06-11.md; docs/guides/NATIVE_PATH_MODEL_CANDIDATE_AUDIT_2026-06-21.md</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KGAT</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 native recommendation path in current protocol</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Deferred / N/A</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Accuracy-only reference / optional appendix</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README.md; docs/guides/NATIVE_PATH_EXPERIMENT_ARCHITECTURE_2026-06-11.md; docs/guides/NATIVE_PATH_MODEL_CANDIDATE_AUDIT_2026-06-21.md</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LightGCN</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 native KG path</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Deferred / N/A</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Accuracy-only reference / optional appendix</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README.md; docs/guides/NATIVE_PATH_EXPERIMENT_ARCHITECTURE_2026-06-11.md; docs/guides/NATIVE_PATH_MODEL_CANDIDATE_AUDIT_2026-06-21.md</w:t>
            </w:r>
          </w:p>
        </w:tc>
      </w:tr>
      <w:tr>
        <w:tc>
          <w:tcPr>
            <w:tcW w:type="dxa" w:w="136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TransE</w:t>
            </w:r>
          </w:p>
        </w:tc>
        <w:tc>
          <w:tcPr>
            <w:tcW w:type="dxa" w:w="169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 embedding component</w:t>
            </w:r>
          </w:p>
        </w:tc>
        <w:tc>
          <w:tcPr>
            <w:tcW w:type="dxa" w:w="155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7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Deferred / N/A</w:t>
            </w:r>
          </w:p>
        </w:tc>
        <w:tc>
          <w:tcPr>
            <w:tcW w:type="dxa" w:w="1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No</w:t>
            </w:r>
          </w:p>
        </w:tc>
        <w:tc>
          <w:tcPr>
            <w:tcW w:type="dxa" w:w="217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Training/preprocessing component, not a recommender row</w:t>
            </w:r>
          </w:p>
        </w:tc>
        <w:tc>
          <w:tcPr>
            <w:tcW w:type="dxa" w:w="29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docs/guides/CANONICAL_NATIVE_PATH_HANDOFF_2026-06-27.md; reports/tables/amazon_classic_port_readiness.json</w:t>
            </w:r>
          </w:p>
        </w:tc>
      </w:tr>
    </w:tbl>
    <w:p>
      <w:pPr>
        <w:sectPr>
          <w:pgSz w:w="15840" w:h="12240" w:orient="landscape"/>
          <w:pgMar w:top="1080" w:right="1080" w:bottom="1080" w:left="1080" w:header="720" w:footer="720" w:gutter="0"/>
          <w:cols w:space="720"/>
          <w:docGrid w:linePitch="360"/>
        </w:sectPr>
      </w:pPr>
    </w:p>
    <w:p>
      <w:pPr>
        <w:pStyle w:val="BodyText"/>
      </w:pPr>
      <w:r>
        <w:t xml:space="preserve">Source note: this table reproduces</w:t>
      </w:r>
      <w:r>
        <w:t xml:space="preserve"> </w:t>
      </w:r>
      <w:r>
        <w:rPr>
          <w:rStyle w:val="VerbatimChar"/>
        </w:rPr>
        <w:t xml:space="preserve">thesis_analysis_pack/model_scope_table.md</w:t>
      </w:r>
      <w:r>
        <w:t xml:space="preserve">. Accuracy-only and component rows are not assigned native-path explanation metrics.</w:t>
      </w:r>
    </w:p>
    <w:bookmarkEnd w:id="37"/>
    <w:bookmarkStart w:id="38" w:name="Xe506260aea4fb945b5209709dc9486719295df7"/>
    <w:p>
      <w:pPr>
        <w:pStyle w:val="Heading2"/>
        <w:keepNext/>
      </w:pPr>
      <w:r>
        <w:t xml:space="preserve">3.3 Native-Path Export Contract and Implementation</w:t>
      </w:r>
    </w:p>
    <w:p>
      <w:pPr>
        <w:pStyle w:val="FirstParagraph"/>
        <w:widowControl/>
        <w:jc w:val="both"/>
      </w:pPr>
      <w:r>
        <w:t xml:space="preserve">Comparable identifiers are necessary but insufficient when the explanation itself is part of the model evidence. The export contract therefore defines the minimum artifacts required for a complete native-path row:</w:t>
      </w:r>
    </w:p>
    <w:p>
      <w:pPr>
        <w:pStyle w:val="Compact"/>
        <w:widowControl/>
        <w:numPr>
          <w:ilvl w:val="0"/>
          <w:numId w:val="1004"/>
        </w:numPr>
        <w:jc w:val="both"/>
      </w:pPr>
      <w:r>
        <w:rPr>
          <w:rStyle w:val="VerbatimChar"/>
        </w:rPr>
        <w:t xml:space="preserve">uid_topk.csv</w:t>
      </w:r>
      <w:r>
        <w:t xml:space="preserve">, containing ranked recommendation lists for canonical users;</w:t>
      </w:r>
    </w:p>
    <w:p>
      <w:pPr>
        <w:pStyle w:val="Compact"/>
        <w:widowControl/>
        <w:numPr>
          <w:ilvl w:val="0"/>
          <w:numId w:val="1004"/>
        </w:numPr>
        <w:jc w:val="both"/>
      </w:pPr>
      <w:r>
        <w:rPr>
          <w:rStyle w:val="VerbatimChar"/>
        </w:rPr>
        <w:t xml:space="preserve">pred_paths.csv</w:t>
      </w:r>
      <w:r>
        <w:t xml:space="preserve">, containing candidate or selected recommendation paths;</w:t>
      </w:r>
    </w:p>
    <w:p>
      <w:pPr>
        <w:pStyle w:val="Compact"/>
        <w:widowControl/>
        <w:numPr>
          <w:ilvl w:val="0"/>
          <w:numId w:val="1004"/>
        </w:numPr>
        <w:jc w:val="both"/>
      </w:pPr>
      <w:r>
        <w:rPr>
          <w:rStyle w:val="VerbatimChar"/>
        </w:rPr>
        <w:t xml:space="preserve">uid_pid_explanation.csv</w:t>
      </w:r>
      <w:r>
        <w:t xml:space="preserve">, containing the path used to explain each user-item recommendation.</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3.3. Canonical native-path export contract.</w:t>
      </w:r>
      <w:r>
        <w:fldChar w:fldCharType="begin"/>
      </w:r>
      <w:r>
        <w:rPr>
          <w:vanish/>
        </w:rPr>
        <w:instrText xml:space="preserve"> TC "Table 3.3. Canonical native-path export contract."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3357"/>
        <w:gridCol w:w="2830"/>
        <w:gridCol w:w="2937"/>
        <w:gridCol w:w="3836"/>
      </w:tblGrid>
      <w:tr>
        <w:trPr>
          <w:tblHeader w:val="true"/>
          <w:cantSplit/>
        </w:trPr>
        <w:tc>
          <w:tcPr>
            <w:tcW w:type="dxa" w:w="335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Artifact</w:t>
            </w:r>
          </w:p>
        </w:tc>
        <w:tc>
          <w:tcPr>
            <w:tcW w:type="dxa" w:w="283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Required content</w:t>
            </w:r>
          </w:p>
        </w:tc>
        <w:tc>
          <w:tcPr>
            <w:tcW w:type="dxa" w:w="293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Canonical requirement</w:t>
            </w:r>
          </w:p>
        </w:tc>
        <w:tc>
          <w:tcPr>
            <w:tcW w:type="dxa" w:w="383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Evaluation role</w:t>
            </w:r>
          </w:p>
        </w:tc>
      </w:tr>
      <w:tr>
        <w:tc>
          <w:tcPr>
            <w:tcW w:type="dxa" w:w="335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uid_topk.csv</w:t>
            </w:r>
          </w:p>
        </w:tc>
        <w:tc>
          <w:tcPr>
            <w:tcW w:type="dxa" w:w="283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Ranked recommendation lists for canonical users</w:t>
            </w:r>
          </w:p>
        </w:tc>
        <w:tc>
          <w:tcPr>
            <w:tcW w:type="dxa" w:w="293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Canonical uid and pid values</w:t>
            </w:r>
          </w:p>
        </w:tc>
        <w:tc>
          <w:tcPr>
            <w:tcW w:type="dxa" w:w="383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Strict ranking evaluation and recommendation alignment</w:t>
            </w:r>
          </w:p>
        </w:tc>
      </w:tr>
      <w:tr>
        <w:tc>
          <w:tcPr>
            <w:tcW w:type="dxa" w:w="335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pred_paths.csv</w:t>
            </w:r>
          </w:p>
        </w:tc>
        <w:tc>
          <w:tcPr>
            <w:tcW w:type="dxa" w:w="283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Candidate or selected recommendation paths</w:t>
            </w:r>
          </w:p>
        </w:tc>
        <w:tc>
          <w:tcPr>
            <w:tcW w:type="dxa" w:w="293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Canonical endpoints and registered relation/entity representation</w:t>
            </w:r>
          </w:p>
        </w:tc>
        <w:tc>
          <w:tcPr>
            <w:tcW w:type="dxa" w:w="383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Candidate-path and endpoint validation</w:t>
            </w:r>
          </w:p>
        </w:tc>
      </w:tr>
      <w:tr>
        <w:tc>
          <w:tcPr>
            <w:tcW w:type="dxa" w:w="335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uid_pid_explanation.csv</w:t>
            </w:r>
          </w:p>
        </w:tc>
        <w:tc>
          <w:tcPr>
            <w:tcW w:type="dxa" w:w="283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Path used to explain each user-item recommendation</w:t>
            </w:r>
          </w:p>
        </w:tc>
        <w:tc>
          <w:tcPr>
            <w:tcW w:type="dxa" w:w="293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Same canonical user-item pair as the recommendation export</w:t>
            </w:r>
          </w:p>
        </w:tc>
        <w:tc>
          <w:tcPr>
            <w:tcW w:type="dxa" w:w="383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Native-path explanation metrics and recommendation-explanation alignment</w:t>
            </w:r>
          </w:p>
        </w:tc>
      </w:tr>
    </w:tbl>
    <w:p>
      <w:pPr>
        <w:sectPr>
          <w:pgSz w:w="15840" w:h="12240" w:orient="landscape"/>
          <w:pgMar w:top="1080" w:right="1080" w:bottom="1080" w:left="1080" w:header="720" w:footer="720" w:gutter="0"/>
          <w:cols w:space="720"/>
          <w:docGrid w:linePitch="360"/>
        </w:sectPr>
      </w:pPr>
    </w:p>
    <w:p>
      <w:pPr>
        <w:pStyle w:val="BodyText"/>
      </w:pPr>
      <w:r>
        <w:t xml:space="preserve">Formally, the ranked recommendation list is</w:t>
      </w:r>
    </w:p>
    <w:p>
      <w:pPr>
        <w:pStyle w:val="BodyText"/>
      </w:pPr>
      <w:r>
        <w:t xml:space="preserve">[</w:t>
      </w:r>
      <w:r>
        <w:t xml:space="preserve"> </w:t>
      </w:r>
      <w:r>
        <w:rPr>
          <w:i/>
          <w:iCs/>
        </w:rPr>
        <w:t xml:space="preserve">{u}^{K,m,d}</w:t>
      </w:r>
      <w:r>
        <w:rPr>
          <w:i/>
          <w:iCs/>
        </w:rPr>
        <w:t xml:space="preserve"> </w:t>
      </w:r>
      <w:r>
        <w:rPr>
          <w:i/>
          <w:iCs/>
        </w:rPr>
        <w:t xml:space="preserve">=</w:t>
      </w:r>
      <w:r>
        <w:rPr>
          <w:i/>
          <w:iCs/>
        </w:rPr>
        <w:t xml:space="preserve"> </w:t>
      </w:r>
      <w:r>
        <w:rPr>
          <w:i/>
          <w:iCs/>
        </w:rPr>
        <w:t xml:space="preserve">[i_{u,1}, i_{u,2},</w:t>
      </w:r>
      <w:r>
        <w:rPr>
          <w:i/>
          <w:iCs/>
        </w:rPr>
        <w:t xml:space="preserve"> </w:t>
      </w:r>
      <w:r>
        <w:rPr>
          <w:i/>
          <w:iCs/>
        </w:rPr>
        <w:t xml:space="preserve">, i_{u,K}],</w:t>
      </w:r>
      <w:r>
        <w:rPr>
          <w:i/>
          <w:iCs/>
        </w:rPr>
        <w:t xml:space="preserve"> </w:t>
      </w:r>
      <w:r>
        <w:rPr>
          <w:i/>
          <w:iCs/>
        </w:rPr>
        <w:t xml:space="preserve"> </w:t>
      </w:r>
      <w:r>
        <w:rPr>
          <w:i/>
          <w:iCs/>
        </w:rPr>
        <w:t xml:space="preserve">i</w:t>
      </w:r>
      <w:r>
        <w:t xml:space="preserve">{u,j}</w:t>
      </w:r>
      <w:r>
        <w:t xml:space="preserve"> </w:t>
      </w:r>
      <w:r>
        <w:t xml:space="preserve">_d.</w:t>
      </w:r>
      <w:r>
        <w:t xml:space="preserve"> </w:t>
      </w:r>
      <w:r>
        <w:t xml:space="preserve">]</w:t>
      </w:r>
    </w:p>
    <w:p>
      <w:pPr>
        <w:pStyle w:val="BodyText"/>
      </w:pPr>
      <w:r>
        <w:t xml:space="preserve">A native path associated with a reportable recommendation is represented as</w:t>
      </w:r>
    </w:p>
    <w:p>
      <w:pPr>
        <w:pStyle w:val="BodyText"/>
      </w:pPr>
      <w:r>
        <w:t xml:space="preserve">[</w:t>
      </w:r>
      <w:r>
        <w:t xml:space="preserve"> </w:t>
      </w:r>
      <w:r>
        <w:t xml:space="preserve">p_{u,i}^{m,d}</w:t>
      </w:r>
      <w:r>
        <w:t xml:space="preserve"> </w:t>
      </w:r>
      <w:r>
        <w:t xml:space="preserve">=</w:t>
      </w:r>
      <w:r>
        <w:t xml:space="preserve"> </w:t>
      </w:r>
      <w:r>
        <w:t xml:space="preserve">,</w:t>
      </w:r>
      <w:r>
        <w:t xml:space="preserve"> </w:t>
      </w:r>
      <w:r>
        <w:t xml:space="preserve">]</w:t>
      </w:r>
    </w:p>
    <w:p>
      <w:pPr>
        <w:pStyle w:val="BodyText"/>
      </w:pPr>
      <w:r>
        <w:t xml:space="preserve">subject to the endpoint conditions</w:t>
      </w:r>
    </w:p>
    <w:p>
      <w:pPr>
        <w:pStyle w:val="BodyText"/>
      </w:pPr>
      <w:r>
        <w:t xml:space="preserve">[</w:t>
      </w:r>
      <w:r>
        <w:t xml:space="preserve"> </w:t>
      </w:r>
      <w:r>
        <w:t xml:space="preserve">(r_0,t_0,e_0) = (</w:t>
      </w:r>
      <w:r>
        <w:t xml:space="preserve">,</w:t>
      </w:r>
      <w:r>
        <w:t xml:space="preserve"> </w:t>
      </w:r>
      <w:r>
        <w:t xml:space="preserve">, u)</w:t>
      </w:r>
      <w:r>
        <w:t xml:space="preserve"> </w:t>
      </w:r>
      <w:r>
        <w:t xml:space="preserve">]</w:t>
      </w:r>
    </w:p>
    <w:p>
      <w:pPr>
        <w:pStyle w:val="BodyText"/>
      </w:pPr>
      <w:r>
        <w:t xml:space="preserve">and</w:t>
      </w:r>
    </w:p>
    <w:p>
      <w:pPr>
        <w:pStyle w:val="BodyText"/>
      </w:pPr>
      <w:r>
        <w:t xml:space="preserve">[</w:t>
      </w:r>
      <w:r>
        <w:t xml:space="preserve"> </w:t>
      </w:r>
      <w:r>
        <w:t xml:space="preserve">e_L = i.</w:t>
      </w:r>
      <w:r>
        <w:t xml:space="preserve"> </w:t>
      </w:r>
      <w:r>
        <w:t xml:space="preserve">]</w:t>
      </w:r>
    </w:p>
    <w:p>
      <w:pPr>
        <w:pStyle w:val="BodyText"/>
      </w:pPr>
      <w:r>
        <w:t xml:space="preserve">The corresponding validity predicate is</w:t>
      </w:r>
    </w:p>
    <w:p>
      <w:pPr>
        <w:pStyle w:val="BodyText"/>
      </w:pPr>
      <w:r>
        <w:t xml:space="preserve">[</w:t>
      </w:r>
      <w:r>
        <w:t xml:space="preserve"> </w:t>
      </w:r>
      <w:r>
        <w:t xml:space="preserve">(p_{u,i}^{m,d}) =</w:t>
      </w:r>
      <w:r>
        <w:t xml:space="preserve"> </w:t>
      </w:r>
      <w:r>
        <w:t xml:space="preserve"> </w:t>
      </w:r>
      <w:r>
        <w:t xml:space="preserve">.</w:t>
      </w:r>
      <w:r>
        <w:t xml:space="preserve"> </w:t>
      </w:r>
      <w:r>
        <w:t xml:space="preserve">]</w:t>
      </w:r>
    </w:p>
    <w:p>
      <w:pPr>
        <w:pStyle w:val="BodyText"/>
      </w:pPr>
      <w:r>
        <w:t xml:space="preserve">A native path is reportable only when it is aligned with the same canonical user-item pair that appears in the recommendation export.</w:t>
      </w:r>
    </w:p>
    <w:p>
      <w:pPr>
        <w:pStyle w:val="BodyText"/>
      </w:pPr>
      <w:r>
        <w:t xml:space="preserve">The minimum export evidence package for each row is</w:t>
      </w:r>
    </w:p>
    <w:p>
      <w:pPr>
        <w:pStyle w:val="BodyText"/>
      </w:pPr>
      <w:r>
        <w:t xml:space="preserve">[</w:t>
      </w:r>
      <w:r>
        <w:t xml:space="preserve"> </w:t>
      </w:r>
      <w:r>
        <w:rPr>
          <w:i/>
          <w:iCs/>
        </w:rPr>
        <w:t xml:space="preserve">{m,d}</w:t>
      </w:r>
      <w:r>
        <w:rPr>
          <w:i/>
          <w:iCs/>
        </w:rPr>
        <w:t xml:space="preserve"> </w:t>
      </w:r>
      <w:r>
        <w:rPr>
          <w:i/>
          <w:iCs/>
        </w:rPr>
        <w:t xml:space="preserve">=</w:t>
      </w:r>
      <w:r>
        <w:rPr>
          <w:i/>
          <w:iCs/>
        </w:rPr>
        <w:t xml:space="preserve"> </w:t>
      </w:r>
      <w:r>
        <w:rPr>
          <w:i/>
          <w:iCs/>
        </w:rPr>
        <w:t xml:space="preserve">(</w:t>
      </w:r>
      <w:r>
        <w:rPr>
          <w:i/>
          <w:iCs/>
        </w:rPr>
        <w:t xml:space="preserve"> </w:t>
      </w:r>
      <w:r>
        <w:rPr>
          <w:i/>
          <w:iCs/>
        </w:rPr>
        <w:t xml:space="preserve">T</w:t>
      </w:r>
      <w:r>
        <w:t xml:space="preserve">{m,d},</w:t>
      </w:r>
      <w:r>
        <w:t xml:space="preserve"> </w:t>
      </w:r>
      <w:r>
        <w:t xml:space="preserve">P_{m,d},</w:t>
      </w:r>
      <w:r>
        <w:t xml:space="preserve"> </w:t>
      </w:r>
      <w:r>
        <w:t xml:space="preserve">X_{m,d}</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T_{m,d} =</w:t>
      </w:r>
      <w:r>
        <w:t xml:space="preserve"> </w:t>
      </w:r>
      <w:r>
        <w:t xml:space="preserve">,</w:t>
      </w:r>
      <w:r>
        <w:t xml:space="preserve"> </w:t>
      </w:r>
      <w:r>
        <w:t xml:space="preserve"> </w:t>
      </w:r>
      <w:r>
        <w:t xml:space="preserve">P_{m,d} =</w:t>
      </w:r>
      <w:r>
        <w:t xml:space="preserve"> </w:t>
      </w:r>
      <w:r>
        <w:t xml:space="preserve">,</w:t>
      </w:r>
      <w:r>
        <w:t xml:space="preserve"> </w:t>
      </w:r>
      <w:r>
        <w:t xml:space="preserve"> </w:t>
      </w:r>
      <w:r>
        <w:t xml:space="preserve">X_{m,d} =</w:t>
      </w:r>
      <w:r>
        <w:t xml:space="preserve"> </w:t>
      </w:r>
      <w:r>
        <w:t xml:space="preserve">.</w:t>
      </w:r>
      <w:r>
        <w:t xml:space="preserve"> </w:t>
      </w:r>
      <w:r>
        <w:t xml:space="preserve">]</w:t>
      </w:r>
    </w:p>
    <w:p>
      <w:pPr>
        <w:pStyle w:val="BodyText"/>
      </w:pPr>
      <w:r>
        <w:t xml:space="preserve">The explanation export is the set</w:t>
      </w:r>
    </w:p>
    <w:p>
      <w:pPr>
        <w:pStyle w:val="BodyText"/>
      </w:pPr>
      <w:r>
        <w:t xml:space="preserve">[</w:t>
      </w:r>
      <w:r>
        <w:t xml:space="preserve"> </w:t>
      </w:r>
      <w:r>
        <w:t xml:space="preserve">X_{m,d}</w:t>
      </w:r>
      <w:r>
        <w:t xml:space="preserve"> </w:t>
      </w:r>
      <w:r>
        <w:t xml:space="preserve">=</w:t>
      </w:r>
      <w:r>
        <w:t xml:space="preserve"> </w:t>
      </w:r>
      <w:r>
        <w:t xml:space="preserve">{(u,i,p_{u,i}^{m,d}) : u</w:t>
      </w:r>
      <w:r>
        <w:t xml:space="preserve"> </w:t>
      </w:r>
      <w:r>
        <w:rPr>
          <w:i/>
          <w:iCs/>
        </w:rPr>
        <w:t xml:space="preserve">{test}, i</w:t>
      </w:r>
      <w:r>
        <w:rPr>
          <w:i/>
          <w:iCs/>
        </w:rPr>
        <w:t xml:space="preserve"> </w:t>
      </w:r>
      <w:r>
        <w:t xml:space="preserve">{u}^{K,m,d}}.</w:t>
      </w:r>
      <w:r>
        <w:t xml:space="preserve"> </w:t>
      </w:r>
      <w:r>
        <w:t xml:space="preserve">]</w:t>
      </w:r>
    </w:p>
    <w:p>
      <w:pPr>
        <w:pStyle w:val="BodyText"/>
      </w:pPr>
      <w:r>
        <w:t xml:space="preserve">The export contract is a minimum evidence contract. It does not require all models to share the same internal scoring architecture.</w:t>
      </w:r>
    </w:p>
    <w:p>
      <w:pPr>
        <w:pStyle w:val="BodyText"/>
      </w:pPr>
      <w:r>
        <w:t xml:space="preserve">For non-path recommenders or accuracy-reference models,</w:t>
      </w:r>
      <w:r>
        <w:t xml:space="preserve"> </w:t>
      </w:r>
      <w:r>
        <w:rPr>
          <w:rStyle w:val="VerbatimChar"/>
        </w:rPr>
        <w:t xml:space="preserve">uid_topk.csv</w:t>
      </w:r>
      <w:r>
        <w:t xml:space="preserve"> </w:t>
      </w:r>
      <w:r>
        <w:t xml:space="preserve">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pPr>
        <w:pStyle w:val="BodyText"/>
      </w:pPr>
      <w:r>
        <w:t xml:space="preserve">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pPr>
        <w:pStyle w:val="BodyText"/>
      </w:pPr>
      <w:r>
        <w:t xml:space="preserve">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pPr>
        <w:pStyle w:val="BodyText"/>
      </w:pPr>
      <w:r>
        <w:t xml:space="preserve">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bookmarkEnd w:id="38"/>
    <w:bookmarkStart w:id="45" w:name="evaluation-and-validation-pipeline"/>
    <w:p>
      <w:pPr>
        <w:pStyle w:val="Heading2"/>
        <w:keepNext/>
      </w:pPr>
      <w:r>
        <w:t xml:space="preserve">3.4 Evaluation and Validation Pipeline</w:t>
      </w:r>
    </w:p>
    <w:p>
      <w:pPr>
        <w:pStyle w:val="FirstParagraph"/>
        <w:widowControl/>
        <w:jc w:val="both"/>
      </w:pPr>
      <w:r>
        <w:t xml:space="preserve">The pipeline must determine not only how evidence is scored, but whether it is admissible. It therefore computes strict accuracy and explanation metrics from separate evidence sources and applies validation before either stream is interpreted.</w:t>
      </w:r>
    </w:p>
    <w:p>
      <w:pPr>
        <w:pStyle w:val="BodyText"/>
      </w:pPr>
      <w:r>
        <w:t xml:space="preserve">Strict accuracy is computed from canonical labels and the recommendation export. The reported metrics are HR@10, NDCG@10, Precision@10, and Recall@10. Explanation metrics are computed from native paths through the xrecsys path-metric stack documented in</w:t>
      </w:r>
      <w:r>
        <w:t xml:space="preserve"> </w:t>
      </w:r>
      <w:r>
        <w:rPr>
          <w:rStyle w:val="VerbatimChar"/>
        </w:rPr>
        <w:t xml:space="preserve">docs/guides/PATH_METRICS_GUIDE.md</w:t>
      </w:r>
      <w:r>
        <w:t xml:space="preserve">. The dissertation cites XRecSys for the conceptual origin of recency, shared-entity scoring, and explanation-type diversity, while the exact evaluated LIR, SEP, and ETD formulas remain repository-specific</w:t>
      </w:r>
      <w:r>
        <w:t xml:space="preserve"> </w:t>
      </w:r>
      <w:r>
        <w:t xml:space="preserve">(</w:t>
      </w:r>
      <w:hyperlink w:anchor="ref-balloccu2022xrecsys">
        <w:r>
          <w:rPr>
            <w:rStyle w:val="Hyperlink"/>
          </w:rPr>
          <w:t xml:space="preserve">Balloccu et al. 2022a</w:t>
        </w:r>
      </w:hyperlink>
      <w:r>
        <w:t xml:space="preserve">)</w:t>
      </w:r>
      <w:r>
        <w:t xml:space="preserve">.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pPr>
        <w:pStyle w:val="BodyText"/>
      </w:pPr>
      <w:r>
        <w:t xml:space="preserve">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p>
      <w:pPr>
        <w:pStyle w:val="Caption"/>
        <w:keepNext/>
        <w:jc w:val="left"/>
      </w:pPr>
      <w:r>
        <w:rPr>
          <w:b/>
          <w:bCs/>
        </w:rPr>
        <w:t xml:space="preserve">Table 3.4. Validation gates applied before comparative reporting.</w:t>
      </w:r>
      <w:r>
        <w:t xml:space="preserve"> </w:t>
      </w:r>
      <w:r>
        <w:t xml:space="preserve">The table records validation eligibility rather than model performance.</w:t>
      </w:r>
      <w:r>
        <w:fldChar w:fldCharType="begin"/>
      </w:r>
      <w:r>
        <w:rPr>
          <w:vanish/>
        </w:rPr>
        <w:instrText xml:space="preserve"> TC "Table 3.4. Validation gates applied before comparative reporting. The table records validation eligibility rather than model performance." \f T \l 1 </w:instrText>
      </w:r>
      <w:r>
        <w:fldChar w:fldCharType="end"/>
      </w:r>
    </w:p>
    <w:tbl>
      <w:tblPr>
        <w:tblW w:type="dxa" w:w="792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931"/>
        <w:gridCol w:w="2318"/>
        <w:gridCol w:w="2671"/>
      </w:tblGrid>
      <w:tr>
        <w:trPr>
          <w:tblHeader w:val="true"/>
          <w:cantSplit/>
        </w:trPr>
        <w:tc>
          <w:tcPr>
            <w:tcW w:type="dxa" w:w="2931"/>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8"/>
              </w:rPr>
              <w:t>Validation gate</w:t>
            </w:r>
          </w:p>
        </w:tc>
        <w:tc>
          <w:tcPr>
            <w:tcW w:type="dxa" w:w="231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8"/>
              </w:rPr>
              <w:t>Check</w:t>
            </w:r>
          </w:p>
        </w:tc>
        <w:tc>
          <w:tcPr>
            <w:tcW w:type="dxa" w:w="2671"/>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8"/>
              </w:rPr>
              <w:t>Failure interpretation</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Coverage</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Canonical test-user and top-k coverage are complete.</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BLOCKED or PARTIAL evidence; not low recommendation performance.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Duplicates</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Each top-k list contains unique recommended items.</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Export-contract failure.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Seen-item leakage</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Recommended items do not leak from the registered seen set.</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Evaluation-integrity failure.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Canonical identifiers</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Exported uid and pid values are consistent with canonical mappings.</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Identifier-alignment failure.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Path endpoints</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Each native path begins at the canonical user and terminates at the reported item.</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Path-fidelity failure.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Recommendation-explanation alignment</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Top-k and explanation rows refer to the same user-item pairs.</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Artifact-alignment failure.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Candidate consistency</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Selected explanations are consistent with the registered candidate paths.</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Candidate-contract failure.</w:t>
            </w:r>
          </w:p>
        </w:tc>
      </w:tr>
      <w:tr>
        <w:tc>
          <w:tcPr>
            <w:tcW w:type="dxa" w:w="293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Score sanity</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Registered scores fall within their expected ranges.</w:t>
            </w:r>
          </w:p>
        </w:tc>
        <w:tc>
          <w:tcPr>
            <w:tcW w:type="dxa" w:w="267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8"/>
              </w:rPr>
              <w:t>Metric or export validation failure.</w:t>
            </w:r>
          </w:p>
        </w:tc>
      </w:tr>
    </w:tbl>
    <w:p>
      <w:pPr>
        <w:pStyle w:val="BodyText"/>
      </w:pPr>
      <w:r>
        <w:t xml:space="preserve">These checks are represented by the binary validation gate</w:t>
      </w:r>
    </w:p>
    <w:p>
      <w:pPr>
        <w:pStyle w:val="BodyText"/>
      </w:pPr>
      <w:r>
        <w:t xml:space="preserve">[</w:t>
      </w:r>
      <w:r>
        <w:t xml:space="preserve"> </w:t>
      </w:r>
      <w:r>
        <w:t xml:space="preserve">V_{m,d}</w:t>
      </w:r>
      <w:r>
        <w:t xml:space="preserve"> </w:t>
      </w:r>
      <w:r>
        <w:t xml:space="preserve">=</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{0,1}.</w:t>
      </w:r>
      <w:r>
        <w:t xml:space="preserve"> </w:t>
      </w:r>
      <w:r>
        <w:t xml:space="preserve">]</w:t>
      </w:r>
    </w:p>
    <w:p>
      <w:pPr>
        <w:pStyle w:val="BodyText"/>
      </w:pPr>
      <w:r>
        <w:t xml:space="preserve">Only rows with (V_{m,d}=1) are eligible for main result reporting. Rows that fail or remain incomplete are treated as boundary evidence rather than performance evidence. This gate admits the twelve complete LastFM and ML-1M rows to the main comparison while retaining the incomplete Amazon-Book KGAT rows as a partial boundary case.</w:t>
      </w:r>
    </w:p>
    <w:p>
      <w:pPr>
        <w:pStyle w:val="BodyText"/>
      </w:pPr>
      <w:r>
        <w:t xml:space="preserve">The validation-gate flowchart expands these checks as a reportability decision sequence. Its PASS and BLOCKED or PARTIAL terminals describe evidence eligibility and do not represent recommendation-performance levels.</w:t>
      </w:r>
    </w:p>
    <w:p>
      <w:pPr>
        <w:pStyle w:val="BodyText"/>
      </w:pPr>
      <w:r>
        <w:t xml:space="preserve">Let (R_u^+) denote the relevant canonical test items for user (u). The strict ranking metrics are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(u)</w:t>
      </w:r>
      <w:r>
        <w:t xml:space="preserve"> </w:t>
      </w:r>
      <w:r>
        <w:t xml:space="preserve">=</w:t>
      </w:r>
      <w:r>
        <w:t xml:space="preserve"> </w:t>
      </w:r>
      <w:r>
        <w:t xml:space="preserve">_{j=1}^{K}</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Here, (</w:t>
      </w:r>
      <w:r>
        <w:t xml:space="preserve">(u)) uses (</w:t>
      </w:r>
      <w:r>
        <w:t xml:space="preserve">(K,</w:t>
      </w:r>
      <w:r>
        <w:t xml:space="preserve">R_u^+</w:t>
      </w:r>
      <w:r>
        <w:t xml:space="preserve"> </w:t>
      </w:r>
      <w:r>
        <w:t xml:space="preserve">)) relevant gains, as required by the canonical evaluator. Short native-path lists preserve missing positions as non-hits rather than introducing non-path padding. These are strict accuracy metrics. They are reported separately from alpha-sweep paired ranking metrics.</w:t>
      </w:r>
    </w:p>
    <w:p>
      <w:pPr>
        <w:pStyle w:val="BodyText"/>
      </w:pPr>
      <w:r>
        <w:t xml:space="preserve">For explanation scoring, the repository-specific path anchors are</w:t>
      </w:r>
    </w:p>
    <w:p>
      <w:pPr>
        <w:pStyle w:val="BodyText"/>
      </w:pPr>
      <w:r>
        <w:t xml:space="preserve">[</w:t>
      </w:r>
      <w:r>
        <w:t xml:space="preserve"> </w:t>
      </w:r>
      <w:r>
        <w:t xml:space="preserve">a(p_{u,i}) = e_1,</w:t>
      </w:r>
      <w:r>
        <w:t xml:space="preserve"> </w:t>
      </w:r>
      <w:r>
        <w:t xml:space="preserve"> </w:t>
      </w:r>
      <w:r>
        <w:t xml:space="preserve">b(p_{u,i}) = e_{L-1},</w:t>
      </w:r>
      <w:r>
        <w:t xml:space="preserve"> </w:t>
      </w:r>
      <w:r>
        <w:t xml:space="preserve"> </w:t>
      </w:r>
      <w:r>
        <w:t xml:space="preserve">(p_{u,i}) = r_L.</w:t>
      </w:r>
      <w:r>
        <w:t xml:space="preserve"> </w:t>
      </w:r>
      <w:r>
        <w:t xml:space="preserve">]</w:t>
      </w:r>
    </w:p>
    <w:p>
      <w:pPr>
        <w:pStyle w:val="BodyText"/>
      </w:pPr>
      <w:r>
        <w:t xml:space="preserve">The function (a(p_{u,i})) denotes the linked historical seed item, (b(p_{u,i})) denotes the bridge entity, and (</w:t>
      </w:r>
      <w:r>
        <w:t xml:space="preserve">(p_{u,i})) denotes the path type used for diversity. The metric-anchor schematic maps these three path positions to LIR, SEP, and ETD. It is a definition aid and preserves the repository-specific boundary of each metric. The corresponding path-level definitions are</w:t>
      </w:r>
    </w:p>
    <w:p>
      <w:pPr>
        <w:pStyle w:val="BodyText"/>
      </w:pPr>
      <w:r>
        <w:t xml:space="preserve">[</w:t>
      </w:r>
      <w:r>
        <w:t xml:space="preserve"> </w:t>
      </w:r>
      <w:r>
        <w:t xml:space="preserve">(p_{u,i})</w:t>
      </w:r>
      <w:r>
        <w:t xml:space="preserve"> </w:t>
      </w:r>
      <w:r>
        <w:t xml:space="preserve">=</w:t>
      </w:r>
      <w:r>
        <w:t xml:space="preserve"> </w:t>
      </w:r>
      <w:r>
        <w:rPr>
          <w:i/>
          <w:iCs/>
        </w:rPr>
        <w:t xml:space="preserve">u(a(p</w:t>
      </w:r>
      <w:r>
        <w:t xml:space="preserve">{u,i})),</w:t>
      </w:r>
      <w:r>
        <w:t xml:space="preserve"> </w:t>
      </w:r>
      <w:r>
        <w:t xml:space="preserve"> </w:t>
      </w:r>
      <w:r>
        <w:t xml:space="preserve">_u(</w:t>
      </w:r>
      <w:r>
        <w:t xml:space="preserve">)</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(p_{u,i})</w:t>
      </w:r>
      <w:r>
        <w:t xml:space="preserve"> </w:t>
      </w:r>
      <w:r>
        <w:t xml:space="preserve">=</w:t>
      </w:r>
      <w:r>
        <w:t xml:space="preserve"> </w:t>
      </w:r>
      <w:r>
        <w:rPr>
          <w:i/>
          <w:iCs/>
        </w:rPr>
        <w:t xml:space="preserve">d(b(p</w:t>
      </w:r>
      <w:r>
        <w:t xml:space="preserve">{u,i})),</w:t>
      </w:r>
      <w:r>
        <w:t xml:space="preserve"> </w:t>
      </w:r>
      <w:r>
        <w:t xml:space="preserve"> </w:t>
      </w:r>
      <w:r>
        <w:t xml:space="preserve">_d(</w:t>
      </w:r>
      <w:r>
        <w:t xml:space="preserve">)</w:t>
      </w:r>
      <w:r>
        <w:t xml:space="preserve"> </w:t>
      </w:r>
      <w:r>
        <w:t xml:space="preserve">.</w:t>
      </w:r>
      <w:r>
        <w:t xml:space="preserve"> </w:t>
      </w:r>
      <w:r>
        <w:t xml:space="preserve">]</w:t>
      </w:r>
    </w:p>
    <w:p>
      <w:pPr>
        <w:pStyle w:val="BodyText"/>
      </w:pPr>
      <w:r>
        <w:t xml:space="preserve">In the repository implementation, (a(p_{u,i})) is the seed item at the path position used by the path-metric guide, and (</w:t>
      </w:r>
      <w:r>
        <w:t xml:space="preserve">_u) is derived from the user’s training interaction timestamps. The exact implementation is repository-specific. (</w:t>
      </w:r>
      <w:r>
        <w:t xml:space="preserve">_d) 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pPr>
        <w:pStyle w:val="BodyText"/>
      </w:pPr>
      <w:r>
        <w:t xml:space="preserve">ETD is defined at user level as</w:t>
      </w:r>
    </w:p>
    <w:p>
      <w:pPr>
        <w:pStyle w:val="BodyText"/>
      </w:pPr>
      <w:r>
        <w:t xml:space="preserve">[</w:t>
      </w:r>
      <w:r>
        <w:t xml:space="preserve"> </w:t>
      </w:r>
      <w:r>
        <w:t xml:space="preserve">(u)</w:t>
      </w:r>
      <w:r>
        <w:t xml:space="preserve"> </w:t>
      </w:r>
      <w:r>
        <w:t xml:space="preserve">=</w:t>
      </w:r>
      <w:r>
        <w:t xml:space="preserve"> </w:t>
      </w:r>
      <w:r>
        <w:t xml:space="preserve">,</w:t>
      </w:r>
      <w:r>
        <w:t xml:space="preserve"> </w:t>
      </w:r>
      <w:r>
        <w:t xml:space="preserve">]</w:t>
      </w:r>
    </w:p>
    <w:p>
      <w:pPr>
        <w:pStyle w:val="BodyText"/>
      </w:pPr>
      <w:r>
        <w:t xml:space="preserve">where (</w:t>
      </w:r>
      <w:r>
        <w:t xml:space="preserve">_d) denotes the legal path-type set for dataset (d). ETD is user-level path-type diversity over the top-(K) explanation set.</w:t>
      </w:r>
    </w:p>
    <w:p>
      <w:pPr>
        <w:pStyle w:val="BodyText"/>
      </w:pPr>
      <w:r>
        <w:t xml:space="preserve">For (q</w:t>
      </w:r>
      <w:r>
        <w:t xml:space="preserve"> </w:t>
      </w:r>
      <w:r>
        <w:t xml:space="preserve">{</w:t>
      </w:r>
      <w:r>
        <w:t xml:space="preserve">,</w:t>
      </w:r>
      <w:r>
        <w:t xml:space="preserve">}), user- and dataset-level aggregation are</w:t>
      </w:r>
    </w:p>
    <w:p>
      <w:pPr>
        <w:pStyle w:val="BodyText"/>
      </w:pPr>
      <w:r>
        <w:t xml:space="preserve">[</w:t>
      </w:r>
      <w:r>
        <w:t xml:space="preserve"> </w:t>
      </w:r>
      <w:r>
        <w:t xml:space="preserve">Q_{u,m,d}^{q}</w:t>
      </w:r>
      <w:r>
        <w:t xml:space="preserve"> </w:t>
      </w:r>
      <w:r>
        <w:t xml:space="preserve">=</w:t>
      </w:r>
      <w:r>
        <w:t xml:space="preserve"> </w:t>
      </w:r>
      <w:r>
        <w:t xml:space="preserve"> </w:t>
      </w:r>
      <w:r>
        <w:rPr>
          <w:i/>
          <w:iCs/>
        </w:rPr>
        <w:t xml:space="preserve">{i</w:t>
      </w:r>
      <w:r>
        <w:rPr>
          <w:i/>
          <w:iCs/>
        </w:rPr>
        <w:t xml:space="preserve"> </w:t>
      </w:r>
      <w:r>
        <w:t xml:space="preserve">{u}^{K,m,d}}</w:t>
      </w:r>
      <w:r>
        <w:t xml:space="preserve"> </w:t>
      </w:r>
      <w:r>
        <w:t xml:space="preserve">q(p_{u,i}^{m,d})</w:t>
      </w:r>
      <w:r>
        <w:t xml:space="preserve"> </w:t>
      </w:r>
      <w:r>
        <w:t xml:space="preserve">]</w:t>
      </w:r>
    </w:p>
    <w:p>
      <w:pPr>
        <w:pStyle w:val="BodyText"/>
      </w:pPr>
      <w:r>
        <w:t xml:space="preserve">and</w:t>
      </w:r>
    </w:p>
    <w:p>
      <w:pPr>
        <w:pStyle w:val="BodyText"/>
      </w:pPr>
      <w:r>
        <w:t xml:space="preserve">[</w:t>
      </w:r>
      <w:r>
        <w:t xml:space="preserve"> </w:t>
      </w:r>
      <w:r>
        <w:t xml:space="preserve">Q_{m,d}^{q}</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Q_{u,m,d}^{q}.</w:t>
      </w:r>
      <w:r>
        <w:t xml:space="preserve"> </w:t>
      </w:r>
      <w:r>
        <w:t xml:space="preserve">]</w:t>
      </w:r>
    </w:p>
    <w:p>
      <w:pPr>
        <w:pStyle w:val="BodyText"/>
      </w:pPr>
      <w:r>
        <w:t xml:space="preserve">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pPr>
        <w:pStyle w:val="BodyText"/>
      </w:pPr>
      <w:r>
        <w:t xml:space="preserve">The pipeline also separates strict accuracy from alpha-sweep trade-off evidence. The strict values used in this draft are currently traceable to</w:t>
      </w:r>
      <w:r>
        <w:t xml:space="preserve"> </w:t>
      </w:r>
      <w:r>
        <w:rPr>
          <w:rStyle w:val="VerbatimChar"/>
        </w:rPr>
        <w:t xml:space="preserve">reports/tables/canonical_native_path_status_matrix.csv</w:t>
      </w:r>
      <w:r>
        <w:t xml:space="preserve"> </w:t>
      </w:r>
      <w:r>
        <w:t xml:space="preserve">and the exactly matching</w:t>
      </w:r>
      <w:r>
        <w:t xml:space="preserve"> </w:t>
      </w:r>
      <w:r>
        <w:rPr>
          <w:rStyle w:val="VerbatimChar"/>
        </w:rPr>
        <w:t xml:space="preserve">thesis_analysis_pack/final_accuracy_summary_table.md</w:t>
      </w:r>
      <w:r>
        <w:t xml:space="preserve">.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pPr>
        <w:pStyle w:val="BodyText"/>
      </w:pPr>
      <w:r>
        <w:t xml:space="preserve">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xmlns:a="http://schemas.openxmlformats.org/drawingml/2006/main" xmlns:pic="http://schemas.openxmlformats.org/drawingml/2006/picture">
      <w:pPr>
        <w:pStyle w:val="BodyText"/>
        <w:keepNext/>
        <w:spacing w:before="160" w:after="80"/>
        <w:jc w:val="center"/>
      </w:pPr>
      <w:r>
        <w:drawing>
          <wp:inline>
            <wp:extent cx="4699000" cy="2384742"/>
            <wp:effectExtent b="0" l="0" r="0" t="0"/>
            <wp:docPr descr="Figure 3.2 alpha-sweep design" title="" id="40" name="Picture"/>
            <a:graphic>
              <a:graphicData uri="http://schemas.openxmlformats.org/drawingml/2006/picture">
                <pic:pic>
                  <pic:nvPicPr>
                    <pic:cNvPr descr="paper/current_dissertation/figures/png/figure_3_2_alpha_sweep_design_final.png" id="41" name="Picture"/>
                    <pic:cNvPicPr>
                      <a:picLocks noChangeArrowheads="1" noChangeAspect="1"/>
                    </pic:cNvPicPr>
                  </pic:nvPicPr>
                  <pic:blipFill>
                    <a:blip r:embed="rId14"/>
                    <a:stretch>
                      <a:fillRect/>
                    </a:stretch>
                  </pic:blipFill>
                  <pic:spPr bwMode="auto">
                    <a:xfrm>
                      <a:off x="0" y="0"/>
                      <a:ext cx="4699000" cy="2384742"/>
                    </a:xfrm>
                    <a:prstGeom prst="rect">
                      <a:avLst/>
                    </a:prstGeom>
                    <a:noFill/>
                    <a:ln w="9525">
                      <a:noFill/>
                      <a:headEnd/>
                      <a:tailEnd/>
                    </a:ln>
                  </pic:spPr>
                </pic:pic>
              </a:graphicData>
            </a:graphic>
          </wp:inline>
        </w:drawing>
      </w:r>
    </w:p>
    <w:p>
      <w:pPr>
        <w:pStyle w:val="Caption"/>
        <w:jc w:val="center"/>
      </w:pPr>
      <w:r>
        <w:rPr>
          <w:b/>
          <w:bCs/>
        </w:rPr>
        <w:t xml:space="preserve">Figure 3.2.</w:t>
      </w:r>
      <w:r>
        <w:t xml:space="preserve"> </w:t>
      </w:r>
      <w:r>
        <w:t xml:space="preserve">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r>
        <w:fldChar w:fldCharType="begin"/>
      </w:r>
      <w:r>
        <w:rPr>
          <w:vanish/>
        </w:rPr>
        <w:instrText xml:space="preserve"> TC "Figure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 \f F \l 1 </w:instrText>
      </w:r>
      <w:r>
        <w:fldChar w:fldCharType="end"/>
      </w:r>
    </w:p>
    <w:p xmlns:a="http://schemas.openxmlformats.org/drawingml/2006/main" xmlns:pic="http://schemas.openxmlformats.org/drawingml/2006/picture">
      <w:pPr>
        <w:pStyle w:val="BodyText"/>
        <w:keepNext/>
        <w:spacing w:before="160" w:after="80"/>
        <w:jc w:val="center"/>
      </w:pPr>
      <w:r>
        <w:drawing>
          <wp:inline>
            <wp:extent cx="4699000" cy="3308389"/>
            <wp:effectExtent b="0" l="0" r="0" t="0"/>
            <wp:docPr descr="Figure 3.3 validation gate" title="" id="43" name="Picture"/>
            <a:graphic>
              <a:graphicData uri="http://schemas.openxmlformats.org/drawingml/2006/picture">
                <pic:pic>
                  <pic:nvPicPr>
                    <pic:cNvPr descr="paper/current_dissertation/figures/png/figure_3_3_validation_gate_flow_final.png" id="44" name="Picture"/>
                    <pic:cNvPicPr>
                      <a:picLocks noChangeArrowheads="1" noChangeAspect="1"/>
                    </pic:cNvPicPr>
                  </pic:nvPicPr>
                  <pic:blipFill>
                    <a:blip r:embed="rId15"/>
                    <a:stretch>
                      <a:fillRect/>
                    </a:stretch>
                  </pic:blipFill>
                  <pic:spPr bwMode="auto">
                    <a:xfrm>
                      <a:off x="0" y="0"/>
                      <a:ext cx="4699000" cy="3308389"/>
                    </a:xfrm>
                    <a:prstGeom prst="rect">
                      <a:avLst/>
                    </a:prstGeom>
                    <a:noFill/>
                    <a:ln w="9525">
                      <a:noFill/>
                      <a:headEnd/>
                      <a:tailEnd/>
                    </a:ln>
                  </pic:spPr>
                </pic:pic>
              </a:graphicData>
            </a:graphic>
          </wp:inline>
        </w:drawing>
      </w:r>
    </w:p>
    <w:p>
      <w:pPr>
        <w:pStyle w:val="Caption"/>
        <w:jc w:val="center"/>
      </w:pPr>
      <w:r>
        <w:rPr>
          <w:b/>
          <w:bCs/>
        </w:rPr>
        <w:t xml:space="preserve">Figure 3.3.</w:t>
      </w:r>
      <w:r>
        <w:t xml:space="preserve"> </w:t>
      </w:r>
      <w:r>
        <w:t xml:space="preserve">Validation gate for a model-dataset export package. This flowchart shows validation eligibility, not recommendation performance. BLOCKED or PARTIAL status must not be interpreted as a low-performing model result.</w:t>
      </w:r>
      <w:r>
        <w:fldChar w:fldCharType="begin"/>
      </w:r>
      <w:r>
        <w:rPr>
          <w:vanish/>
        </w:rPr>
        <w:instrText xml:space="preserve"> TC "Figure 3.3. Validation gate for a model-dataset export package. This flowchart shows validation eligibility, not recommendation performance. BLOCKED or PARTIAL status must not be interpreted as a low-performing model result." \f F \l 1 </w:instrText>
      </w:r>
      <w:r>
        <w:fldChar w:fldCharType="end"/>
      </w:r>
    </w:p>
    <w:bookmarkEnd w:id="45"/>
    <w:bookmarkStart w:id="46" w:name="framework-verification-results"/>
    <w:p>
      <w:pPr>
        <w:pStyle w:val="Heading2"/>
        <w:keepNext/>
      </w:pPr>
      <w:r>
        <w:t xml:space="preserve">3.5 Framework Verification Results</w:t>
      </w:r>
    </w:p>
    <w:p>
      <w:pPr>
        <w:pStyle w:val="FirstParagraph"/>
        <w:widowControl/>
        <w:jc w:val="both"/>
      </w:pPr>
      <w:r>
        <w:t xml:space="preserve">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pPr>
        <w:pStyle w:val="BodyText"/>
      </w:pPr>
      <w:r>
        <w:t xml:space="preserve">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pPr>
        <w:pStyle w:val="BodyText"/>
      </w:pPr>
      <w:r>
        <w:t xml:space="preserve">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pPr>
        <w:pStyle w:val="BodyText"/>
      </w:pPr>
      <w:r>
        <w:t xml:space="preserve">Representative endpoints additionally verify that the trade-off pipeline operates on the two complete datasets. LastFM PGPR LIR moves from 0.0062 at alpha=0 to 0.0219 at alpha=1, while ML-1M PGPR LIR moves from 0.4655 to 0.9627. At this stage, these values confirm computation and export continuity. Their interpretation as model behaviour belongs to Chapters 4 and 5.</w:t>
      </w:r>
    </w:p>
    <w:bookmarkEnd w:id="46"/>
    <w:bookmarkStart w:id="47" w:name="trade-off-and-ablation-experiment-setup"/>
    <w:p>
      <w:pPr>
        <w:pStyle w:val="Heading2"/>
        <w:keepNext/>
      </w:pPr>
      <w:r>
        <w:t xml:space="preserve">3.6 Trade-off and Ablation Experiment Setup</w:t>
      </w:r>
    </w:p>
    <w:p>
      <w:pPr>
        <w:pStyle w:val="FirstParagraph"/>
        <w:widowControl/>
        <w:jc w:val="both"/>
      </w:pPr>
      <w:r>
        <w:t xml:space="preserve">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pPr>
        <w:pStyle w:val="BodyText"/>
      </w:pPr>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available; parameters not accessible in the current evidence package are not reconstructed or inferred.</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3.5. Experiment configuration and provenance boundary.</w:t>
      </w:r>
      <w:r>
        <w:fldChar w:fldCharType="begin"/>
      </w:r>
      <w:r>
        <w:rPr>
          <w:vanish/>
        </w:rPr>
        <w:instrText xml:space="preserve"> TC "Table 3.5. Experiment configuration and provenance boundary."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548"/>
        <w:gridCol w:w="2780"/>
        <w:gridCol w:w="4403"/>
        <w:gridCol w:w="3229"/>
      </w:tblGrid>
      <w:tr>
        <w:trPr>
          <w:tblHeader w:val="true"/>
          <w:cantSplit/>
        </w:trPr>
        <w:tc>
          <w:tcPr>
            <w:tcW w:type="dxa" w:w="254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Configuration item</w:t>
            </w:r>
          </w:p>
        </w:tc>
        <w:tc>
          <w:tcPr>
            <w:tcW w:type="dxa" w:w="278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Setting / provenance</w:t>
            </w:r>
          </w:p>
        </w:tc>
        <w:tc>
          <w:tcPr>
            <w:tcW w:type="dxa" w:w="4403"/>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Evidence source</w:t>
            </w:r>
          </w:p>
        </w:tc>
        <w:tc>
          <w:tcPr>
            <w:tcW w:type="dxa" w:w="322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Interpretation boundary</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Main datasets and models</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LastFM and ML-1M; six validated native-path models on each dataset</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Export validation manifest and canonical status matrix</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Amazon-Book KGAT is a partial boundary case, not a third complete main experiment.</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Model-native training and inference</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Heterogeneous model-specific pipelines; directly available settings are recorded in the evidence provenance record</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Model pipeline scripts, implementation log, and export registry</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The framework does not impose or imply one shared hyperparameter space.</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Canonical recommendation cut-off</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Top-k 10</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scripts/validation/validate_xrecsys_export.py; scripts/validation/evaluate_uid_topk.py</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Short native-path lists may remain short; non-path recommendations are not used for padding.</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Strict ranking evaluation</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HR@10, NDCG@10, Precision@10, and Recall@10</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Canonical status matrix and final accuracy summary</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The twelve expected primary row-level accuracy JSON files are unavailable.</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Explanation objectives</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Separate LIR-, SEP-, and ETD-oriented sweeps</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scripts/hopwise/run_canonical_xrecsys_protocol.sh</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The exact metric implementation and data assumptions remain repository-specific.</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Alpha grid</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0.00 to 1.00 inclusive at 0.05 intervals, yielding 21 points</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scripts/validation/validate_xrecsys_sweeps.py</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Paired sweep ranking metrics are not substitutes for strict accuracy.</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Validation gate</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Exact canonical test-user coverage, unique top-k items, leakage checks, endpoint checks, candidate consistency, and explanation alignment</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Export validator and per-row validation summaries</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PASS establishes conformity with the registered contract rather than universal correctness.</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Random seeds and exact checkpoint identities</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Not available in the current evidence package for the complete six-model set</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Evidence provenance record</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Missing values are not inferred from framework or library defaults.</w:t>
            </w:r>
          </w:p>
        </w:tc>
      </w:tr>
      <w:tr>
        <w:tc>
          <w:tcPr>
            <w:tcW w:type="dxa" w:w="254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PGPR/UCPR ablation</w:t>
            </w:r>
          </w:p>
        </w:tc>
        <w:tc>
          <w:tcPr>
            <w:tcW w:type="dxa" w:w="278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Frozen original top-k item set with exact alpha=0 preservation and a declared NDCG-retention analysis</w:t>
            </w:r>
          </w:p>
        </w:tc>
        <w:tc>
          <w:tcPr>
            <w:tcW w:type="dxa" w:w="440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reports/tables/ablation/pgpr_ucpr_path_module/</w:t>
            </w:r>
          </w:p>
        </w:tc>
        <w:tc>
          <w:tcPr>
            <w:tcW w:type="dxa" w:w="32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Separate from both the six-model sweep and strict final accuracy.</w:t>
            </w:r>
          </w:p>
        </w:tc>
      </w:tr>
    </w:tbl>
    <w:p>
      <w:pPr>
        <w:sectPr>
          <w:pgSz w:w="15840" w:h="12240" w:orient="landscape"/>
          <w:pgMar w:top="1080" w:right="1080" w:bottom="1080" w:left="1080" w:header="720" w:footer="720" w:gutter="0"/>
          <w:cols w:space="720"/>
          <w:docGrid w:linePitch="360"/>
        </w:sectPr>
      </w:pPr>
    </w:p>
    <w:p>
      <w:pPr>
        <w:pStyle w:val="BodyText"/>
      </w:pPr>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three is treated as a complete explanation-quality score. The paired ranking metrics generated inside these sweeps remain separate from the strict-accuracy evidence stream.</w:t>
      </w:r>
    </w:p>
    <w:p>
      <w:pPr>
        <w:pStyle w:val="BodyText"/>
      </w:pPr>
      <w:r>
        <w:t xml:space="preserve">The sweep output for objective (q) is represented abstractly as</w:t>
      </w:r>
    </w:p>
    <w:p>
      <w:pPr>
        <w:pStyle w:val="BodyText"/>
      </w:pPr>
      <w:r>
        <w:t xml:space="preserve">[</w:t>
      </w:r>
      <w:r>
        <w:t xml:space="preserve"> </w:t>
      </w:r>
      <w:r>
        <w:rPr>
          <w:i/>
          <w:iCs/>
        </w:rPr>
        <w:t xml:space="preserve">{u,</w:t>
      </w:r>
      <w:r>
        <w:rPr>
          <w:i/>
          <w:iCs/>
        </w:rPr>
        <w:t xml:space="preserve">}^{K,m,d,q}</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S</w:t>
      </w:r>
      <w:r>
        <w:t xml:space="preserve">{</w:t>
      </w:r>
      <w:r>
        <w:t xml:space="preserve">}^{m,d,q}(u,i,p)</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w:t>
      </w:r>
      <w:r>
        <w:t xml:space="preserve"> </w:t>
      </w:r>
      <w:r>
        <w:t xml:space="preserve"> </w:t>
      </w:r>
      <w:r>
        <w:t xml:space="preserve">q</w:t>
      </w:r>
      <w:r>
        <w:t xml:space="preserve"> </w:t>
      </w:r>
      <w:r>
        <w:t xml:space="preserve">{</w:t>
      </w:r>
      <w:r>
        <w:t xml:space="preserve">,</w:t>
      </w:r>
      <w:r>
        <w:t xml:space="preserve"> </w:t>
      </w:r>
      <w:r>
        <w:t xml:space="preserve">,</w:t>
      </w:r>
      <w:r>
        <w:t xml:space="preserve"> </w:t>
      </w:r>
      <w:r>
        <w:t xml:space="preserve">}.</w:t>
      </w:r>
      <w:r>
        <w:t xml:space="preserve"> </w:t>
      </w:r>
      <w:r>
        <w:t xml:space="preserve">]</w:t>
      </w:r>
    </w:p>
    <w:p>
      <w:pPr>
        <w:pStyle w:val="BodyText"/>
      </w:pPr>
      <w:r>
        <w:t xml:space="preserve">(S_{</w:t>
      </w:r>
      <w:r>
        <w:t xml:space="preserve">}^{m,d,q}) denotes the sweep scoring function used to generate a top-(K) list under explanation objective (q). Unless a linear score-combination rule is directly verified from implementation files, this dissertation treats (S_{</w:t>
      </w:r>
      <w:r>
        <w:t xml:space="preserve">}^{m,d,q}) 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pPr>
        <w:pStyle w:val="BodyText"/>
      </w:pPr>
      <w:r>
        <w:t xml:space="preserve">The evidence streams used by the later chapters are separated as follows.</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3.6. Evidence streams, configuration provenance, and interpretation boundaries.</w:t>
      </w:r>
      <w:r>
        <w:fldChar w:fldCharType="begin"/>
      </w:r>
      <w:r>
        <w:rPr>
          <w:vanish/>
        </w:rPr>
        <w:instrText xml:space="preserve"> TC "Table 3.6. Evidence streams, configuration provenance, and interpretation boundaries."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159"/>
        <w:gridCol w:w="3466"/>
        <w:gridCol w:w="2533"/>
        <w:gridCol w:w="2492"/>
        <w:gridCol w:w="2310"/>
      </w:tblGrid>
      <w:tr>
        <w:trPr>
          <w:tblHeader w:val="true"/>
          <w:cantSplit/>
        </w:trPr>
        <w:tc>
          <w:tcPr>
            <w:tcW w:type="dxa" w:w="215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Evidence category</w:t>
            </w:r>
          </w:p>
        </w:tc>
        <w:tc>
          <w:tcPr>
            <w:tcW w:type="dxa" w:w="346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Current source</w:t>
            </w:r>
          </w:p>
        </w:tc>
        <w:tc>
          <w:tcPr>
            <w:tcW w:type="dxa" w:w="2533"/>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Used for</w:t>
            </w:r>
          </w:p>
        </w:tc>
        <w:tc>
          <w:tcPr>
            <w:tcW w:type="dxa" w:w="249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Current status</w:t>
            </w:r>
          </w:p>
        </w:tc>
        <w:tc>
          <w:tcPr>
            <w:tcW w:type="dxa" w:w="231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Must not be used for</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Strict accuracy</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reports/tables/canonical_native_path_status_matrix.csv; thesis_analysis_pack/final_accuracy_summary_table.md</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Main LastFM and ML-1M HR@10, NDCG@10, Precision@10, and Recall@10 comparison</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two accessible summaries match exactly; 0/12 expected primary row-level JSON artifacts are accessible.</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Claiming that primary JSON files were inspected; replacing alpha-sweep trajectories</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Explanation endpoints</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thesis_analysis_pack/final_explanation_summary_table.md; registered trade-off CSVs</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LIR, SEP, and ETD endpoint response</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Available for the complete LastFM and ML-1M six-model scope</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Strict accuracy reporting; user-perceived explanation quality</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Alpha-sweep curves</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Canonical LastFM and ML-1M trade-off CSV and figure bundles</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Paired ranking and explanation-property response over the registered alpha grid</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Available as three objective-specific 21-point sweeps</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Strict model ranking; causal mechanism; statistical inference</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PGPR/UCPR ablation</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reports/tables/ablation/pgpr_ucpr_path_module/; reports/figures/ablation/pgpr_ucpr_path_module/</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Alpha-zero preservation and bounded controllability under the 95% NDCG-retention protocol</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Stronger registered evidence within the frozen-item-set ablation scope</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Six-model superiority; mechanism claims for CAFE, TPRec, KGGLM, or PEARLM</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Amazon readiness and validation</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Canonical status matrix; reports/tables/amazon_classic_port_readiness.json</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Boundary-case and reportability analysis</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Three PASS and three BLOCKED / N/A rows; no approved explanation sweeps</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Complete third-dataset comparison; ranking blocked rows</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Model-native configuration</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Batch 1 EXPERIMENT_CONFIGURATION_PROVENANCE.md; accessible scripts and implementation log</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Document settings that can be directly inspected</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Model-native hyperparameters are incomplete and cannot be frozen as one complete configuration set.</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Inferring absent values from defaults or transferring settings across datasets</w:t>
            </w:r>
          </w:p>
        </w:tc>
      </w:tr>
      <w:tr>
        <w:tc>
          <w:tcPr>
            <w:tcW w:type="dxa" w:w="21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Reproducibility identifiers</w:t>
            </w:r>
          </w:p>
        </w:tc>
        <w:tc>
          <w:tcPr>
            <w:tcW w:type="dxa" w:w="34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Accessible export registry and artifact manifest</w:t>
            </w:r>
          </w:p>
        </w:tc>
        <w:tc>
          <w:tcPr>
            <w:tcW w:type="dxa" w:w="25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Register known output identities and accessible hashes</w:t>
            </w:r>
          </w:p>
        </w:tc>
        <w:tc>
          <w:tcPr>
            <w:tcW w:type="dxa" w:w="249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Exact checkpoint paths and hashes, seeds, and several model-native settings require manual verification.</w:t>
            </w:r>
          </w:p>
        </w:tc>
        <w:tc>
          <w:tcPr>
            <w:tcW w:type="dxa" w:w="23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Claiming complete run-level reproducibility</w:t>
            </w:r>
          </w:p>
        </w:tc>
      </w:tr>
    </w:tbl>
    <w:p>
      <w:pPr>
        <w:sectPr>
          <w:pgSz w:w="15840" w:h="12240" w:orient="landscape"/>
          <w:pgMar w:top="1080" w:right="1080" w:bottom="1080" w:left="1080" w:header="720" w:footer="720" w:gutter="0"/>
          <w:cols w:space="720"/>
          <w:docGrid w:linePitch="360"/>
        </w:sectPr>
      </w:pPr>
    </w:p>
    <w:p>
      <w:pPr>
        <w:pStyle w:val="BodyText"/>
      </w:pPr>
      <w:r>
        <w:t xml:space="preserve">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pPr>
        <w:pStyle w:val="BodyText"/>
      </w:pPr>
      <w:r>
        <w:t xml:space="preserve">The configuration and provenance boundary is summarised below. The detailed model-by-dataset audit is retained in</w:t>
      </w:r>
      <w:r>
        <w:t xml:space="preserve"> </w:t>
      </w:r>
      <w:r>
        <w:rPr>
          <w:rStyle w:val="VerbatimChar"/>
        </w:rPr>
        <w:t xml:space="preserve">EXPERIMENT_CONFIGURATION_PROVENANCE.md</w:t>
      </w:r>
      <w:r>
        <w:t xml:space="preserve"> </w:t>
      </w:r>
      <w:r>
        <w:t xml:space="preserve">for later appendix use.</w:t>
      </w:r>
    </w:p>
    <w:p>
      <w:pPr>
        <w:pStyle w:val="BodyText"/>
      </w:pPr>
      <w:r>
        <w:t xml:space="preserve">The ablation experiments therefore form a separate evidence stream. The PGPR/UCPR path-module evidence is stored under</w:t>
      </w:r>
      <w:r>
        <w:t xml:space="preserve"> </w:t>
      </w:r>
      <w:r>
        <w:rPr>
          <w:rStyle w:val="VerbatimChar"/>
        </w:rPr>
        <w:t xml:space="preserve">reports/tables/ablation/pgpr_ucpr_path_module/</w:t>
      </w:r>
      <w:r>
        <w:t xml:space="preserve"> </w:t>
      </w:r>
      <w:r>
        <w:t xml:space="preserve">and</w:t>
      </w:r>
      <w:r>
        <w:t xml:space="preserve"> </w:t>
      </w:r>
      <w:r>
        <w:rPr>
          <w:rStyle w:val="VerbatimChar"/>
        </w:rPr>
        <w:t xml:space="preserve">reports/figures/ablation/pgpr_ucpr_path_module/</w:t>
      </w:r>
      <w:r>
        <w:t xml:space="preserve">. Chapter 5 uses these files to examine bounded controllability and mechanism-level effects; they do not replace the six-model trade-off comparison or supply mechanism evidence for CAFE, TPRec, KGGLM, or PEARLM.</w:t>
      </w:r>
    </w:p>
    <w:p>
      <w:pPr>
        <w:pStyle w:val="BodyText"/>
      </w:pPr>
      <w:r>
        <w:t xml:space="preserve">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bookmarkEnd w:id="47"/>
    <w:bookmarkEnd w:id="48"/>
    <w:bookmarkStart w:id="71" w:name="X80c99d47f51d5a02f0fc398da959a930f4c0f47"/>
    <w:p>
      <w:pPr>
        <w:pStyle w:val="Heading1"/>
        <w:keepNext/>
        <w:pageBreakBefore/>
      </w:pPr>
      <w:r>
        <w:t xml:space="preserve">Chapter 4 Accuracy–Explainability Trade-off Results</w:t>
      </w:r>
    </w:p>
    <w:bookmarkStart w:id="49" w:name="X3661d8a09a51fddd5a9b9fc51d816a91ad9f270"/>
    <w:p>
      <w:pPr>
        <w:pStyle w:val="Heading2"/>
        <w:keepNext/>
      </w:pPr>
      <w:r>
        <w:t xml:space="preserve">4.1 Experimental Scope and Result Organisation</w:t>
      </w:r>
    </w:p>
    <w:p>
      <w:pPr>
        <w:pStyle w:val="FirstParagraph"/>
        <w:widowControl/>
        <w:jc w:val="both"/>
      </w:pPr>
      <w:r>
        <w:t xml:space="preserve">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pPr>
        <w:pStyle w:val="BodyText"/>
      </w:pPr>
      <w:r>
        <w:t xml:space="preserve">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pPr>
        <w:pStyle w:val="BodyText"/>
      </w:pPr>
      <w:r>
        <w:t xml:space="preserve">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pPr>
        <w:pStyle w:val="BodyText"/>
      </w:pPr>
      <w:r>
        <w:t xml:space="preserve">The alpha-sweep process diagram shows how objective-specific endpoint movement and paired sweep NDCG movement are carried into the result-level analysis. It does not define a universal score function, and its sweep NDCG must not be interpreted as strict NDCG@10.</w:t>
      </w:r>
    </w:p>
    <w:p>
      <w:pPr>
        <w:pStyle w:val="BodyText"/>
      </w:pPr>
      <w:r>
        <w:t xml:space="preserve">For an explanation objective (q), endpoint movement is summarised by</w:t>
      </w:r>
    </w:p>
    <w:p>
      <w:pPr>
        <w:pStyle w:val="BodyText"/>
      </w:pPr>
      <w:r>
        <w:t xml:space="preserve">[</w:t>
      </w:r>
      <w:r>
        <w:t xml:space="preserve"> </w:t>
      </w:r>
      <w:r>
        <w:t xml:space="preserve">q_{m,d}</w:t>
      </w:r>
      <w:r>
        <w:t xml:space="preserve"> </w:t>
      </w:r>
      <w:r>
        <w:t xml:space="preserve">=</w:t>
      </w:r>
      <w:r>
        <w:t xml:space="preserve"> </w:t>
      </w:r>
      <w:r>
        <w:t xml:space="preserve">Q_{m,d}^{q}(</w:t>
      </w:r>
      <w:r>
        <w:t xml:space="preserve">)</w:t>
      </w:r>
      <w:r>
        <w:t xml:space="preserve"> </w:t>
      </w:r>
      <w:r>
        <w:t xml:space="preserve">-</w:t>
      </w:r>
      <w:r>
        <w:t xml:space="preserve"> </w:t>
      </w:r>
      <w:r>
        <w:t xml:space="preserve">Q_{m,d}^{q}(</w:t>
      </w:r>
      <w:r>
        <w:t xml:space="preserve">)</w:t>
      </w:r>
      <w:r>
        <w:t xml:space="preserve"> </w:t>
      </w:r>
      <w:r>
        <w:t xml:space="preserve">]</w:t>
      </w:r>
    </w:p>
    <w:p>
      <w:pPr>
        <w:pStyle w:val="BodyText"/>
      </w:pPr>
      <w:r>
        <w:t xml:space="preserve">and</w:t>
      </w:r>
    </w:p>
    <w:p>
      <w:pPr>
        <w:pStyle w:val="BodyText"/>
      </w:pPr>
      <w:r>
        <w:t xml:space="preserve">[</w:t>
      </w:r>
      <w:r>
        <w:t xml:space="preserve"> </w:t>
      </w:r>
      <w:r>
        <w:rPr>
          <w:i/>
          <w:iCs/>
        </w:rPr>
        <w:t xml:space="preserve">{m,d}^{</w:t>
      </w:r>
      <w:r>
        <w:rPr>
          <w:i/>
          <w:iCs/>
        </w:rPr>
        <w:t xml:space="preserve">,q}</w:t>
      </w:r>
      <w:r>
        <w:rPr>
          <w:i/>
          <w:iCs/>
        </w:rPr>
        <w:t xml:space="preserve"> </w:t>
      </w:r>
      <w:r>
        <w:rPr>
          <w:i/>
          <w:iCs/>
        </w:rPr>
        <w:t xml:space="preserve">=</w:t>
      </w:r>
      <w:r>
        <w:rPr>
          <w:i/>
          <w:iCs/>
        </w:rPr>
        <w:t xml:space="preserve"> </w:t>
      </w:r>
      <w:r>
        <w:t xml:space="preserve">{m,d}^{</w:t>
      </w:r>
      <w:r>
        <w:t xml:space="preserve">,q}(</w:t>
      </w:r>
      <w:r>
        <w:t xml:space="preserve">)</w:t>
      </w:r>
      <w:r>
        <w:t xml:space="preserve"> </w:t>
      </w:r>
      <w:r>
        <w:t xml:space="preserve">-</w:t>
      </w:r>
      <w:r>
        <w:t xml:space="preserve"> </w:t>
      </w:r>
      <w:r>
        <w:t xml:space="preserve">_{m,d}^{</w:t>
      </w:r>
      <w:r>
        <w:t xml:space="preserve">,q}(</w:t>
      </w:r>
      <w:r>
        <w:t xml:space="preserve">).</w:t>
      </w:r>
      <w:r>
        <w:t xml:space="preserve"> </w:t>
      </w:r>
      <w:r>
        <w:t xml:space="preserve">]</w:t>
      </w:r>
    </w:p>
    <w:p>
      <w:pPr>
        <w:pStyle w:val="BodyText"/>
      </w:pPr>
      <w:r>
        <w:t xml:space="preserve">A positive (</w:t>
      </w:r>
      <w:r>
        <w:t xml:space="preserve">q) with negative (</w:t>
      </w:r>
      <w:r>
        <w:t xml:space="preserve">^{</w:t>
      </w:r>
      <w:r>
        <w:t xml:space="preserve">}) indicates an empirical trade-off under the selected sweep objective. This does not replace strict NDCG@10. The deltas are descriptive endpoint differences, not statistical estimates or tests.</w:t>
      </w:r>
    </w:p>
    <w:bookmarkEnd w:id="49"/>
    <w:bookmarkStart w:id="53" w:name="strict-accuracy-results"/>
    <w:p>
      <w:pPr>
        <w:pStyle w:val="Heading2"/>
        <w:keepNext/>
      </w:pPr>
      <w:r>
        <w:t xml:space="preserve">4.2 Strict Accuracy Results</w:t>
      </w:r>
    </w:p>
    <w:p>
      <w:pPr>
        <w:pStyle w:val="FirstParagraph"/>
        <w:widowControl/>
        <w:jc w:val="both"/>
      </w:pPr>
      <w:r>
        <w:t xml:space="preserve">The strict results do not identify a universal winner across datasets and metrics. Table 4.1 reports HR@10, NDCG@10, Precision@10, and Recall@10, while Figure 4.1 visualises NDCG@10 for LastFM and ML-1M. This section uses no alpha-sweep evidence.</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4.1.</w:t>
      </w:r>
      <w:r>
        <w:t xml:space="preserve"> </w:t>
      </w:r>
      <w:r>
        <w:t xml:space="preserve">Strict HR@10, NDCG@10, Precision@10, and Recall@10 results for the complete LastFM and ML-1M six-model scope. Values are traceable to the accessible canonical status matrix and matching dissertation summary; the expected primary row-level JSON artifacts are not accessible.</w:t>
      </w:r>
      <w:r>
        <w:fldChar w:fldCharType="begin"/>
      </w:r>
      <w:r>
        <w:rPr>
          <w:vanish/>
        </w:rPr>
        <w:instrText xml:space="preserve"> TC "Table 4.1. Strict HR@10, NDCG@10, Precision@10, and Recall@10 results for the complete LastFM and ML-1M six-model scope. Values are traceable to the accessible canonical status matrix and matching dissertation summary; the expected primary row-level JSON artifacts are not accessible."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001"/>
        <w:gridCol w:w="1883"/>
        <w:gridCol w:w="2141"/>
        <w:gridCol w:w="2144"/>
        <w:gridCol w:w="2544"/>
        <w:gridCol w:w="2247"/>
      </w:tblGrid>
      <w:tr>
        <w:trPr>
          <w:tblHeader w:val="true"/>
          <w:cantSplit/>
        </w:trPr>
        <w:tc>
          <w:tcPr>
            <w:tcW w:type="dxa" w:w="2001"/>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Dataset</w:t>
            </w:r>
          </w:p>
        </w:tc>
        <w:tc>
          <w:tcPr>
            <w:tcW w:type="dxa" w:w="1883"/>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Model</w:t>
            </w:r>
          </w:p>
        </w:tc>
        <w:tc>
          <w:tcPr>
            <w:tcW w:type="dxa" w:w="2141"/>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HR@10</w:t>
            </w:r>
          </w:p>
        </w:tc>
        <w:tc>
          <w:tcPr>
            <w:tcW w:type="dxa" w:w="2144"/>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NDCG@10</w:t>
            </w:r>
          </w:p>
        </w:tc>
        <w:tc>
          <w:tcPr>
            <w:tcW w:type="dxa" w:w="2544"/>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Precision@10</w:t>
            </w:r>
          </w:p>
        </w:tc>
        <w:tc>
          <w:tcPr>
            <w:tcW w:type="dxa" w:w="224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Recall@10</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0.186389</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0.030905</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0.025356</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0.017731</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UCPR</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0.216416</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0.037377</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0.031129</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0.023155</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CAFE</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0.180233</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0.030214</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0.025718</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0.018639</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TPRec</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0.188919</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0.038981</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0.032736</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0.022307</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0.125855</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0.021319</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0.016409</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0.014191</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PEARLM</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0.099590</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0.015960</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0.012736</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0.009047</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0.511258</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0.101896</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0.092914</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0.042342</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UCPR</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0.441887</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0.086215</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0.066391</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0.037913</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CAFE</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0.554305</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0.116655</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0.107119</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0.052024</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TPRec</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0.474503</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0.094220</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0.089702</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0.043772</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0.168874</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0.033649</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0.019305</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0.010506</w:t>
            </w:r>
          </w:p>
        </w:tc>
      </w:tr>
      <w:tr>
        <w:tc>
          <w:tcPr>
            <w:tcW w:type="dxa" w:w="200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188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PEARLM</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0.214735</w:t>
            </w:r>
          </w:p>
        </w:tc>
        <w:tc>
          <w:tcPr>
            <w:tcW w:type="dxa" w:w="21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0.035303</w:t>
            </w:r>
          </w:p>
        </w:tc>
        <w:tc>
          <w:tcPr>
            <w:tcW w:type="dxa" w:w="254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0.027119</w:t>
            </w:r>
          </w:p>
        </w:tc>
        <w:tc>
          <w:tcPr>
            <w:tcW w:type="dxa" w:w="22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0.011040</w:t>
            </w:r>
          </w:p>
        </w:tc>
      </w:tr>
    </w:tbl>
    <w:p>
      <w:pPr>
        <w:sectPr>
          <w:pgSz w:w="15840" w:h="12240" w:orient="landscape"/>
          <w:pgMar w:top="1080" w:right="1080" w:bottom="1080" w:left="1080" w:header="720" w:footer="720" w:gutter="0"/>
          <w:cols w:space="720"/>
          <w:docGrid w:linePitch="360"/>
        </w:sectPr>
      </w:pPr>
    </w:p>
    <w:p xmlns:a="http://schemas.openxmlformats.org/drawingml/2006/main" xmlns:pic="http://schemas.openxmlformats.org/drawingml/2006/picture">
      <w:pPr>
        <w:pStyle w:val="BodyText"/>
        <w:keepNext/>
        <w:spacing w:before="160" w:after="80"/>
        <w:jc w:val="center"/>
      </w:pPr>
      <w:r>
        <w:drawing>
          <wp:inline>
            <wp:extent cx="4699000" cy="1895525"/>
            <wp:effectExtent b="0" l="0" r="0" t="0"/>
            <wp:docPr descr="Figure 4.1 strict NDCG comparison" title="" id="51" name="Picture"/>
            <a:graphic>
              <a:graphicData uri="http://schemas.openxmlformats.org/drawingml/2006/picture">
                <pic:pic>
                  <pic:nvPicPr>
                    <pic:cNvPr descr="paper/current_dissertation/figures/png/figure_4_1_strict_ndcg_comparison_final.png" id="52" name="Picture"/>
                    <pic:cNvPicPr>
                      <a:picLocks noChangeArrowheads="1" noChangeAspect="1"/>
                    </pic:cNvPicPr>
                  </pic:nvPicPr>
                  <pic:blipFill>
                    <a:blip r:embed="rId16"/>
                    <a:stretch>
                      <a:fillRect/>
                    </a:stretch>
                  </pic:blipFill>
                  <pic:spPr bwMode="auto">
                    <a:xfrm>
                      <a:off x="0" y="0"/>
                      <a:ext cx="4699000" cy="1895525"/>
                    </a:xfrm>
                    <a:prstGeom prst="rect">
                      <a:avLst/>
                    </a:prstGeom>
                    <a:noFill/>
                    <a:ln w="9525">
                      <a:noFill/>
                      <a:headEnd/>
                      <a:tailEnd/>
                    </a:ln>
                  </pic:spPr>
                </pic:pic>
              </a:graphicData>
            </a:graphic>
          </wp:inline>
        </w:drawing>
      </w:r>
    </w:p>
    <w:p>
      <w:pPr>
        <w:pStyle w:val="Caption"/>
        <w:jc w:val="center"/>
      </w:pPr>
      <w:r>
        <w:rPr>
          <w:b/>
          <w:bCs/>
        </w:rPr>
        <w:t xml:space="preserve">Figure 4.1.</w:t>
      </w:r>
      <w:r>
        <w:t xml:space="preserve"> </w:t>
      </w:r>
      <w:r>
        <w:t xml:space="preserve">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fldChar w:fldCharType="begin"/>
      </w:r>
      <w:r>
        <w:rPr>
          <w:vanish/>
        </w:rPr>
        <w:instrText xml:space="preserve"> TC "Figure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 \f F \l 1 </w:instrText>
      </w:r>
      <w:r>
        <w:fldChar w:fldCharType="end"/>
      </w:r>
    </w:p>
    <w:p>
      <w:pPr>
        <w:pStyle w:val="BodyText"/>
      </w:pPr>
      <w:r>
        <w:t xml:space="preserve">LastFM divides leadership between two models. UCPR records the highest HR@10 at 0.216416 and the highest Recall@10 at 0.023155. TPRec records the highest NDCG@10 at 0.038981 and the highest Precision@10 at 0.032736. PGPR, CAFE, KGGLM, and PEARLM are lower than these metric-specific leaders on all four measures. The result is therefore a metric-dependent ordering rather than a single LastFM leader.</w:t>
      </w:r>
    </w:p>
    <w:p>
      <w:pPr>
        <w:pStyle w:val="BodyText"/>
      </w:pPr>
      <w:r>
        <w:t xml:space="preserve">ML-1M produces a different pattern. CAFE leads all four strict metrics, with HR@10 of 0.554305, NDCG@10 of 0.116655, Precision@10 of 0.107119, and Recall@10 of 0.052024.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pPr>
        <w:pStyle w:val="BodyText"/>
      </w:pPr>
      <w:r>
        <w:t xml:space="preserve">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pPr>
        <w:pStyle w:val="BodyText"/>
      </w:pPr>
      <w:r>
        <w:t xml:space="preserve">This conclusion applies only to the registered strict evidence stream. The paired NDCG values reported later are generated inside individual alpha sweeps and characterise those trajectories; they are not alternative measurements of the strict NDCG@10 values in Table 4.1. Keeping the two sources separate is necessary even when their metric names appear similar.</w:t>
      </w:r>
    </w:p>
    <w:bookmarkEnd w:id="53"/>
    <w:bookmarkStart w:id="57" w:name="explanation-metric-endpoint-results"/>
    <w:p>
      <w:pPr>
        <w:pStyle w:val="Heading2"/>
        <w:keepNext/>
      </w:pPr>
      <w:r>
        <w:t xml:space="preserve">4.3 Explanation Metric Endpoint Results</w:t>
      </w:r>
    </w:p>
    <w:p>
      <w:pPr>
        <w:pStyle w:val="FirstParagraph"/>
        <w:widowControl/>
        <w:jc w:val="both"/>
      </w:pPr>
      <w:r>
        <w:t xml:space="preserve">The next question is whether explanation behaviour can be reduced to a single dimension or common response pattern. Table 4.2 and Figure 4.2 report alpha=0 and alpha=1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4.2.</w:t>
      </w:r>
      <w:r>
        <w:t xml:space="preserve"> </w:t>
      </w:r>
      <w:r>
        <w:t xml:space="preserve">LIR, SEP, and ETD endpoints at alpha=0 and alpha=1 for the validated LastFM and ML-1M native-path rows. These endpoints use the registered repository-specific metric implementation, belong to the alpha-sweep evidence stream, and are not strict accuracy measurements or user-study evidence.</w:t>
      </w:r>
      <w:r>
        <w:fldChar w:fldCharType="begin"/>
      </w:r>
      <w:r>
        <w:rPr>
          <w:vanish/>
        </w:rPr>
        <w:instrText xml:space="preserve"> TC "Table 4.2. LIR, SEP, and ETD endpoints at alpha=0 and alpha=1 for the validated LastFM and ML-1M native-path rows. These endpoints use the registered repository-specific metric implementation, belong to the alpha-sweep evidence stream, and are not strict accuracy measurements or user-study evidence."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486"/>
        <w:gridCol w:w="2320"/>
        <w:gridCol w:w="2717"/>
        <w:gridCol w:w="2717"/>
        <w:gridCol w:w="2720"/>
      </w:tblGrid>
      <w:tr>
        <w:trPr>
          <w:tblHeader w:val="true"/>
          <w:cantSplit/>
        </w:trPr>
        <w:tc>
          <w:tcPr>
            <w:tcW w:type="dxa" w:w="248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Dataset</w:t>
            </w:r>
          </w:p>
        </w:tc>
        <w:tc>
          <w:tcPr>
            <w:tcW w:type="dxa" w:w="232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Model</w:t>
            </w:r>
          </w:p>
        </w:tc>
        <w:tc>
          <w:tcPr>
            <w:tcW w:type="dxa" w:w="271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LIR alpha=0 -&gt; alpha=1</w:t>
            </w:r>
          </w:p>
        </w:tc>
        <w:tc>
          <w:tcPr>
            <w:tcW w:type="dxa" w:w="271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SEP alpha=0 -&gt; alpha=1</w:t>
            </w:r>
          </w:p>
        </w:tc>
        <w:tc>
          <w:tcPr>
            <w:tcW w:type="dxa" w:w="272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ETD alpha=0 -&gt; alpha=1</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0.0062 -&gt; 0.0219</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0.5688 -&gt; 0.9877</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0.1396 -&gt; 0.3552</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UCPR</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0.0050 -&gt; 0.0118</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0.5170 -&gt; 0.9336</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0.1196 -&gt; 0.1856</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CAFE</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0.0012 -&gt; 0.0042</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0.7308 -&gt; 0.9890</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0.2314 -&gt; 0.3728</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TPRec</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0.0056 -&gt; 0.0111</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0.5499 -&gt; 0.9132</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0.1766 -&gt; 0.3983</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0.0007 -&gt; 0.0009</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0.6963 -&gt; 0.7187</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0.1265 -&gt; 0.1294</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PEARLM</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0.0011 -&gt; 0.0014</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0.5267 -&gt; 0.6106</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0.1111 -&gt; 0.1117</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0.4655 -&gt; 0.9627</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0.4798 -&gt; 0.9833</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0.1611 -&gt; 0.5191</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UCPR</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0.4568 -&gt; 0.7342</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0.4935 -&gt; 0.7406</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0.2088 -&gt; 0.2555</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CAFE</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0.3949 -&gt; 0.6986</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0.4619 -&gt; 0.9791</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0.2902 -&gt; 0.8542</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TPRec</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0.4502 -&gt; 0.9451</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0.4948 -&gt; 0.9704</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0.2874 -&gt; 0.7301</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0.3161 -&gt; 0.3161</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0.4791 -&gt; 0.4791</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0.0950 -&gt; 0.0950</w:t>
            </w:r>
          </w:p>
        </w:tc>
      </w:tr>
      <w:tr>
        <w:tc>
          <w:tcPr>
            <w:tcW w:type="dxa" w:w="24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ML-1M</w:t>
            </w:r>
          </w:p>
        </w:tc>
        <w:tc>
          <w:tcPr>
            <w:tcW w:type="dxa" w:w="23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PEARLM</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0.4225 -&gt; 0.4272</w:t>
            </w:r>
          </w:p>
        </w:tc>
        <w:tc>
          <w:tcPr>
            <w:tcW w:type="dxa" w:w="271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0.5094 -&gt; 0.5266</w:t>
            </w:r>
          </w:p>
        </w:tc>
        <w:tc>
          <w:tcPr>
            <w:tcW w:type="dxa" w:w="27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0.0984 -&gt; 0.0989</w:t>
            </w:r>
          </w:p>
        </w:tc>
      </w:tr>
    </w:tbl>
    <w:p>
      <w:pPr>
        <w:sectPr>
          <w:pgSz w:w="15840" w:h="12240" w:orient="landscape"/>
          <w:pgMar w:top="1080" w:right="1080" w:bottom="1080" w:left="1080" w:header="720" w:footer="720" w:gutter="0"/>
          <w:cols w:space="720"/>
          <w:docGrid w:linePitch="360"/>
        </w:sectPr>
      </w:pPr>
    </w:p>
    <w:p xmlns:a="http://schemas.openxmlformats.org/drawingml/2006/main" xmlns:pic="http://schemas.openxmlformats.org/drawingml/2006/picture">
      <w:pPr>
        <w:pStyle w:val="BodyText"/>
        <w:keepNext/>
        <w:spacing w:before="160" w:after="80"/>
        <w:jc w:val="center"/>
      </w:pPr>
      <w:r>
        <w:drawing>
          <wp:inline>
            <wp:extent cx="4699000" cy="3233464"/>
            <wp:effectExtent b="0" l="0" r="0" t="0"/>
            <wp:docPr descr="Figure 4.2 explanation metric endpoints" title="" id="55" name="Picture"/>
            <a:graphic>
              <a:graphicData uri="http://schemas.openxmlformats.org/drawingml/2006/picture">
                <pic:pic>
                  <pic:nvPicPr>
                    <pic:cNvPr descr="paper/current_dissertation/figures/png/figure_4_2_explanation_endpoint_summary_final.png" id="56" name="Picture"/>
                    <pic:cNvPicPr>
                      <a:picLocks noChangeArrowheads="1" noChangeAspect="1"/>
                    </pic:cNvPicPr>
                  </pic:nvPicPr>
                  <pic:blipFill>
                    <a:blip r:embed="rId17"/>
                    <a:stretch>
                      <a:fillRect/>
                    </a:stretch>
                  </pic:blipFill>
                  <pic:spPr bwMode="auto">
                    <a:xfrm>
                      <a:off x="0" y="0"/>
                      <a:ext cx="4699000" cy="3233464"/>
                    </a:xfrm>
                    <a:prstGeom prst="rect">
                      <a:avLst/>
                    </a:prstGeom>
                    <a:noFill/>
                    <a:ln w="9525">
                      <a:noFill/>
                      <a:headEnd/>
                      <a:tailEnd/>
                    </a:ln>
                  </pic:spPr>
                </pic:pic>
              </a:graphicData>
            </a:graphic>
          </wp:inline>
        </w:drawing>
      </w:r>
    </w:p>
    <w:p>
      <w:pPr>
        <w:pStyle w:val="Caption"/>
        <w:jc w:val="center"/>
      </w:pPr>
      <w:r>
        <w:rPr>
          <w:b/>
          <w:bCs/>
        </w:rPr>
        <w:t xml:space="preserve">Figure 4.2.</w:t>
      </w:r>
      <w:r>
        <w:t xml:space="preserve"> </w:t>
      </w:r>
      <w:r>
        <w:t xml:space="preserve">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fldChar w:fldCharType="begin"/>
      </w:r>
      <w:r>
        <w:rPr>
          <w:vanish/>
        </w:rPr>
        <w:instrText xml:space="preserve"> TC "Figure 4.2. 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 \f F \l 1 </w:instrText>
      </w:r>
      <w:r>
        <w:fldChar w:fldCharType="end"/>
      </w:r>
    </w:p>
    <w:p>
      <w:pPr>
        <w:pStyle w:val="BodyText"/>
      </w:pPr>
      <w:r>
        <w:t xml:space="preserve">On LastFM, PGPR shows the largest LIR endpoint movement, from 0.0062 to 0.0219. SEP increases for all six models, reaching alpha=1 values from 0.6106 for PEARLM to 0.9890 for CAFE. ETD responses are more varied: TPRec has the largest movement, while PGPR and CAFE also move visibly and KGGLM and PEARLM change only slightly. Table 4.2 retains the complete endpoint set.</w:t>
      </w:r>
    </w:p>
    <w:p>
      <w:pPr>
        <w:pStyle w:val="BodyText"/>
      </w:pPr>
      <w:r>
        <w:t xml:space="preserve">ML-1M yields both larger movements and a different ordering in several cases. PGPR and TPRec show large LIR responses, and PGPR, CAFE, and TPRec all approach the upper end of the SEP scale at alpha=1. CAFE records the largest ETD movement, from 0.2902 to 0.8542, followed by visible TPRec and PGPR changes. KGGLM has identical alpha=0 and alpha=1 values for all three metrics, and PEARLM changes only slightly. Explanation-objective controllability is therefore conditional on metric, model, and dataset rather than captured by one endpoint ranking.</w:t>
      </w:r>
    </w:p>
    <w:p>
      <w:pPr>
        <w:pStyle w:val="BodyText"/>
      </w:pPr>
      <w:r>
        <w:t xml:space="preserve">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pPr>
        <w:pStyle w:val="BodyText"/>
      </w:pPr>
      <w:r>
        <w:t xml:space="preserve">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bookmarkEnd w:id="57"/>
    <w:bookmarkStart w:id="61" w:name="lir-oriented-trade-off-results"/>
    <w:p>
      <w:pPr>
        <w:pStyle w:val="Heading2"/>
        <w:keepNext/>
      </w:pPr>
      <w:r>
        <w:t xml:space="preserve">4.4 LIR-oriented Trade-off Results</w:t>
      </w:r>
    </w:p>
    <w:p>
      <w:pPr>
        <w:pStyle w:val="FirstParagraph"/>
        <w:widowControl/>
        <w:jc w:val="both"/>
      </w:pPr>
      <w:r>
        <w:t xml:space="preserve">The LIR sweep tests how favouring paths linked to more recent historical interactions affects the paired ranking metric. Figure 4.3 plots LIR against the NDCG sweep metric for both datasets. These NDCG values belong to the alpha-sweep evidence stream and are distinct from the strict NDCG@10 results in Section 4.2.</w:t>
      </w:r>
    </w:p>
    <w:p xmlns:a="http://schemas.openxmlformats.org/drawingml/2006/main" xmlns:pic="http://schemas.openxmlformats.org/drawingml/2006/picture">
      <w:pPr>
        <w:pStyle w:val="BodyText"/>
        <w:keepNext/>
        <w:spacing w:before="160" w:after="80"/>
        <w:jc w:val="center"/>
      </w:pPr>
      <w:r>
        <w:drawing>
          <wp:inline>
            <wp:extent cx="4699000" cy="2030364"/>
            <wp:effectExtent b="0" l="0" r="0" t="0"/>
            <wp:docPr descr="Figure 4.3 LIR-oriented trade-off" title="" id="59" name="Picture"/>
            <a:graphic>
              <a:graphicData uri="http://schemas.openxmlformats.org/drawingml/2006/picture">
                <pic:pic>
                  <pic:nvPicPr>
                    <pic:cNvPr descr="paper/current_dissertation/figures/png/figure_4_3_lir_tradeoff_final.png" id="60" name="Picture"/>
                    <pic:cNvPicPr>
                      <a:picLocks noChangeArrowheads="1" noChangeAspect="1"/>
                    </pic:cNvPicPr>
                  </pic:nvPicPr>
                  <pic:blipFill>
                    <a:blip r:embed="rId18"/>
                    <a:stretch>
                      <a:fillRect/>
                    </a:stretch>
                  </pic:blipFill>
                  <pic:spPr bwMode="auto">
                    <a:xfrm>
                      <a:off x="0" y="0"/>
                      <a:ext cx="4699000" cy="2030364"/>
                    </a:xfrm>
                    <a:prstGeom prst="rect">
                      <a:avLst/>
                    </a:prstGeom>
                    <a:noFill/>
                    <a:ln w="9525">
                      <a:noFill/>
                      <a:headEnd/>
                      <a:tailEnd/>
                    </a:ln>
                  </pic:spPr>
                </pic:pic>
              </a:graphicData>
            </a:graphic>
          </wp:inline>
        </w:drawing>
      </w:r>
    </w:p>
    <w:p>
      <w:pPr>
        <w:pStyle w:val="Caption"/>
        <w:jc w:val="center"/>
      </w:pPr>
      <w:r>
        <w:rPr>
          <w:b/>
          <w:bCs/>
        </w:rPr>
        <w:t xml:space="preserve">Figure 4.3.</w:t>
      </w:r>
      <w:r>
        <w:t xml:space="preserve"> </w:t>
      </w:r>
      <w:r>
        <w:t xml:space="preserve">LIR-oriented trade-off curves for (a) LastFM and (b) ML-1M. The paired NDCG values belong to the alpha-sweep evidence stream and should not be interpreted as strict NDCG@10. Panel x-axis ranges may differ because the implemented metric ranges are dataset-dependent.</w:t>
      </w:r>
      <w:r>
        <w:fldChar w:fldCharType="begin"/>
      </w:r>
      <w:r>
        <w:rPr>
          <w:vanish/>
        </w:rPr>
        <w:instrText xml:space="preserve"> TC "Figure 4.3. LIR-oriented trade-off curves for (a) LastFM and (b) ML-1M. The paired NDCG values belong to the alpha-sweep evidence stream and should not be interpreted as strict NDCG@10. Panel x-axis ranges may differ because the implemented metric ranges are dataset-dependent." \f F \l 1 </w:instrText>
      </w:r>
      <w:r>
        <w:fldChar w:fldCharType="end"/>
      </w:r>
    </w:p>
    <w:p>
      <w:pPr>
        <w:pStyle w:val="BodyText"/>
      </w:pPr>
      <w:r>
        <w:t xml:space="preserve">LastFM separates a costly LIR response from more strongly preserved or limited responses. PGPR increases LIR from 0.0062 to 0.0219 while sweep NDCG changes from 0.1130 to 0.0680. UCPR increases LIR from 0.0050 to 0.0118 with a much smaller NDCG change, from 0.1256 to 0.1231. CAFE and TPRec also increase LIR, whereas KGGLM and PEARLM show only small movement and essentially unchanged sweep NDCG endpoints. Figure 4.3 retains the complete trajectories.</w:t>
      </w:r>
    </w:p>
    <w:p>
      <w:pPr>
        <w:pStyle w:val="BodyText"/>
      </w:pPr>
      <w:r>
        <w:t xml:space="preserve">The ML-1M profiles differ in both scale and ranking cost. PGPR moves from 0.4655 to 0.9627 in LIR while NDCG changes from 0.1019 to 0.0619. UCPR again preserves more of the paired ranking metric, moving from 0.4568 to 0.7342 in LIR and from 0.0862 to 0.0829 in NDCG. TPRec and CAFE show substantial LIR movement with larger paired ranking changes than UCPR, while KGGLM is unchanged and PEARLM moves only slightly. The curves establish distinct LIR trade-off profiles without selecting a universal operating point.</w:t>
      </w:r>
    </w:p>
    <w:p>
      <w:pPr>
        <w:pStyle w:val="BodyText"/>
      </w:pPr>
      <w:r>
        <w:t xml:space="preserve">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pPr>
        <w:pStyle w:val="BodyText"/>
      </w:pPr>
      <w:r>
        <w:t xml:space="preserve">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pPr>
        <w:pStyle w:val="BodyText"/>
      </w:pPr>
      <w:r>
        <w:t xml:space="preserve">In the notation above, these profiles compare (</w:t>
      </w:r>
      <w:r>
        <w:rPr>
          <w:i/>
          <w:iCs/>
        </w:rPr>
        <w:t xml:space="preserve">{m,d}) with (</w:t>
      </w:r>
      <w:r>
        <w:t xml:space="preserve">{m,d}^{</w:t>
      </w:r>
      <w:r>
        <w:t xml:space="preserve">,</w:t>
      </w:r>
      <w:r>
        <w:t xml:space="preserve">}). The notation records the direction and magnitude already shown by the registered endpoints; it does not add a new result or infer a mechanism.</w:t>
      </w:r>
    </w:p>
    <w:bookmarkEnd w:id="61"/>
    <w:bookmarkStart w:id="65" w:name="sep-oriented-trade-off-results"/>
    <w:p>
      <w:pPr>
        <w:pStyle w:val="Heading2"/>
        <w:keepNext/>
      </w:pPr>
      <w:r>
        <w:t xml:space="preserve">4.5 SEP-oriented Trade-off Results</w:t>
      </w:r>
    </w:p>
    <w:p>
      <w:pPr>
        <w:pStyle w:val="FirstParagraph"/>
        <w:widowControl/>
        <w:jc w:val="both"/>
      </w:pPr>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Chapter 4 figure because they provide a visually clear example of implemented objective movement under the alpha-sweep design.</w:t>
      </w:r>
    </w:p>
    <w:p xmlns:a="http://schemas.openxmlformats.org/drawingml/2006/main" xmlns:pic="http://schemas.openxmlformats.org/drawingml/2006/picture">
      <w:pPr>
        <w:pStyle w:val="BodyText"/>
        <w:keepNext/>
        <w:spacing w:before="160" w:after="80"/>
        <w:jc w:val="center"/>
      </w:pPr>
      <w:r>
        <w:drawing>
          <wp:inline>
            <wp:extent cx="4699000" cy="2030364"/>
            <wp:effectExtent b="0" l="0" r="0" t="0"/>
            <wp:docPr descr="Figure 4.4 SEP-oriented trade-off" title="" id="63" name="Picture"/>
            <a:graphic>
              <a:graphicData uri="http://schemas.openxmlformats.org/drawingml/2006/picture">
                <pic:pic>
                  <pic:nvPicPr>
                    <pic:cNvPr descr="paper/current_dissertation/figures/png/figure_4_4_sep_tradeoff_final.png" id="64" name="Picture"/>
                    <pic:cNvPicPr>
                      <a:picLocks noChangeArrowheads="1" noChangeAspect="1"/>
                    </pic:cNvPicPr>
                  </pic:nvPicPr>
                  <pic:blipFill>
                    <a:blip r:embed="rId19"/>
                    <a:stretch>
                      <a:fillRect/>
                    </a:stretch>
                  </pic:blipFill>
                  <pic:spPr bwMode="auto">
                    <a:xfrm>
                      <a:off x="0" y="0"/>
                      <a:ext cx="4699000" cy="2030364"/>
                    </a:xfrm>
                    <a:prstGeom prst="rect">
                      <a:avLst/>
                    </a:prstGeom>
                    <a:noFill/>
                    <a:ln w="9525">
                      <a:noFill/>
                      <a:headEnd/>
                      <a:tailEnd/>
                    </a:ln>
                  </pic:spPr>
                </pic:pic>
              </a:graphicData>
            </a:graphic>
          </wp:inline>
        </w:drawing>
      </w:r>
    </w:p>
    <w:p>
      <w:pPr>
        <w:pStyle w:val="Caption"/>
        <w:jc w:val="center"/>
      </w:pPr>
      <w:r>
        <w:rPr>
          <w:b/>
          <w:bCs/>
        </w:rPr>
        <w:t xml:space="preserve">Figure 4.4.</w:t>
      </w:r>
      <w:r>
        <w:t xml:space="preserve"> </w:t>
      </w:r>
      <w:r>
        <w:t xml:space="preserve">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w:t>
      </w:r>
      <w:r>
        <w:fldChar w:fldCharType="begin"/>
      </w:r>
      <w:r>
        <w:rPr>
          <w:vanish/>
        </w:rPr>
        <w:instrText xml:space="preserve"> TC "Figure 4.4. 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 \f F \l 1 </w:instrText>
      </w:r>
      <w:r>
        <w:fldChar w:fldCharType="end"/>
      </w:r>
    </w:p>
    <w:p>
      <w:pPr>
        <w:pStyle w:val="BodyText"/>
      </w:pPr>
      <w:r>
        <w:t xml:space="preserve">On LastFM, PGPR increases SEP from 0.5688 to 0.9877 while sweep NDCG changes from 0.1130 to 0.0676. UCPR reaches SEP 0.9336 from 0.5170 while NDCG changes only from 0.1256 to 0.1238. CAFE and TPRec also reach high SEP endpoints, whereas KGGLM and PEARLM show smaller movement. The contrast shows that similar directional SEP gains can carry different paired ranking costs.</w:t>
      </w:r>
    </w:p>
    <w:p>
      <w:pPr>
        <w:pStyle w:val="BodyText"/>
      </w:pPr>
      <w:r>
        <w:t xml:space="preserve">On ML-1M, PGPR, CAFE, and TPRec again reach high alpha=1 SEP values but incur different NDCG changes. UCPR increases SEP from 0.4935 to 0.7406 while NDCG changes only from 0.0862 to 0.0825. KGGLM remains unchanged on both measures, and PEARLM records a small SEP increase with nearly unchanged NDCG. Figure 4.4 retains the complete trajectories.</w:t>
      </w:r>
    </w:p>
    <w:p>
      <w:pPr>
        <w:pStyle w:val="BodyText"/>
      </w:pPr>
      <w:r>
        <w:t xml:space="preserve">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pPr>
        <w:pStyle w:val="BodyText"/>
      </w:pPr>
      <w:r>
        <w:t xml:space="preserve">SEP remains a repository-specific bridge-entity score interpreted through the implemented metric pipeline. Movement in (</w:t>
      </w:r>
      <w:r>
        <w:rPr>
          <w:i/>
          <w:iCs/>
        </w:rPr>
        <w:t xml:space="preserve">{m,d}) and its paired (</w:t>
      </w:r>
      <w:r>
        <w:t xml:space="preserve">{m,d}^{</w:t>
      </w:r>
      <w:r>
        <w:t xml:space="preserve">,</w:t>
      </w:r>
      <w:r>
        <w:t xml:space="preserve">}) is descriptive evidence of objective response, not statistical inference or causal mechanism evidence. It is not direct evidence of user-perceived serendipity, surprise, novelty, usefulness, or explanation quality.</w:t>
      </w:r>
    </w:p>
    <w:bookmarkEnd w:id="65"/>
    <w:bookmarkStart w:id="69" w:name="etd-oriented-trade-off-results"/>
    <w:p>
      <w:pPr>
        <w:pStyle w:val="Heading2"/>
        <w:keepNext/>
      </w:pPr>
      <w:r>
        <w:t xml:space="preserve">4.6 ETD-oriented Trade-off Results</w:t>
      </w:r>
    </w:p>
    <w:p>
      <w:pPr>
        <w:pStyle w:val="FirstParagraph"/>
        <w:widowControl/>
        <w:jc w:val="both"/>
      </w:pPr>
      <w:r>
        <w:t xml:space="preserve">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xmlns:a="http://schemas.openxmlformats.org/drawingml/2006/main" xmlns:pic="http://schemas.openxmlformats.org/drawingml/2006/picture">
      <w:pPr>
        <w:pStyle w:val="BodyText"/>
        <w:keepNext/>
        <w:spacing w:before="160" w:after="80"/>
        <w:jc w:val="center"/>
      </w:pPr>
      <w:r>
        <w:drawing>
          <wp:inline>
            <wp:extent cx="4699000" cy="2030364"/>
            <wp:effectExtent b="0" l="0" r="0" t="0"/>
            <wp:docPr descr="Figure 4.5 ETD-oriented trade-off" title="" id="67" name="Picture"/>
            <a:graphic>
              <a:graphicData uri="http://schemas.openxmlformats.org/drawingml/2006/picture">
                <pic:pic>
                  <pic:nvPicPr>
                    <pic:cNvPr descr="paper/current_dissertation/figures/png/figure_4_5_etd_tradeoff_final.png" id="68" name="Picture"/>
                    <pic:cNvPicPr>
                      <a:picLocks noChangeArrowheads="1" noChangeAspect="1"/>
                    </pic:cNvPicPr>
                  </pic:nvPicPr>
                  <pic:blipFill>
                    <a:blip r:embed="rId20"/>
                    <a:stretch>
                      <a:fillRect/>
                    </a:stretch>
                  </pic:blipFill>
                  <pic:spPr bwMode="auto">
                    <a:xfrm>
                      <a:off x="0" y="0"/>
                      <a:ext cx="4699000" cy="2030364"/>
                    </a:xfrm>
                    <a:prstGeom prst="rect">
                      <a:avLst/>
                    </a:prstGeom>
                    <a:noFill/>
                    <a:ln w="9525">
                      <a:noFill/>
                      <a:headEnd/>
                      <a:tailEnd/>
                    </a:ln>
                  </pic:spPr>
                </pic:pic>
              </a:graphicData>
            </a:graphic>
          </wp:inline>
        </w:drawing>
      </w:r>
    </w:p>
    <w:p>
      <w:pPr>
        <w:pStyle w:val="Caption"/>
        <w:jc w:val="center"/>
      </w:pPr>
      <w:r>
        <w:rPr>
          <w:b/>
          <w:bCs/>
        </w:rPr>
        <w:t xml:space="preserve">Figure 4.5.</w:t>
      </w:r>
      <w:r>
        <w:t xml:space="preserve"> </w:t>
      </w:r>
      <w:r>
        <w:t xml:space="preserve">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w:t>
      </w:r>
      <w:r>
        <w:fldChar w:fldCharType="begin"/>
      </w:r>
      <w:r>
        <w:rPr>
          <w:vanish/>
        </w:rPr>
        <w:instrText xml:space="preserve"> TC "Figure 4.5. 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 \f F \l 1 </w:instrText>
      </w:r>
      <w:r>
        <w:fldChar w:fldCharType="end"/>
      </w:r>
    </w:p>
    <w:p>
      <w:pPr>
        <w:pStyle w:val="BodyText"/>
      </w:pPr>
      <w:r>
        <w:t xml:space="preserve">On LastFM, TPRec has the largest ETD endpoint increase, from 0.1766 to 0.3983, while its sweep NDCG changes from 0.1178 to 0.1138. PGPR and CAFE also increase ETD with comparatively limited paired NDCG changes. UCPR has a smaller increase, and KGGLM and PEARLM show minimal endpoint movement. The profile differs from both LIR and SEP, confirming that path-type diversity adds separate information.</w:t>
      </w:r>
    </w:p>
    <w:p>
      <w:pPr>
        <w:pStyle w:val="BodyText"/>
      </w:pPr>
      <w:r>
        <w:t xml:space="preserve">ML-1M again changes the scale and ordering. CAFE records the largest ETD movement, from 0.2902 to 0.8542, while its sweep NDCG changes from 0.1115 to 0.0862. TPRec and PGPR also move substantially. UCPR increases ETD from 0.2088 to 0.2555 with a smaller NDCG change from 0.1008 to 0.0992, while KGGLM remains unchanged and PEARLM changes only slightly. Figure 4.5 retains the complete trajectories. These results establish differences in ETD controllability; they do not by themselves establish the mechanism causing those differences.</w:t>
      </w:r>
    </w:p>
    <w:p>
      <w:pPr>
        <w:pStyle w:val="BodyText"/>
      </w:pPr>
      <w:r>
        <w:t xml:space="preserve">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pPr>
        <w:pStyle w:val="BodyText"/>
      </w:pPr>
      <w:r>
        <w:t xml:space="preserve">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pPr>
        <w:pStyle w:val="BodyText"/>
      </w:pPr>
      <w:r>
        <w:t xml:space="preserve">The ETD trajectories are therefore summarised by (</w:t>
      </w:r>
      <w:r>
        <w:rPr>
          <w:i/>
          <w:iCs/>
        </w:rPr>
        <w:t xml:space="preserve">{m,d}) together with (</w:t>
      </w:r>
      <w:r>
        <w:t xml:space="preserve">{m,d}^{</w:t>
      </w:r>
      <w:r>
        <w:t xml:space="preserve">,</w:t>
      </w:r>
      <w:r>
        <w:t xml:space="preserve">}). As in the LIR and SEP sections, this notation formalises an observed endpoint trade-off without creating an efficiency ratio, significance claim, or causal conclusion.</w:t>
      </w:r>
    </w:p>
    <w:bookmarkEnd w:id="69"/>
    <w:bookmarkStart w:id="70" w:name="cross-dataset-comparison"/>
    <w:p>
      <w:pPr>
        <w:pStyle w:val="Heading2"/>
        <w:keepNext/>
      </w:pPr>
      <w:r>
        <w:t xml:space="preserve">4.7 Cross-Dataset Comparison</w:t>
      </w:r>
    </w:p>
    <w:p>
      <w:pPr>
        <w:pStyle w:val="FirstParagraph"/>
        <w:widowControl/>
        <w:jc w:val="both"/>
      </w:pPr>
      <w:r>
        <w:t xml:space="preserve">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pPr>
        <w:pStyle w:val="BodyText"/>
      </w:pPr>
      <w:r>
        <w:t xml:space="preserve">The datasets also change the scale and pattern of movement. PGPR, UCPR, CAFE, and TPRec generally show larger absolute LIR changes on ML-1M than on LastFM. CAFE, 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pPr>
        <w:pStyle w:val="BodyText"/>
      </w:pPr>
      <w:r>
        <w:t xml:space="preserve">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pPr>
        <w:pStyle w:val="BodyText"/>
      </w:pPr>
      <w:r>
        <w:t xml:space="preserve">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pPr>
        <w:pStyle w:val="BodyText"/>
      </w:pPr>
      <w:r>
        <w:t xml:space="preserve">The empirical findings can be summarised without converting the observed associations into mechanism claims:</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4.3. Empirical trade-off pattern summary.</w:t>
      </w:r>
      <w:r>
        <w:fldChar w:fldCharType="begin"/>
      </w:r>
      <w:r>
        <w:rPr>
          <w:vanish/>
        </w:rPr>
        <w:instrText xml:space="preserve"> TC "Table 4.3. Empirical trade-off pattern summary."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412"/>
        <w:gridCol w:w="2820"/>
        <w:gridCol w:w="2147"/>
        <w:gridCol w:w="2699"/>
        <w:gridCol w:w="2882"/>
      </w:tblGrid>
      <w:tr>
        <w:trPr>
          <w:tblHeader w:val="true"/>
          <w:cantSplit/>
        </w:trPr>
        <w:tc>
          <w:tcPr>
            <w:tcW w:type="dxa" w:w="241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Empirical pattern</w:t>
            </w:r>
          </w:p>
        </w:tc>
        <w:tc>
          <w:tcPr>
            <w:tcW w:type="dxa" w:w="282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Evidence from Chapter 4</w:t>
            </w:r>
          </w:p>
        </w:tc>
        <w:tc>
          <w:tcPr>
            <w:tcW w:type="dxa" w:w="214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Example models / datasets</w:t>
            </w:r>
          </w:p>
        </w:tc>
        <w:tc>
          <w:tcPr>
            <w:tcW w:type="dxa" w:w="269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Result-level interpretation</w:t>
            </w:r>
          </w:p>
        </w:tc>
        <w:tc>
          <w:tcPr>
            <w:tcW w:type="dxa" w:w="288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Evidence limit</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No universal strict-accuracy winner</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Strict leadership is split between UCPR and TPRec on LastFM, whereas CAFE leads all four strict metrics on ML-1M.</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UCPR and TPRec on LastFM; CAFE on ML-1M</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Accuracy leadership is conditional on dataset and metric.</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primary row-level strict JSON files are unavailable, and no statistical-significance artifact is registered.</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Accuracy leadership and explanation movement are different properties</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strict leaders do not form one common ordering across the LIR, SEP, and ETD sweeps.</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LastFM strict leaders compared with PGPR LIR movement and TPRec ETD movement; CAFE on ML-1M</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Strict ranking position does not directly predict explanation-objective controllability.</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Sweep endpoints and paired ranking metrics are not strict accuracy measurements.</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same explanation objective can have different paired ranking costs</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Models moving in the same objective direction retain different paired NDCG trajectories.</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 and UCPR in the LIR and SEP sweeps on both datasets</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 shared objective does not imply a shared utility cost or operating point.</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curves are descriptive and do not establish statistical significance or causal mechanism.</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LIR, SEP, and ETD produce different model orderings</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largest or most visible movements change across explanation dimensions.</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 for LastFM LIR, TPRec for LastFM ETD, and CAFE for ML-1M ETD</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three metrics expose non-interchangeable path properties.</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Metric scales differ, and no endpoint constitutes overall explanation superiority.</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Flat response profiles are informative</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Some model-objective-dataset combinations show identical or only small endpoint movement.</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 on ML-1M; KGGLM and PEARLM in several LastFM sweeps</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registered control exposes limited movement under the available native-path evidence.</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 flat profile does not identify its cause or establish poor explanation quality.</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Trade-off profiles are dataset-dependent</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Movement scale, ordering, and paired cost change between LastFM and ML-1M.</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 UCPR, CAFE, and TPRec across the two datasets</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 profile observed on one dataset should not be transferred as a universal model property.</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Only two datasets provide complete six-model trade-off evidence.</w:t>
            </w:r>
          </w:p>
        </w:tc>
      </w:tr>
      <w:tr>
        <w:tc>
          <w:tcPr>
            <w:tcW w:type="dxa" w:w="241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Mechanism interpretation requires Chapter 5 evidence</w:t>
            </w:r>
          </w:p>
        </w:tc>
        <w:tc>
          <w:tcPr>
            <w:tcW w:type="dxa" w:w="282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Comparative curves reveal heterogeneity but cannot determine why it occurs.</w:t>
            </w:r>
          </w:p>
        </w:tc>
        <w:tc>
          <w:tcPr>
            <w:tcW w:type="dxa" w:w="214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PGPR/UCPR ablation versus descriptive context for CAFE, TPRec, KGGLM, and PEARLM</w:t>
            </w:r>
          </w:p>
        </w:tc>
        <w:tc>
          <w:tcPr>
            <w:tcW w:type="dxa" w:w="269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Result-level findings motivate, but do not replace, ablation and mechanism analysis.</w:t>
            </w:r>
          </w:p>
        </w:tc>
        <w:tc>
          <w:tcPr>
            <w:tcW w:type="dxa" w:w="28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Stronger mechanism statements are limited to the registered PGPR/UCPR ablation; other explanations remain descriptive.</w:t>
            </w:r>
          </w:p>
        </w:tc>
      </w:tr>
    </w:tbl>
    <w:p>
      <w:pPr>
        <w:sectPr>
          <w:pgSz w:w="15840" w:h="12240" w:orient="landscape"/>
          <w:pgMar w:top="1080" w:right="1080" w:bottom="1080" w:left="1080" w:header="720" w:footer="720" w:gutter="0"/>
          <w:cols w:space="720"/>
          <w:docGrid w:linePitch="360"/>
        </w:sectPr>
      </w:pPr>
    </w:p>
    <w:p>
      <w:pPr>
        <w:pStyle w:val="BodyText"/>
      </w:pPr>
      <w:r>
        <w:t xml:space="preserve">This summary closes the result-level analysis. It identifies what the validated outputs show while leaving causal attribution, ablation-supported controllability, and dataset-boundary interpretation to Chapter 5.</w:t>
      </w:r>
    </w:p>
    <w:bookmarkEnd w:id="70"/>
    <w:bookmarkEnd w:id="71"/>
    <w:bookmarkStart w:id="83" w:name="X7100248e92ee5cc1de3f269065d2cbf05ec419e"/>
    <w:p>
      <w:pPr>
        <w:pStyle w:val="Heading1"/>
        <w:keepNext/>
        <w:pageBreakBefore/>
      </w:pPr>
      <w:r>
        <w:t xml:space="preserve">Chapter 5 Ablation, Mechanism Analysis, and Boundary Cases</w:t>
      </w:r>
    </w:p>
    <w:bookmarkStart w:id="75" w:name="X23e5b507182636d83b6f718c9ea9c8cdf3d57f1"/>
    <w:p>
      <w:pPr>
        <w:pStyle w:val="Heading2"/>
        <w:keepNext/>
      </w:pPr>
      <w:r>
        <w:t xml:space="preserve">5.1 Ablation Analysis of Framework Controllability</w:t>
      </w:r>
    </w:p>
    <w:p>
      <w:pPr>
        <w:pStyle w:val="FirstParagraph"/>
        <w:widowControl/>
        <w:jc w:val="both"/>
      </w:pPr>
      <w:r>
        <w:t xml:space="preserve">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pPr>
        <w:pStyle w:val="BodyText"/>
      </w:pPr>
      <w:r>
        <w:t xml:space="preserve">The ablation evidence-flow diagram makes this scope explicit: interpretation proceeds only after alpha-zero baseline preservation, an objective-specific ablation sweep, and paired NDCG-retention assessment. The flow does not extend the evidence to the other four models.</w:t>
      </w:r>
    </w:p>
    <w:p>
      <w:pPr>
        <w:pStyle w:val="BodyText"/>
      </w:pPr>
      <w:r>
        <w:t xml:space="preserve">The experiment uses a strict baseline-preserving canonical alpha sweep over the frozen original top-k item set. PGPR is the main ablation model and UCPR is an auxiliary replication. On both LastFM and ML-1M, the alpha=0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pPr>
        <w:pStyle w:val="BodyText"/>
      </w:pPr>
      <w:r>
        <w:t xml:space="preserve">Baseline preservation is formalised as</w:t>
      </w:r>
    </w:p>
    <w:p>
      <w:pPr>
        <w:pStyle w:val="BodyText"/>
      </w:pPr>
      <w:r>
        <w:t xml:space="preserve">[</w:t>
      </w:r>
      <w:r>
        <w:t xml:space="preserve"> </w:t>
      </w:r>
      <w:r>
        <w:t xml:space="preserve">D_{</w:t>
      </w:r>
      <w:r>
        <w:t xml:space="preserve">}</w:t>
      </w:r>
      <w:r>
        <w:t xml:space="preserve"> </w:t>
      </w:r>
      <w:r>
        <w:t xml:space="preserve">=</w:t>
      </w:r>
      <w:r>
        <w:t xml:space="preserve"> </w:t>
      </w:r>
      <w:r>
        <w:t xml:space="preserve">_{u}</w:t>
      </w:r>
      <w:r>
        <w:t xml:space="preserve"> </w:t>
      </w:r>
      <w:r>
        <w:t xml:space="preserve"> </w:t>
      </w:r>
      <w:r>
        <w:t xml:space="preserve">.</w:t>
      </w:r>
      <w:r>
        <w:t xml:space="preserve"> </w:t>
      </w:r>
      <w:r>
        <w:t xml:space="preserve">]</w:t>
      </w:r>
    </w:p>
    <w:p>
      <w:pPr>
        <w:pStyle w:val="BodyText"/>
      </w:pPr>
      <w:r>
        <w:t xml:space="preserve">When (D_{</w:t>
      </w:r>
      <w:r>
        <w:t xml:space="preserve">}=0), the ablation sweep preserves the alpha-zero baseline recommendation list under the tested condition.</w:t>
      </w:r>
    </w:p>
    <w:p>
      <w:pPr>
        <w:pStyle w:val="BodyText"/>
      </w:pPr>
      <w:r>
        <w:t xml:space="preserve">The second test selects the maximum explanation gain subject to NDCG retention greater than or equal to 95%. All twelve dataset-model-objective combinations in Table 5.1 have an operating point satisfying this rule. The selected alpha varies with the objective: some settings choose alpha=1.0;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5.1.</w:t>
      </w:r>
      <w:r>
        <w:t xml:space="preserve"> </w:t>
      </w:r>
      <w:r>
        <w:t xml:space="preserve">Registered PGPR/UCPR ablation evidence, including alpha-zero preservation and operating points selected under the 95% NDCG-retention rule. The evidence is confined to the frozen-item-set ablation protocol and does not establish six-model superiority.</w:t>
      </w:r>
      <w:r>
        <w:fldChar w:fldCharType="begin"/>
      </w:r>
      <w:r>
        <w:rPr>
          <w:vanish/>
        </w:rPr>
        <w:instrText xml:space="preserve"> TC "Table 5.1. Registered PGPR/UCPR ablation evidence, including alpha-zero preservation and operating points selected under the 95% NDCG-retention rule. The evidence is confined to the frozen-item-set ablation protocol and does not establish six-model superiority."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1370"/>
        <w:gridCol w:w="1288"/>
        <w:gridCol w:w="1498"/>
        <w:gridCol w:w="1459"/>
        <w:gridCol w:w="1664"/>
        <w:gridCol w:w="1410"/>
        <w:gridCol w:w="2133"/>
        <w:gridCol w:w="2138"/>
      </w:tblGrid>
      <w:tr>
        <w:trPr>
          <w:tblHeader w:val="true"/>
          <w:cantSplit/>
        </w:trPr>
        <w:tc>
          <w:tcPr>
            <w:tcW w:type="dxa" w:w="137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Dataset</w:t>
            </w:r>
          </w:p>
        </w:tc>
        <w:tc>
          <w:tcPr>
            <w:tcW w:type="dxa" w:w="128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Model</w:t>
            </w:r>
          </w:p>
        </w:tc>
        <w:tc>
          <w:tcPr>
            <w:tcW w:type="dxa" w:w="149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Role</w:t>
            </w:r>
          </w:p>
        </w:tc>
        <w:tc>
          <w:tcPr>
            <w:tcW w:type="dxa" w:w="145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Objective</w:t>
            </w:r>
          </w:p>
        </w:tc>
        <w:tc>
          <w:tcPr>
            <w:tcW w:type="dxa" w:w="1664"/>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Alpha=0 preservation</w:t>
            </w:r>
          </w:p>
        </w:tc>
        <w:tc>
          <w:tcPr>
            <w:tcW w:type="dxa" w:w="141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Selected alpha</w:t>
            </w:r>
          </w:p>
        </w:tc>
        <w:tc>
          <w:tcPr>
            <w:tcW w:type="dxa" w:w="2133"/>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NDCG retention (%)</w:t>
            </w:r>
          </w:p>
        </w:tc>
        <w:tc>
          <w:tcPr>
            <w:tcW w:type="dxa" w:w="213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Explanation gain (%)</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LIR</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99.94241852350147</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502.1737281916887</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SEP</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0.75</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95.12533360322276</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35.0627858616846</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ETD</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98.85509635280121</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3.470375996962718</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auxiliary</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LIR</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99.95795802784167</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124.7617652717867</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auxiliary</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SEP</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0.9</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101.10176774608024</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41.10245965558706</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LastFM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auxiliary</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ETD</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99.90177945338043</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17.41093828399619</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LIR</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0.55</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99.07457875982178</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56.30628040894491</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SEP</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0.95</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95.09754201603725</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47.71258507195951</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main</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ETD</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99.37594565492147</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15.270284027279294</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auxiliary</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LIR</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97.17021367334252</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44.48710687121857</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auxiliary</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SEP</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0.75</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96.92673514557228</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33.386449222625174</w:t>
            </w:r>
          </w:p>
        </w:tc>
      </w:tr>
      <w:tr>
        <w:tc>
          <w:tcPr>
            <w:tcW w:type="dxa" w:w="137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ML-1M</w:t>
            </w:r>
          </w:p>
        </w:tc>
        <w:tc>
          <w:tcPr>
            <w:tcW w:type="dxa" w:w="128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auxiliary</w:t>
            </w:r>
          </w:p>
        </w:tc>
        <w:tc>
          <w:tcPr>
            <w:tcW w:type="dxa" w:w="145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ETD</w:t>
            </w:r>
          </w:p>
        </w:tc>
        <w:tc>
          <w:tcPr>
            <w:tcW w:type="dxa" w:w="166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1.0</w:t>
            </w:r>
          </w:p>
        </w:tc>
        <w:tc>
          <w:tcPr>
            <w:tcW w:type="dxa" w:w="213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98.6577020832832</w:t>
            </w:r>
          </w:p>
        </w:tc>
        <w:tc>
          <w:tcPr>
            <w:tcW w:type="dxa" w:w="21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5.914101102243362</w:t>
            </w:r>
          </w:p>
        </w:tc>
      </w:tr>
    </w:tbl>
    <w:p>
      <w:pPr>
        <w:sectPr>
          <w:pgSz w:w="15840" w:h="12240" w:orient="landscape"/>
          <w:pgMar w:top="1080" w:right="1080" w:bottom="1080" w:left="1080" w:header="720" w:footer="720" w:gutter="0"/>
          <w:cols w:space="720"/>
          <w:docGrid w:linePitch="360"/>
        </w:sectPr>
      </w:pPr>
    </w:p>
    <w:p>
      <w:pPr>
        <w:pStyle w:val="BodyText"/>
      </w:pPr>
      <w:r>
        <w:t xml:space="preserve">For the ablation evidence stream, NDCG retention is</w:t>
      </w:r>
    </w:p>
    <w:p>
      <w:pPr>
        <w:pStyle w:val="BodyText"/>
      </w:pPr>
      <w:r>
        <w:t xml:space="preserve">[</w:t>
      </w:r>
      <w:r>
        <w:t xml:space="preserve"> </w:t>
      </w:r>
      <w:r>
        <w:t xml:space="preserve">_{m,d,q}(</w:t>
      </w:r>
      <w:r>
        <w:t xml:space="preserve">)</w:t>
      </w:r>
      <w:r>
        <w:t xml:space="preserve"> </w:t>
      </w:r>
      <w:r>
        <w:t xml:space="preserve">=</w:t>
      </w:r>
      <w:r>
        <w:t xml:space="preserve"> </w:t>
      </w:r>
      <w:r>
        <w:t xml:space="preserve">.</w:t>
      </w:r>
      <w:r>
        <w:t xml:space="preserve"> </w:t>
      </w:r>
      <w:r>
        <w:t xml:space="preserve">]</w:t>
      </w:r>
    </w:p>
    <w:p>
      <w:pPr>
        <w:pStyle w:val="BodyText"/>
      </w:pPr>
      <w:r>
        <w:t xml:space="preserve">The constrained operating point is</w:t>
      </w:r>
    </w:p>
    <w:p>
      <w:pPr>
        <w:pStyle w:val="BodyText"/>
      </w:pPr>
      <w:r>
        <w:t xml:space="preserve">[</w:t>
      </w:r>
      <w:r>
        <w:t xml:space="preserve"> </w:t>
      </w:r>
      <w:r>
        <w:t xml:space="preserve">^{*}</w:t>
      </w:r>
      <w:r>
        <w:t xml:space="preserve"> </w:t>
      </w:r>
      <w:r>
        <w:t xml:space="preserve">=</w:t>
      </w:r>
      <w:r>
        <w:t xml:space="preserve"> </w:t>
      </w:r>
      <w:r>
        <w:rPr>
          <w:i/>
          <w:iCs/>
        </w:rPr>
        <w:t xml:space="preserve">{</w:t>
      </w:r>
      <w:r>
        <w:rPr>
          <w:i/>
          <w:iCs/>
        </w:rPr>
        <w:t xml:space="preserve">}</w:t>
      </w:r>
      <w:r>
        <w:rPr>
          <w:i/>
          <w:iCs/>
        </w:rPr>
        <w:t xml:space="preserve"> </w:t>
      </w:r>
      <w:r>
        <w:rPr>
          <w:i/>
          <w:iCs/>
        </w:rPr>
        <w:t xml:space="preserve">Q</w:t>
      </w:r>
      <w:r>
        <w:t xml:space="preserve">{m,d}^{q}(</w:t>
      </w:r>
      <w:r>
        <w:t xml:space="preserve">)</w:t>
      </w:r>
      <w:r>
        <w:t xml:space="preserve"> </w:t>
      </w:r>
      <w:r>
        <w:t xml:space="preserve"> </w:t>
      </w:r>
      <w:r>
        <w:t xml:space="preserve"> </w:t>
      </w:r>
      <w:r>
        <w:t xml:space="preserve"> </w:t>
      </w:r>
      <w:r>
        <w:t xml:space="preserve">_{m,d,q}(</w:t>
      </w:r>
      <w:r>
        <w:t xml:space="preserve">)</w:t>
      </w:r>
      <w:r>
        <w:t xml:space="preserve"> </w:t>
      </w:r>
      <w:r>
        <w:t xml:space="preserve">.</w:t>
      </w:r>
      <w:r>
        <w:t xml:space="preserve"> </w:t>
      </w:r>
      <w:r>
        <w:t xml:space="preserve">]</w:t>
      </w:r>
    </w:p>
    <w:p>
      <w:pPr>
        <w:pStyle w:val="BodyText"/>
      </w:pPr>
      <w:r>
        <w:t xml:space="preserve">This formalises the operating-point selection used in the ablation evidence stream. It does not define six-model superiority and must not be mixed with strict accuracy results.</w:t>
      </w:r>
    </w:p>
    <w:p>
      <w:pPr>
        <w:pStyle w:val="BodyText"/>
      </w:pPr>
      <w:r>
        <w:t xml:space="preserve">The 95% retention operating-point diagram restates this constrained selection as a decision flow. The threshold applies only to the registered ablation stream and is not a general model-ranking criterion.</w:t>
      </w:r>
    </w:p>
    <w:p>
      <w:pPr>
        <w:pStyle w:val="BodyText"/>
      </w:pPr>
      <w:r>
        <w:t xml:space="preserve">The scale of movement is also objective-dependent. The selected LastFM PGPR LIR setting records a 502.1737281916887% explanation gain with 99.94241852350147% NDCG retention, whereas the selected ETD setting records a 3.470375996962718% gain with 98.85509635280121% retention. These percentages are not directly comparable because LIR and ETD use different scales and represent different path properties. They demonstrate that the same retention rule can expose different response ranges across objectives.</w:t>
      </w:r>
    </w:p>
    <w:p>
      <w:pPr>
        <w:pStyle w:val="BodyText"/>
      </w:pPr>
      <w:r>
        <w:t xml:space="preserve">UCPR supplies an auxiliary protocol check rather than a second main ablation claim. Its alpha=0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pPr>
        <w:pStyle w:val="BodyText"/>
      </w:pPr>
      <w:r>
        <w:t xml:space="preserve">Figure 5.1 presents the registered PGPR/UCPR trade-off curves for LastFM and ML-1M. Together with Table 5.1, the evidence supports a bounded conclusion: the framework provides an auditable control variable, exactly preserves the registered ranking at alpha=0, and identifies explanation-oriented operating points under an explicit NDCG-retention constraint.</w:t>
      </w:r>
    </w:p>
    <w:p xmlns:a="http://schemas.openxmlformats.org/drawingml/2006/main" xmlns:pic="http://schemas.openxmlformats.org/drawingml/2006/picture">
      <w:pPr>
        <w:pStyle w:val="BodyText"/>
        <w:keepNext/>
        <w:spacing w:before="160" w:after="80"/>
        <w:jc w:val="center"/>
      </w:pPr>
      <w:r>
        <w:drawing>
          <wp:inline>
            <wp:extent cx="4699000" cy="2093602"/>
            <wp:effectExtent b="0" l="0" r="0" t="0"/>
            <wp:docPr descr="Figure 5.1 PGPR/UCPR ablation" title="" id="73" name="Picture"/>
            <a:graphic>
              <a:graphicData uri="http://schemas.openxmlformats.org/drawingml/2006/picture">
                <pic:pic>
                  <pic:nvPicPr>
                    <pic:cNvPr descr="paper/current_dissertation/figures/png/figure_5_1_pgpr_ucpr_ablation_final.png" id="74" name="Picture"/>
                    <pic:cNvPicPr>
                      <a:picLocks noChangeArrowheads="1" noChangeAspect="1"/>
                    </pic:cNvPicPr>
                  </pic:nvPicPr>
                  <pic:blipFill>
                    <a:blip r:embed="rId21"/>
                    <a:stretch>
                      <a:fillRect/>
                    </a:stretch>
                  </pic:blipFill>
                  <pic:spPr bwMode="auto">
                    <a:xfrm>
                      <a:off x="0" y="0"/>
                      <a:ext cx="4699000" cy="2093602"/>
                    </a:xfrm>
                    <a:prstGeom prst="rect">
                      <a:avLst/>
                    </a:prstGeom>
                    <a:noFill/>
                    <a:ln w="9525">
                      <a:noFill/>
                      <a:headEnd/>
                      <a:tailEnd/>
                    </a:ln>
                  </pic:spPr>
                </pic:pic>
              </a:graphicData>
            </a:graphic>
          </wp:inline>
        </w:drawing>
      </w:r>
    </w:p>
    <w:p>
      <w:pPr>
        <w:pStyle w:val="Caption"/>
        <w:jc w:val="center"/>
      </w:pPr>
      <w:r>
        <w:rPr>
          <w:b/>
          <w:bCs/>
        </w:rPr>
        <w:t xml:space="preserve">Figure 5.1.</w:t>
      </w:r>
      <w:r>
        <w:t xml:space="preserve"> </w:t>
      </w:r>
      <w:r>
        <w:t xml:space="preserve">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fldChar w:fldCharType="begin"/>
      </w:r>
      <w:r>
        <w:rPr>
          <w:vanish/>
        </w:rPr>
        <w:instrText xml:space="preserve"> TC "Figure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 \f F \l 1 </w:instrText>
      </w:r>
      <w:r>
        <w:fldChar w:fldCharType="end"/>
      </w:r>
    </w:p>
    <w:bookmarkEnd w:id="75"/>
    <w:bookmarkStart w:id="76" w:name="X6ed1abef81bcbe5c67a5bddb0f7703e57bfcd1a"/>
    <w:p>
      <w:pPr>
        <w:pStyle w:val="Heading2"/>
        <w:keepNext/>
      </w:pPr>
      <w:r>
        <w:t xml:space="preserve">5.2 Mechanism-Level Comparison of Native-Path Models</w:t>
      </w:r>
    </w:p>
    <w:p>
      <w:pPr>
        <w:pStyle w:val="FirstParagraph"/>
        <w:widowControl/>
        <w:jc w:val="both"/>
      </w:pPr>
      <w:r>
        <w:t xml:space="preserve">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5.2.</w:t>
      </w:r>
      <w:r>
        <w:t xml:space="preserve"> </w:t>
      </w:r>
      <w:r>
        <w:t xml:space="preserve">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w:t>
      </w:r>
      <w:r>
        <w:fldChar w:fldCharType="begin"/>
      </w:r>
      <w:r>
        <w:rPr>
          <w:vanish/>
        </w:rPr>
        <w:instrText xml:space="preserve"> TC "Table 5.2. 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487"/>
        <w:gridCol w:w="1586"/>
        <w:gridCol w:w="2166"/>
        <w:gridCol w:w="2535"/>
        <w:gridCol w:w="1868"/>
        <w:gridCol w:w="2318"/>
      </w:tblGrid>
      <w:tr>
        <w:trPr>
          <w:tblHeader w:val="true"/>
          <w:cantSplit/>
        </w:trPr>
        <w:tc>
          <w:tcPr>
            <w:tcW w:type="dxa" w:w="248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Mechanism family / source</w:t>
            </w:r>
          </w:p>
        </w:tc>
        <w:tc>
          <w:tcPr>
            <w:tcW w:type="dxa" w:w="158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Models or metrics</w:t>
            </w:r>
          </w:p>
        </w:tc>
        <w:tc>
          <w:tcPr>
            <w:tcW w:type="dxa" w:w="216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Evidence grade in this dissertation</w:t>
            </w:r>
          </w:p>
        </w:tc>
        <w:tc>
          <w:tcPr>
            <w:tcW w:type="dxa" w:w="2535"/>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Supported wording</w:t>
            </w:r>
          </w:p>
        </w:tc>
        <w:tc>
          <w:tcPr>
            <w:tcW w:type="dxa" w:w="186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Citation status</w:t>
            </w:r>
          </w:p>
        </w:tc>
        <w:tc>
          <w:tcPr>
            <w:tcW w:type="dxa" w:w="231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Boundary</w:t>
            </w:r>
          </w:p>
        </w:tc>
      </w:tr>
      <w:tr>
        <w:tc>
          <w:tcPr>
            <w:tcW w:type="dxa" w:w="248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Reinforcement-learning path search</w:t>
            </w:r>
          </w:p>
        </w:tc>
        <w:tc>
          <w:tcPr>
            <w:tcW w:type="dxa" w:w="15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 UCPR</w:t>
            </w:r>
          </w:p>
        </w:tc>
        <w:tc>
          <w:tcPr>
            <w:tcW w:type="dxa" w:w="21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Stronger internal evidence for the registered ablation; architectural context from primary papers</w:t>
            </w:r>
          </w:p>
        </w:tc>
        <w:tc>
          <w:tcPr>
            <w:tcW w:type="dxa" w:w="253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registered PGPR/UCPR path or explanation selection layer is controllable under the frozen-item-set protocol.</w:t>
            </w:r>
          </w:p>
        </w:tc>
        <w:tc>
          <w:tcPr>
            <w:tcW w:type="dxa" w:w="186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PGPR verified; UCPR verified</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Does not show that reinforcement learning causes all curve differences or improves the underlying recommenders.</w:t>
            </w:r>
          </w:p>
        </w:tc>
      </w:tr>
      <w:tr>
        <w:tc>
          <w:tcPr>
            <w:tcW w:type="dxa" w:w="248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Coarse-to-fine neural-symbolic reasoning</w:t>
            </w:r>
          </w:p>
        </w:tc>
        <w:tc>
          <w:tcPr>
            <w:tcW w:type="dxa" w:w="15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CAFE</w:t>
            </w:r>
          </w:p>
        </w:tc>
        <w:tc>
          <w:tcPr>
            <w:tcW w:type="dxa" w:w="21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Descriptive mechanism context</w:t>
            </w:r>
          </w:p>
        </w:tc>
        <w:tc>
          <w:tcPr>
            <w:tcW w:type="dxa" w:w="253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High strict accuracy and visible explanation movement coexist in the registered ML-1M results.</w:t>
            </w:r>
          </w:p>
        </w:tc>
        <w:tc>
          <w:tcPr>
            <w:tcW w:type="dxa" w:w="186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CAFE verified</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No CAFE-specific module ablation establishes the cause of the curve shape.</w:t>
            </w:r>
          </w:p>
        </w:tc>
      </w:tr>
      <w:tr>
        <w:tc>
          <w:tcPr>
            <w:tcW w:type="dxa" w:w="248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Time-aware path reasoning</w:t>
            </w:r>
          </w:p>
        </w:tc>
        <w:tc>
          <w:tcPr>
            <w:tcW w:type="dxa" w:w="15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TPRec</w:t>
            </w:r>
          </w:p>
        </w:tc>
        <w:tc>
          <w:tcPr>
            <w:tcW w:type="dxa" w:w="21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Descriptive mechanism context plus internal boundary evidence</w:t>
            </w:r>
          </w:p>
        </w:tc>
        <w:tc>
          <w:tcPr>
            <w:tcW w:type="dxa" w:w="253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Timestamp availability is a mechanism-specific evaluation requirement; the Amazon temporal row is blocked under sentinel timestamps.</w:t>
            </w:r>
          </w:p>
        </w:tc>
        <w:tc>
          <w:tcPr>
            <w:tcW w:type="dxa" w:w="186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TPRec verified</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block is not evidence of poor recommendation performance.</w:t>
            </w:r>
          </w:p>
        </w:tc>
      </w:tr>
      <w:tr>
        <w:tc>
          <w:tcPr>
            <w:tcW w:type="dxa" w:w="248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Language-model-style path generation or scoring</w:t>
            </w:r>
          </w:p>
        </w:tc>
        <w:tc>
          <w:tcPr>
            <w:tcW w:type="dxa" w:w="15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 PEARLM</w:t>
            </w:r>
          </w:p>
        </w:tc>
        <w:tc>
          <w:tcPr>
            <w:tcW w:type="dxa" w:w="21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Descriptive mechanism context</w:t>
            </w:r>
          </w:p>
        </w:tc>
        <w:tc>
          <w:tcPr>
            <w:tcW w:type="dxa" w:w="253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Constrained path generation or scoring provides plausible context for the observed profiles.</w:t>
            </w:r>
          </w:p>
        </w:tc>
        <w:tc>
          <w:tcPr>
            <w:tcW w:type="dxa" w:w="186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KGGLM verified; PEARLM arXiv metadata verified, final venue / DOI requires manual check</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Candidate flexibility was not independently measured, so the observed movement is not causally attributed to the architecture.</w:t>
            </w:r>
          </w:p>
        </w:tc>
      </w:tr>
      <w:tr>
        <w:tc>
          <w:tcPr>
            <w:tcW w:type="dxa" w:w="248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Recency, implemented bridge-entity scoring, and explanation-type diversity</w:t>
            </w:r>
          </w:p>
        </w:tc>
        <w:tc>
          <w:tcPr>
            <w:tcW w:type="dxa" w:w="15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LIR; SEP; ETD</w:t>
            </w:r>
          </w:p>
        </w:tc>
        <w:tc>
          <w:tcPr>
            <w:tcW w:type="dxa" w:w="216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External conceptual source verified; internal metric implementation available; SEP semantic direction conservatively bounded</w:t>
            </w:r>
          </w:p>
        </w:tc>
        <w:tc>
          <w:tcPr>
            <w:tcW w:type="dxa" w:w="253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XRecSys supplies the conceptual metric family, while the dissertation reports the repository-specific evaluated implementation. SEP denotes the implemented repository-specific bridge-entity score.</w:t>
            </w:r>
          </w:p>
        </w:tc>
        <w:tc>
          <w:tcPr>
            <w:tcW w:type="dxa" w:w="186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XRecSys / LIR / SEP / ETD conceptual source verified</w:t>
            </w:r>
          </w:p>
        </w:tc>
        <w:tc>
          <w:tcPr>
            <w:tcW w:type="dxa" w:w="231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historical cached SEP matrix is unavailable, and computational path metrics do not establish human-perceived explanation quality. SEP trend analysis is retained as movement along the implemented objective.</w:t>
            </w:r>
          </w:p>
        </w:tc>
      </w:tr>
    </w:tbl>
    <w:p>
      <w:pPr>
        <w:sectPr>
          <w:pgSz w:w="15840" w:h="12240" w:orient="landscape"/>
          <w:pgMar w:top="1080" w:right="1080" w:bottom="1080" w:left="1080" w:header="720" w:footer="720" w:gutter="0"/>
          <w:cols w:space="720"/>
          <w:docGrid w:linePitch="360"/>
        </w:sectPr>
      </w:pPr>
    </w:p>
    <w:p>
      <w:pPr>
        <w:pStyle w:val="BodyText"/>
      </w:pPr>
      <w:r>
        <w:t xml:space="preserve">PGPR and UCPR form the reinforcement-learning path-search family, with UCPR additionally treated in the repository as a user-centric variant</w:t>
      </w:r>
      <w:r>
        <w:t xml:space="preserve"> </w:t>
      </w:r>
      <w:r>
        <w:t xml:space="preserve">(</w:t>
      </w:r>
      <w:hyperlink w:anchor="ref-xian2019pgpr">
        <w:r>
          <w:rPr>
            <w:rStyle w:val="Hyperlink"/>
          </w:rPr>
          <w:t xml:space="preserve">Xian et al. 2019</w:t>
        </w:r>
      </w:hyperlink>
      <w:r>
        <w:t xml:space="preserve">;</w:t>
      </w:r>
      <w:r>
        <w:t xml:space="preserve"> </w:t>
      </w:r>
      <w:hyperlink w:anchor="ref-tai2021ucpr">
        <w:r>
          <w:rPr>
            <w:rStyle w:val="Hyperlink"/>
          </w:rPr>
          <w:t xml:space="preserve">Tai et al. 2021</w:t>
        </w:r>
      </w:hyperlink>
      <w:r>
        <w:t xml:space="preserve">)</w:t>
      </w:r>
      <w:r>
        <w:t xml:space="preserve">. Their registered ablation directly shows that the path-selection layer can be redirected towards LIR, SEP, or ETD while preserving the alpha=0 baseline. It does not show that reinforcement learning or user-centric modelling causes every difference between the two models. That stronger interpretation would require targeted evidence; the verified primary papers establish model context, not the cause of repository-specific curve differences.</w:t>
      </w:r>
    </w:p>
    <w:p>
      <w:pPr>
        <w:pStyle w:val="BodyText"/>
      </w:pPr>
      <w:r>
        <w:t xml:space="preserve">CAFE represents the coarse-to-fine neural-symbolic reasoning family in the repository audit</w:t>
      </w:r>
      <w:r>
        <w:t xml:space="preserve"> </w:t>
      </w:r>
      <w:r>
        <w:t xml:space="preserve">(</w:t>
      </w:r>
      <w:hyperlink w:anchor="ref-xian2020cafe">
        <w:r>
          <w:rPr>
            <w:rStyle w:val="Hyperlink"/>
          </w:rPr>
          <w:t xml:space="preserve">Xian et al. 2020</w:t>
        </w:r>
      </w:hyperlink>
      <w:r>
        <w:t xml:space="preserve">)</w:t>
      </w:r>
      <w:r>
        <w:t xml:space="preserve">.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pPr>
        <w:pStyle w:val="BodyText"/>
      </w:pPr>
      <w:r>
        <w:t xml:space="preserve">TPRec represents time-aware path reasoning</w:t>
      </w:r>
      <w:r>
        <w:t xml:space="preserve"> </w:t>
      </w:r>
      <w:r>
        <w:t xml:space="preserve">(</w:t>
      </w:r>
      <w:hyperlink w:anchor="ref-zhao2022tprec">
        <w:r>
          <w:rPr>
            <w:rStyle w:val="Hyperlink"/>
          </w:rPr>
          <w:t xml:space="preserve">Zhao et al. 2022</w:t>
        </w:r>
      </w:hyperlink>
      <w:r>
        <w:t xml:space="preserve">)</w:t>
      </w:r>
      <w:r>
        <w:t xml:space="preserve">.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pPr>
        <w:pStyle w:val="BodyText"/>
      </w:pPr>
      <w:r>
        <w:t xml:space="preserve">KGGLM and PEARLM form the language-model-style path generation or scoring group</w:t>
      </w:r>
      <w:r>
        <w:t xml:space="preserve"> </w:t>
      </w:r>
      <w:r>
        <w:t xml:space="preserve">(</w:t>
      </w:r>
      <w:hyperlink w:anchor="ref-balloccu2024kgglm">
        <w:r>
          <w:rPr>
            <w:rStyle w:val="Hyperlink"/>
          </w:rPr>
          <w:t xml:space="preserve">Balloccu et al. 2024</w:t>
        </w:r>
      </w:hyperlink>
      <w:r>
        <w:t xml:space="preserve">,</w:t>
      </w:r>
      <w:r>
        <w:t xml:space="preserve"> </w:t>
      </w:r>
      <w:hyperlink w:anchor="ref-balloccu2023pearlm">
        <w:r>
          <w:rPr>
            <w:rStyle w:val="Hyperlink"/>
          </w:rPr>
          <w:t xml:space="preserve">2023</w:t>
        </w:r>
      </w:hyperlink>
      <w:r>
        <w:t xml:space="preserve">)</w:t>
      </w:r>
      <w:r>
        <w:t xml:space="preserve">.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pPr>
        <w:pStyle w:val="BodyText"/>
      </w:pPr>
      <w:r>
        <w:t xml:space="preserve">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bookmarkEnd w:id="76"/>
    <w:bookmarkStart w:id="77" w:name="Xd763e9154f5308496e67d27b0fff4d6af83151d"/>
    <w:p>
      <w:pPr>
        <w:pStyle w:val="Heading2"/>
        <w:keepNext/>
      </w:pPr>
      <w:r>
        <w:t xml:space="preserve">5.3 Accuracy–Explainability Interaction Patterns</w:t>
      </w:r>
    </w:p>
    <w:p>
      <w:pPr>
        <w:pStyle w:val="FirstParagraph"/>
        <w:widowControl/>
        <w:jc w:val="both"/>
      </w:pPr>
      <w:r>
        <w:t xml:space="preserve">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pPr>
        <w:pStyle w:val="BodyText"/>
      </w:pPr>
      <w:r>
        <w:t xml:space="preserve">The PGPR/UCPR ablation supplies the stronger evidence in this chapter. It verifies exact alpha=0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pPr>
        <w:pStyle w:val="BodyText"/>
      </w:pPr>
      <w:r>
        <w:t xml:space="preserve">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pPr>
        <w:pStyle w:val="BodyText"/>
      </w:pPr>
      <w:r>
        <w:t xml:space="preserve">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pPr>
        <w:pStyle w:val="BodyText"/>
      </w:pPr>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path module. Neither sweep NDCG nor ablation NDCG can replace the strict final-accuracy table.</w:t>
      </w:r>
    </w:p>
    <w:p>
      <w:pPr>
        <w:pStyle w:val="BodyText"/>
      </w:pPr>
      <w:r>
        <w:t xml:space="preserve">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bookmarkEnd w:id="77"/>
    <w:bookmarkStart w:id="81" w:name="amazon-book-kgat-as-a-boundary-case"/>
    <w:p>
      <w:pPr>
        <w:pStyle w:val="Heading2"/>
        <w:keepNext/>
      </w:pPr>
      <w:r>
        <w:t xml:space="preserve">5.4 Amazon-Book KGAT as a Boundary Case</w:t>
      </w:r>
    </w:p>
    <w:p>
      <w:pPr>
        <w:pStyle w:val="FirstParagraph"/>
        <w:widowControl/>
        <w:jc w:val="both"/>
      </w:pPr>
      <w:r>
        <w:t xml:space="preserve">The validation gate from Chapter 3 partitions the registered model-dataset rows into the eligible set</w:t>
      </w:r>
    </w:p>
    <w:p>
      <w:pPr>
        <w:pStyle w:val="BodyText"/>
      </w:pPr>
      <w:r>
        <w:t xml:space="preserve">[</w:t>
      </w:r>
      <w:r>
        <w:t xml:space="preserve"> </w:t>
      </w:r>
      <w:r>
        <w:t xml:space="preserve"> </w:t>
      </w:r>
      <w:r>
        <w:t xml:space="preserve">=</w:t>
      </w:r>
      <w:r>
        <w:t xml:space="preserve"> </w:t>
      </w:r>
      <w:r>
        <w:t xml:space="preserve">{(m,d): V_{m,d}=1}</w:t>
      </w:r>
      <w:r>
        <w:t xml:space="preserve"> </w:t>
      </w:r>
      <w:r>
        <w:t xml:space="preserve">]</w:t>
      </w:r>
    </w:p>
    <w:p>
      <w:pPr>
        <w:pStyle w:val="BodyText"/>
      </w:pPr>
      <w:r>
        <w:t xml:space="preserve">and the boundary set</w:t>
      </w:r>
    </w:p>
    <w:p>
      <w:pPr>
        <w:pStyle w:val="BodyText"/>
      </w:pPr>
      <w:r>
        <w:t xml:space="preserve">[</w:t>
      </w:r>
      <w:r>
        <w:t xml:space="preserve"> </w:t>
      </w:r>
      <w:r>
        <w:t xml:space="preserve"> </w:t>
      </w:r>
      <w:r>
        <w:t xml:space="preserve">=</w:t>
      </w:r>
      <w:r>
        <w:t xml:space="preserve"> </w:t>
      </w:r>
      <w:r>
        <w:t xml:space="preserve">{(m,d): V_{m,d}=0}.</w:t>
      </w:r>
      <w:r>
        <w:t xml:space="preserve"> </w:t>
      </w:r>
      <w:r>
        <w:t xml:space="preserve">]</w:t>
      </w:r>
    </w:p>
    <w:p>
      <w:pPr>
        <w:pStyle w:val="BodyText"/>
      </w:pPr>
      <w:r>
        <w:t xml:space="preserve">Chapter 4 reports rows in (</w:t>
      </w:r>
      <w:r>
        <w:t xml:space="preserve">). Chapter 5 discusses selected rows in (</w:t>
      </w:r>
      <w:r>
        <w:t xml:space="preserve">) as boundary evidence rather than performance evidence.</w:t>
      </w:r>
    </w:p>
    <w:p>
      <w:pPr>
        <w:pStyle w:val="BodyText"/>
      </w:pPr>
      <w:r>
        <w:t xml:space="preserve">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pPr>
        <w:pStyle w:val="BodyText"/>
      </w:pPr>
      <w:r>
        <w:t xml:space="preserve">Amazon-Book KGAT tests where the framework can support comparison and where it must stop. It is a partial stress test, not a complete main experiment.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pPr>
        <w:pStyle w:val="BodyText"/>
      </w:pPr>
      <w:r>
        <w:t xml:space="preserve">The remaining UCPR, CAFE, and TPRec rows are BLOCKED / N/A for different contract reasons. UCPR has completed several port and smoke checks but lacks the required formal full-user export and strict-accuracy outputs. CAFE requires an Amazon-compatible 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pPr>
        <w:pStyle w:val="BodyText"/>
      </w:pPr>
      <w:r>
        <w:t xml:space="preserve">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5.3.</w:t>
      </w:r>
      <w:r>
        <w:t xml:space="preserve"> </w:t>
      </w:r>
      <w:r>
        <w:t xml:space="preserve">Amazon-Book KGAT boundary status. PASS rows are reportable under the registered contract, whereas BLOCKED / N/A rows remain boundary evidence and are not comparative performance results. Amazon-Book remains a partial boundary case rather than a complete main benchmark.</w:t>
      </w:r>
      <w:r>
        <w:fldChar w:fldCharType="begin"/>
      </w:r>
      <w:r>
        <w:rPr>
          <w:vanish/>
        </w:rPr>
        <w:instrText xml:space="preserve"> TC "Table 5.3. Amazon-Book KGAT boundary status. PASS rows are reportable under the registered contract, whereas BLOCKED / N/A rows remain boundary evidence and are not comparative performance results. Amazon-Book remains a partial boundary case rather than a complete main benchmark."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1272"/>
        <w:gridCol w:w="1482"/>
        <w:gridCol w:w="1414"/>
        <w:gridCol w:w="1413"/>
        <w:gridCol w:w="1498"/>
        <w:gridCol w:w="2852"/>
        <w:gridCol w:w="3029"/>
      </w:tblGrid>
      <w:tr>
        <w:trPr>
          <w:tblHeader w:val="true"/>
          <w:cantSplit/>
        </w:trPr>
        <w:tc>
          <w:tcPr>
            <w:tcW w:type="dxa" w:w="127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Model</w:t>
            </w:r>
          </w:p>
        </w:tc>
        <w:tc>
          <w:tcPr>
            <w:tcW w:type="dxa" w:w="148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Validation status</w:t>
            </w:r>
          </w:p>
        </w:tc>
        <w:tc>
          <w:tcPr>
            <w:tcW w:type="dxa" w:w="1414"/>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Canonical test users</w:t>
            </w:r>
          </w:p>
        </w:tc>
        <w:tc>
          <w:tcPr>
            <w:tcW w:type="dxa" w:w="1413"/>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Pred-path rows</w:t>
            </w:r>
          </w:p>
        </w:tc>
        <w:tc>
          <w:tcPr>
            <w:tcW w:type="dxa" w:w="149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Explanation rows</w:t>
            </w:r>
          </w:p>
        </w:tc>
        <w:tc>
          <w:tcPr>
            <w:tcW w:type="dxa" w:w="2852"/>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Evidence</w:t>
            </w:r>
          </w:p>
        </w:tc>
        <w:tc>
          <w:tcPr>
            <w:tcW w:type="dxa" w:w="302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5"/>
              </w:rPr>
              <w:t>Boundary note</w:t>
            </w:r>
          </w:p>
        </w:tc>
      </w:tr>
      <w:tr>
        <w:tc>
          <w:tcPr>
            <w:tcW w:type="dxa" w:w="127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KGGLM</w:t>
            </w:r>
          </w:p>
        </w:tc>
        <w:tc>
          <w:tcPr>
            <w:tcW w:type="dxa" w:w="14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70591</w:t>
            </w:r>
          </w:p>
        </w:tc>
        <w:tc>
          <w:tcPr>
            <w:tcW w:type="dxa" w:w="141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1326486</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655285</w:t>
            </w:r>
          </w:p>
        </w:tc>
        <w:tc>
          <w:tcPr>
            <w:tcW w:type="dxa" w:w="285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reports/tables/canonical_export_validation/amazon_book_kgat_v1_kgglm.json</w:t>
            </w:r>
          </w:p>
        </w:tc>
        <w:tc>
          <w:tcPr>
            <w:tcW w:type="dxa" w:w="30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Exact test-user coverage in top-k export; path endpoint and top-k/explanation consistency enforced by validation script.</w:t>
            </w:r>
          </w:p>
        </w:tc>
      </w:tr>
      <w:tr>
        <w:tc>
          <w:tcPr>
            <w:tcW w:type="dxa" w:w="127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PEARLM</w:t>
            </w:r>
          </w:p>
        </w:tc>
        <w:tc>
          <w:tcPr>
            <w:tcW w:type="dxa" w:w="14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70591</w:t>
            </w:r>
          </w:p>
        </w:tc>
        <w:tc>
          <w:tcPr>
            <w:tcW w:type="dxa" w:w="141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885270</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578518</w:t>
            </w:r>
          </w:p>
        </w:tc>
        <w:tc>
          <w:tcPr>
            <w:tcW w:type="dxa" w:w="285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reports/tables/canonical_export_validation/amazon_book_kgat_v1_pearlm.json</w:t>
            </w:r>
          </w:p>
        </w:tc>
        <w:tc>
          <w:tcPr>
            <w:tcW w:type="dxa" w:w="30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Exact test-user coverage in top-k export; path endpoint and top-k/explanation consistency enforced by validation script.</w:t>
            </w:r>
          </w:p>
        </w:tc>
      </w:tr>
      <w:tr>
        <w:tc>
          <w:tcPr>
            <w:tcW w:type="dxa" w:w="127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PGPR</w:t>
            </w:r>
          </w:p>
        </w:tc>
        <w:tc>
          <w:tcPr>
            <w:tcW w:type="dxa" w:w="14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PASS</w:t>
            </w:r>
          </w:p>
        </w:tc>
        <w:tc>
          <w:tcPr>
            <w:tcW w:type="dxa" w:w="141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70591</w:t>
            </w:r>
          </w:p>
        </w:tc>
        <w:tc>
          <w:tcPr>
            <w:tcW w:type="dxa" w:w="141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4109983</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705846</w:t>
            </w:r>
          </w:p>
        </w:tc>
        <w:tc>
          <w:tcPr>
            <w:tcW w:type="dxa" w:w="285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reports/tables/canonical_export_validation/amazon_book_kgat_v1_pgpr.json</w:t>
            </w:r>
          </w:p>
        </w:tc>
        <w:tc>
          <w:tcPr>
            <w:tcW w:type="dxa" w:w="30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Exact test-user coverage in top-k export; path endpoint and top-k/explanation consistency enforced by validation script.</w:t>
            </w:r>
          </w:p>
        </w:tc>
      </w:tr>
      <w:tr>
        <w:tc>
          <w:tcPr>
            <w:tcW w:type="dxa" w:w="127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UCPR</w:t>
            </w:r>
          </w:p>
        </w:tc>
        <w:tc>
          <w:tcPr>
            <w:tcW w:type="dxa" w:w="14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BLOCKED / N/A</w:t>
            </w:r>
          </w:p>
        </w:tc>
        <w:tc>
          <w:tcPr>
            <w:tcW w:type="dxa" w:w="141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1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285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reports/tables/amazon_classic_port_readiness.json</w:t>
            </w:r>
          </w:p>
        </w:tc>
        <w:tc>
          <w:tcPr>
            <w:tcW w:type="dxa" w:w="30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Amazon UCPR data view, adapter aliases, runtime schema patch, and preprocess/TransE-forward smokes are PASS; formal training pipeline status=FAILED, stage=line_193, policy=train_agent_amazon_formal_e40_b16_d100, policy_batch=16, beam=25-5-1, run_inference=0; strict full-user export/accuracy still pending</w:t>
            </w:r>
          </w:p>
        </w:tc>
      </w:tr>
      <w:tr>
        <w:tc>
          <w:tcPr>
            <w:tcW w:type="dxa" w:w="127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CAFE</w:t>
            </w:r>
          </w:p>
        </w:tc>
        <w:tc>
          <w:tcPr>
            <w:tcW w:type="dxa" w:w="14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BLOCKED / N/A</w:t>
            </w:r>
          </w:p>
        </w:tc>
        <w:tc>
          <w:tcPr>
            <w:tcW w:type="dxa" w:w="141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1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285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reports/tables/amazon_classic_port_readiness.json</w:t>
            </w:r>
          </w:p>
        </w:tc>
        <w:tc>
          <w:tcPr>
            <w:tcW w:type="dxa" w:w="30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Needs Amazon schema/data-builder port and compatible UCPR view/TransE checkpoint</w:t>
            </w:r>
          </w:p>
        </w:tc>
      </w:tr>
      <w:tr>
        <w:tc>
          <w:tcPr>
            <w:tcW w:type="dxa" w:w="127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TPRec</w:t>
            </w:r>
          </w:p>
        </w:tc>
        <w:tc>
          <w:tcPr>
            <w:tcW w:type="dxa" w:w="148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BLOCKED / N/A</w:t>
            </w:r>
          </w:p>
        </w:tc>
        <w:tc>
          <w:tcPr>
            <w:tcW w:type="dxa" w:w="1414"/>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13"/>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149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N/A</w:t>
            </w:r>
          </w:p>
        </w:tc>
        <w:tc>
          <w:tcPr>
            <w:tcW w:type="dxa" w:w="2852"/>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reports/tables/amazon_classic_port_readiness.json</w:t>
            </w:r>
          </w:p>
        </w:tc>
        <w:tc>
          <w:tcPr>
            <w:tcW w:type="dxa" w:w="302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5"/>
              </w:rPr>
              <w:t>Amazon TPRec structural path constraints/runtime entrypoints are wired; formal temporal TPRec remains blocked because canonical timestamps are sentinel -1</w:t>
            </w:r>
          </w:p>
        </w:tc>
      </w:tr>
    </w:tbl>
    <w:p>
      <w:pPr>
        <w:sectPr>
          <w:pgSz w:w="15840" w:h="12240" w:orient="landscape"/>
          <w:pgMar w:top="1080" w:right="1080" w:bottom="1080" w:left="1080" w:header="720" w:footer="720" w:gutter="0"/>
          <w:cols w:space="720"/>
          <w:docGrid w:linePitch="360"/>
        </w:sectPr>
      </w:pPr>
    </w:p>
    <w:p>
      <w:pPr>
        <w:pStyle w:val="BodyText"/>
      </w:pPr>
      <w:r>
        <w:t xml:space="preserve">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xmlns:a="http://schemas.openxmlformats.org/drawingml/2006/main" xmlns:pic="http://schemas.openxmlformats.org/drawingml/2006/picture">
      <w:pPr>
        <w:pStyle w:val="BodyText"/>
        <w:keepNext/>
        <w:spacing w:before="160" w:after="80"/>
        <w:jc w:val="center"/>
      </w:pPr>
      <w:r>
        <w:drawing>
          <wp:inline>
            <wp:extent cx="4699000" cy="1469078"/>
            <wp:effectExtent b="0" l="0" r="0" t="0"/>
            <wp:docPr descr="Figure 5.2 experiment-status matrix" title="" id="79" name="Picture"/>
            <a:graphic>
              <a:graphicData uri="http://schemas.openxmlformats.org/drawingml/2006/picture">
                <pic:pic>
                  <pic:nvPicPr>
                    <pic:cNvPr descr="paper/current_dissertation/figures/png/figure_5_2_experiment_status_matrix_final.png" id="80" name="Picture"/>
                    <pic:cNvPicPr>
                      <a:picLocks noChangeArrowheads="1" noChangeAspect="1"/>
                    </pic:cNvPicPr>
                  </pic:nvPicPr>
                  <pic:blipFill>
                    <a:blip r:embed="rId22"/>
                    <a:stretch>
                      <a:fillRect/>
                    </a:stretch>
                  </pic:blipFill>
                  <pic:spPr bwMode="auto">
                    <a:xfrm>
                      <a:off x="0" y="0"/>
                      <a:ext cx="4699000" cy="1469078"/>
                    </a:xfrm>
                    <a:prstGeom prst="rect">
                      <a:avLst/>
                    </a:prstGeom>
                    <a:noFill/>
                    <a:ln w="9525">
                      <a:noFill/>
                      <a:headEnd/>
                      <a:tailEnd/>
                    </a:ln>
                  </pic:spPr>
                </pic:pic>
              </a:graphicData>
            </a:graphic>
          </wp:inline>
        </w:drawing>
      </w:r>
    </w:p>
    <w:p>
      <w:pPr>
        <w:pStyle w:val="Caption"/>
        <w:jc w:val="center"/>
      </w:pPr>
      <w:r>
        <w:rPr>
          <w:b/>
          <w:bCs/>
        </w:rPr>
        <w:t xml:space="preserve">Figure 5.2.</w:t>
      </w:r>
      <w:r>
        <w:t xml:space="preserve"> </w:t>
      </w:r>
      <w:r>
        <w:t xml:space="preserve">Validation-status matrix for canonical native-path experiments, including the partial Amazon-Book KGAT boundary. This figure records validation status rather than comparative recommendation performance; BLOCKED / N/A rows must not be ranked against PASS rows.</w:t>
      </w:r>
      <w:r>
        <w:fldChar w:fldCharType="begin"/>
      </w:r>
      <w:r>
        <w:rPr>
          <w:vanish/>
        </w:rPr>
        <w:instrText xml:space="preserve"> TC "Figure 5.2. Validation-status matrix for canonical native-path experiments, including the partial Amazon-Book KGAT boundary. This figure records validation status rather than comparative recommendation performance; BLOCKED / N/A rows must not be ranked against PASS rows." \f F \l 1 </w:instrText>
      </w:r>
      <w:r>
        <w:fldChar w:fldCharType="end"/>
      </w:r>
    </w:p>
    <w:bookmarkEnd w:id="81"/>
    <w:bookmarkStart w:id="82" w:name="X9d632b92d2ac1c34260a3578fd14008be7527fd"/>
    <w:p>
      <w:pPr>
        <w:pStyle w:val="Heading2"/>
        <w:keepNext/>
      </w:pPr>
      <w:r>
        <w:t xml:space="preserve">5.5 Limitations of the Current Framework and Experiments</w:t>
      </w:r>
    </w:p>
    <w:p>
      <w:pPr>
        <w:pStyle w:val="FirstParagraph"/>
        <w:widowControl/>
        <w:jc w:val="both"/>
      </w:pPr>
      <w:r>
        <w:t xml:space="preserve">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pPr>
        <w:pStyle w:val="BodyText"/>
      </w:pPr>
      <w:r>
        <w:t xml:space="preserve">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w:t>
      </w:r>
      <w:r>
        <w:t xml:space="preserve"> </w:t>
      </w:r>
      <w:r>
        <w:t xml:space="preserve">(</w:t>
      </w:r>
      <w:hyperlink w:anchor="ref-balloccu2022xrecsys">
        <w:r>
          <w:rPr>
            <w:rStyle w:val="Hyperlink"/>
          </w:rPr>
          <w:t xml:space="preserve">Balloccu et al. 2022a</w:t>
        </w:r>
      </w:hyperlink>
      <w:r>
        <w:t xml:space="preserve">)</w:t>
      </w:r>
      <w:r>
        <w:t xml:space="preserve">. The historical cached SEP matrix is not available in the current evidence package, and no causal mechanism claim is inferred from SEP movement.</w:t>
      </w:r>
    </w:p>
    <w:p>
      <w:pPr>
        <w:pStyle w:val="BodyText"/>
      </w:pPr>
      <w:r>
        <w:t xml:space="preserve">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pPr>
        <w:pStyle w:val="BodyText"/>
      </w:pPr>
      <w:r>
        <w:t xml:space="preserve">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pPr>
        <w:pStyle w:val="BodyText"/>
      </w:pPr>
      <w:r>
        <w:t xml:space="preserve">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pPr>
        <w:pStyle w:val="BodyText"/>
      </w:pPr>
      <w:r>
        <w:t xml:space="preserve">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pPr>
        <w:pStyle w:val="BodyText"/>
      </w:pPr>
      <w:r>
        <w:t xml:space="preserve">Table 5.4 consolidates these limitations, their implications, and possible mitigations. They define the valid scope of the current results and motivate the evidence-coverage, robustness, human-evaluation, and reproducibility recommendations in Chapter 6.</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5.4.</w:t>
      </w:r>
      <w:r>
        <w:t xml:space="preserve"> </w:t>
      </w:r>
      <w:r>
        <w:t xml:space="preserve">Evidence, reproducibility, citation, and packaging limitations. The table preserves the registered user-study, significance, Amazon, metric-implementation, strict-primary-artifact, checkpoint, citation, and figure-insertion caveats; none is converted into a new result or performance claim.</w:t>
      </w:r>
      <w:r>
        <w:fldChar w:fldCharType="begin"/>
      </w:r>
      <w:r>
        <w:rPr>
          <w:vanish/>
        </w:rPr>
        <w:instrText xml:space="preserve"> TC "Table 5.4. Evidence, reproducibility, citation, and packaging limitations. The table preserves the registered user-study, significance, Amazon, metric-implementation, strict-primary-artifact, checkpoint, citation, and figure-insertion caveats; none is converted into a new result or performance claim."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2969"/>
        <w:gridCol w:w="2367"/>
        <w:gridCol w:w="2638"/>
        <w:gridCol w:w="2845"/>
        <w:gridCol w:w="2141"/>
      </w:tblGrid>
      <w:tr>
        <w:trPr>
          <w:tblHeader w:val="true"/>
          <w:cantSplit/>
        </w:trPr>
        <w:tc>
          <w:tcPr>
            <w:tcW w:type="dxa" w:w="2969"/>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Limitation</w:t>
            </w:r>
          </w:p>
        </w:tc>
        <w:tc>
          <w:tcPr>
            <w:tcW w:type="dxa" w:w="2367"/>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Affected evidence</w:t>
            </w:r>
          </w:p>
        </w:tc>
        <w:tc>
          <w:tcPr>
            <w:tcW w:type="dxa" w:w="263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Implication for the dissertation</w:t>
            </w:r>
          </w:p>
        </w:tc>
        <w:tc>
          <w:tcPr>
            <w:tcW w:type="dxa" w:w="2845"/>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Required action or retained wording</w:t>
            </w:r>
          </w:p>
        </w:tc>
        <w:tc>
          <w:tcPr>
            <w:tcW w:type="dxa" w:w="2141"/>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6"/>
              </w:rPr>
              <w:t>Status</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No user-study artifact</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Human-facing explanation claims</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LIR, SEP, and ETD cannot establish perceived usefulness, clarity, persuasiveness, or trust.</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Keep claims at the level of computational path properties; design a separate user study for future work.</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Open caveat</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No statistical-significance artifact</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Chapter 4 and 5 comparisons</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Numerical differences remain descriptive rather than inferential.</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Do not use significance language unless a separately registered analysis is added.</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Open caveat</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Amazon-Book KGAT coverage is partial</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Dataset generalisation and boundary analysis</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Amazon cannot support a complete six-model trade-off conclusion.</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Retain three PASS and three BLOCKED / N/A rows and describe Amazon only as a partial boundary case.</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Open boundary</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LIR / SEP / ETD exact implementation is repository-specific</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Explanation metric interpretation</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Metric behaviour depends on internal timestamp, bridge-entity scoring, path-anchor, taxonomy, and denominator rules. SEP semantic direction is conservatively bounded.</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Describe SEP as the implemented repository-specific bridge-entity score and do not infer user-perceived serendipity, novelty, usefulness, or explanation quality.</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Wording frozen; historical artifact caveat retained</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Twelve strict primary JSON artifacts are unavailable</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Strict accuracy provenance</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Accessible summaries support draft-level traceability but not primary-artifact closure.</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State 0/12 accessible and do not claim primary JSON verification.</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Critical before final submission</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Checkpoint paths / hashes, seeds, and several model-native hyperparameters are incomplete</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Reproducibility and configuration freeze</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complete six-model execution configuration cannot be frozen from the current package.</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Recover the archived run package or retain requires manual verification; do not infer absent settings.</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Open caveat</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PEARLM final venue / DOI and final BibTeX cleanup remain pending</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Final bibliography</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The arXiv citation is safe at draft level, but final publication metadata is not closed.</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Manually verify PEARLM venue / DOI and perform final BibTeX formatting before submission.</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Manual verification required</w:t>
            </w:r>
          </w:p>
        </w:tc>
      </w:tr>
      <w:tr>
        <w:tc>
          <w:tcPr>
            <w:tcW w:type="dxa" w:w="2969"/>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Figure insertion and final NTU formatting are pending</w:t>
            </w:r>
          </w:p>
        </w:tc>
        <w:tc>
          <w:tcPr>
            <w:tcW w:type="dxa" w:w="2367"/>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Dissertation packaging</w:t>
            </w:r>
          </w:p>
        </w:tc>
        <w:tc>
          <w:tcPr>
            <w:tcW w:type="dxa" w:w="263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Current Markdown registers content and evidence roles only.</w:t>
            </w:r>
          </w:p>
        </w:tc>
        <w:tc>
          <w:tcPr>
            <w:tcW w:type="dxa" w:w="2845"/>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Complete image insertion, numbering, cross-references, Word layout, and final PDF checks in a later batch.</w:t>
            </w:r>
          </w:p>
        </w:tc>
        <w:tc>
          <w:tcPr>
            <w:tcW w:type="dxa" w:w="2141"/>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6"/>
              </w:rPr>
              <w:t>Deferred</w:t>
            </w:r>
          </w:p>
        </w:tc>
      </w:tr>
    </w:tbl>
    <w:p>
      <w:pPr>
        <w:sectPr>
          <w:pgSz w:w="15840" w:h="12240" w:orient="landscape"/>
          <w:pgMar w:top="1080" w:right="1080" w:bottom="1080" w:left="1080" w:header="720" w:footer="720" w:gutter="0"/>
          <w:cols w:space="720"/>
          <w:docGrid w:linePitch="360"/>
        </w:sectPr>
      </w:pPr>
    </w:p>
    <w:bookmarkEnd w:id="82"/>
    <w:bookmarkEnd w:id="83"/>
    <w:bookmarkStart w:id="86" w:name="chapter-6-conclusion-and-recommendations"/>
    <w:p>
      <w:pPr>
        <w:pStyle w:val="Heading1"/>
        <w:keepNext/>
        <w:pageBreakBefore/>
      </w:pPr>
      <w:r>
        <w:t xml:space="preserve">Chapter 6 Conclusion and Recommendations</w:t>
      </w:r>
    </w:p>
    <w:bookmarkStart w:id="84" w:name="conclusion"/>
    <w:p>
      <w:pPr>
        <w:pStyle w:val="Heading2"/>
        <w:keepNext/>
      </w:pPr>
      <w:r>
        <w:t xml:space="preserve">6.1 Conclusion</w:t>
      </w:r>
    </w:p>
    <w:p>
      <w:pPr>
        <w:pStyle w:val="FirstParagraph"/>
        <w:widowControl/>
        <w:jc w:val="both"/>
      </w:pPr>
      <w:r>
        <w:t xml:space="preserve">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pPr>
        <w:pStyle w:val="BodyText"/>
      </w:pPr>
      <w:r>
        <w:t xml:space="preserve">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pPr>
        <w:pStyle w:val="BodyText"/>
      </w:pPr>
      <w:r>
        <w:t xml:space="preserve">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pPr>
        <w:pStyle w:val="BodyText"/>
      </w:pPr>
      <w:r>
        <w:t xml:space="preserve">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pPr>
        <w:pStyle w:val="BodyText"/>
      </w:pPr>
      <w:r>
        <w:t xml:space="preserve">LIR, SEP, and ETD make different parts of those profiles visible. LIR concerns the recency of the historical interaction linked by a path, SEP uses the repository-specific bridge-entity 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pPr>
        <w:pStyle w:val="BodyText"/>
      </w:pPr>
      <w:r>
        <w:t xml:space="preserve">The third contribution is bounded interpretation. Chapter 5 tested whether explanation-oriented objectives could be controlled under an explicit ranking-utility condition. The PGPR/UCPR ablation preserves the registered alpha=0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pPr>
        <w:pStyle w:val="BodyText"/>
      </w:pPr>
      <w:r>
        <w:t xml:space="preserve">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pPr>
        <w:pStyle w:val="BodyText"/>
      </w:pPr>
      <w:r>
        <w:t xml:space="preserve">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pPr>
        <w:pStyle w:val="BodyText"/>
      </w:pPr>
      <w:r>
        <w:t xml:space="preserve">Taken together, the framework makes the accuracy–explainability trade-off of native-path knowledge graph recommenders measurable, comparable, and auditable under a shared contract. Explicit ranking and path metrics provide measurability. Canonical 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pPr>
        <w:pStyle w:val="BodyText"/>
      </w:pPr>
      <w:r>
        <w:t xml:space="preserve">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pPr>
        <w:pStyle w:val="BodyText"/>
      </w:pPr>
      <w:r>
        <w:t xml:space="preserve">The relationship between the registered objectives and the supported evidence is summarised below.</w:t>
      </w:r>
    </w:p>
    <w:p>
      <w:pPr>
        <w:sectPr>
          <w:pgSz w:w="12240" w:h="15840"/>
          <w:pgMar w:top="1440" w:right="1440" w:bottom="1440" w:left="2160" w:header="720" w:footer="720" w:gutter="0"/>
          <w:cols w:space="720"/>
          <w:docGrid w:linePitch="360"/>
        </w:sectPr>
      </w:pPr>
    </w:p>
    <w:p>
      <w:pPr>
        <w:pStyle w:val="Caption"/>
        <w:keepNext/>
        <w:jc w:val="left"/>
      </w:pPr>
      <w:r>
        <w:rPr>
          <w:b/>
          <w:bCs/>
        </w:rPr>
        <w:t xml:space="preserve">Table 6.1. Objective-closure summary.</w:t>
      </w:r>
      <w:r>
        <w:fldChar w:fldCharType="begin"/>
      </w:r>
      <w:r>
        <w:rPr>
          <w:vanish/>
        </w:rPr>
        <w:instrText xml:space="preserve"> TC "Table 6.1. Objective-closure summary." \f T \l 1 </w:instrText>
      </w:r>
      <w:r>
        <w:fldChar w:fldCharType="end"/>
      </w:r>
    </w:p>
    <w:tbl>
      <w:tblPr>
        <w:tblW w:type="dxa" w:w="1296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Pr>
      <w:tblGrid>
        <w:gridCol w:w="3706"/>
        <w:gridCol w:w="3728"/>
        <w:gridCol w:w="2186"/>
        <w:gridCol w:w="3340"/>
      </w:tblGrid>
      <w:tr>
        <w:trPr>
          <w:tblHeader w:val="true"/>
          <w:cantSplit/>
        </w:trPr>
        <w:tc>
          <w:tcPr>
            <w:tcW w:type="dxa" w:w="370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Objective</w:t>
            </w:r>
          </w:p>
        </w:tc>
        <w:tc>
          <w:tcPr>
            <w:tcW w:type="dxa" w:w="3728"/>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How it was addressed</w:t>
            </w:r>
          </w:p>
        </w:tc>
        <w:tc>
          <w:tcPr>
            <w:tcW w:type="dxa" w:w="2186"/>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Main evidence chapter</w:t>
            </w:r>
          </w:p>
        </w:tc>
        <w:tc>
          <w:tcPr>
            <w:tcW w:type="dxa" w:w="3340"/>
            <w:vAlign w:val="center"/>
            <w:tcMar>
              <w:top w:w="65" w:type="dxa"/>
              <w:left w:w="65" w:type="dxa"/>
              <w:bottom w:w="65" w:type="dxa"/>
              <w:right w:w="65" w:type="dxa"/>
            </w:tcMar>
            <w:shd w:fill="D9D9D9"/>
          </w:tcPr>
          <w:p>
            <w:pPr>
              <w:widowControl/>
              <w:spacing w:line="240" w:lineRule="auto" w:before="0" w:after="0"/>
              <w:jc w:val="left"/>
            </w:pPr>
            <w:r>
              <w:rPr>
                <w:rFonts w:ascii="Times New Roman" w:hAnsi="Times New Roman"/>
                <w:b/>
                <w:sz w:val="17"/>
              </w:rPr>
              <w:t>Boundary</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O1. Framework feasibility</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Defined and verified a canonical native-path evaluation and analysis framework.</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 3</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Feasibility is established for the registered scope, not as universal framework validity.</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O2–O4. Canonical export and validation protocol</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Constructed canonical and model-specific views, required canonical native-path exports, and applied validation before reporting.</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 3</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PASS establishes contract conformity; BLOCKED or not-applicable rows are not performance results.</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O5. Strict accuracy evaluation</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Reported HR@10, NDCG@10, Precision@10, and Recall@10 for the complete LastFM and ML-1M six-model scope.</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 4</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Values are traceable to two matching summaries; the twelve primary JSON artifacts are not accessible.</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O6. Explanation metric evaluation</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Evaluated LIR, SEP, and ETD separately under the repository-specific metric definitions.</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Chapters 3–4</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Computational path properties do not establish user-perceived explanation quality.</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O7. Accuracy–explainability trade-off</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Analysed objective-specific alpha-sweep trajectories while keeping sweep ranking measures separate from strict accuracy.</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 4</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Results are descriptive and do not define a universal operating point.</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O8. Mechanism, ablation, and boundary analysis</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 5 analyses PGPR/UCPR ablation evidence, mechanism-level interpretation, and Amazon-Book KGAT boundary-case evidence.</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 5</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The ablation does not establish six-model superiority or causal explanations for other models; Amazon remains a partial stress test rather than a complete third main experiment and has no approved explanation sweeps.</w:t>
            </w:r>
          </w:p>
        </w:tc>
      </w:tr>
      <w:tr>
        <w:tc>
          <w:tcPr>
            <w:tcW w:type="dxa" w:w="370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Cross-objective limitations and recommendations</w:t>
            </w:r>
          </w:p>
        </w:tc>
        <w:tc>
          <w:tcPr>
            <w:tcW w:type="dxa" w:w="3728"/>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Recorded provenance, metric, significance, human-evidence, coverage, citation, and reproducibility limits and derived corresponding future-work priorities.</w:t>
            </w:r>
          </w:p>
        </w:tc>
        <w:tc>
          <w:tcPr>
            <w:tcW w:type="dxa" w:w="2186"/>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Chapters 5–6</w:t>
            </w:r>
          </w:p>
        </w:tc>
        <w:tc>
          <w:tcPr>
            <w:tcW w:type="dxa" w:w="3340"/>
            <w:vAlign w:val="center"/>
            <w:tcMar>
              <w:top w:w="65" w:type="dxa"/>
              <w:left w:w="65" w:type="dxa"/>
              <w:bottom w:w="65" w:type="dxa"/>
              <w:right w:w="65" w:type="dxa"/>
            </w:tcMar>
          </w:tcPr>
          <w:p>
            <w:pPr>
              <w:widowControl/>
              <w:spacing w:line="240" w:lineRule="auto" w:before="0" w:after="0"/>
              <w:jc w:val="left"/>
            </w:pPr>
            <w:r>
              <w:rPr>
                <w:rFonts w:ascii="Times New Roman" w:hAnsi="Times New Roman"/>
                <w:sz w:val="17"/>
              </w:rPr>
              <w:t>Recommendations do not add experimental results or remove existing caveats.</w:t>
            </w:r>
          </w:p>
        </w:tc>
      </w:tr>
    </w:tbl>
    <w:p>
      <w:pPr>
        <w:sectPr>
          <w:pgSz w:w="15840" w:h="12240" w:orient="landscape"/>
          <w:pgMar w:top="1080" w:right="1080" w:bottom="1080" w:left="1080" w:header="720" w:footer="720" w:gutter="0"/>
          <w:cols w:space="720"/>
          <w:docGrid w:linePitch="360"/>
        </w:sectPr>
      </w:pPr>
    </w:p>
    <w:bookmarkEnd w:id="84"/>
    <w:bookmarkStart w:id="85" w:name="recommendations-for-further-research"/>
    <w:p>
      <w:pPr>
        <w:pStyle w:val="Heading2"/>
        <w:keepNext/>
      </w:pPr>
      <w:r>
        <w:t xml:space="preserve">6.2 Recommendations for Further Research</w:t>
      </w:r>
    </w:p>
    <w:p>
      <w:pPr>
        <w:pStyle w:val="FirstParagraph"/>
        <w:widowControl/>
        <w:jc w:val="both"/>
      </w:pPr>
      <w:r>
        <w:t xml:space="preserve">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pPr>
        <w:pStyle w:val="BodyText"/>
      </w:pPr>
      <w:r>
        <w:t xml:space="preserve">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pPr>
        <w:pStyle w:val="BodyText"/>
      </w:pPr>
      <w:r>
        <w:t xml:space="preserve">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pPr>
        <w:pStyle w:val="BodyText"/>
      </w:pPr>
      <w:r>
        <w:t xml:space="preserve">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pPr>
        <w:pStyle w:val="BodyText"/>
      </w:pPr>
      <w:r>
        <w:t xml:space="preserve">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pPr>
        <w:pStyle w:val="BodyText"/>
      </w:pPr>
      <w:r>
        <w:t xml:space="preserve">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pPr>
        <w:pStyle w:val="BodyText"/>
      </w:pPr>
      <w:r>
        <w:t xml:space="preserve">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pPr>
        <w:pStyle w:val="BodyText"/>
      </w:pPr>
      <w:r>
        <w:t xml:space="preserve">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pPr>
        <w:pStyle w:val="BodyText"/>
      </w:pPr>
      <w:r>
        <w:t xml:space="preserve">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pPr>
        <w:pStyle w:val="BodyText"/>
      </w:pPr>
      <w:r>
        <w:t xml:space="preserve">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bookmarkEnd w:id="85"/>
    <w:bookmarkEnd w:id="86"/>
    <w:bookmarkStart w:id="146" w:name="references"/>
    <w:p>
      <w:pPr>
        <w:pStyle w:val="Heading1"/>
        <w:keepNext/>
        <w:pageBreakBefore/>
      </w:pPr>
      <w:r>
        <w:t xml:space="preserve">References</w:t>
      </w:r>
    </w:p>
    <w:bookmarkStart w:id="145" w:name="refs"/>
    <w:bookmarkStart w:id="88" w:name="ref-afsar2022rlRecSurvey"/>
    <w:p>
      <w:pPr>
        <w:pStyle w:val="Reference"/>
        <w:widowControl/>
        <w:jc w:val="both"/>
      </w:pPr>
      <w:r>
        <w:t xml:space="preserve">Afsar, M. Mehdi, Trafford Crump, and Behrouz Far. 2022.</w:t>
      </w:r>
      <w:r>
        <w:t xml:space="preserve"> </w:t>
      </w:r>
      <w:r>
        <w:t xml:space="preserve">“Reinforcement Learning Based Recommender Systems: A Survey.”</w:t>
      </w:r>
      <w:r>
        <w:t xml:space="preserve"> </w:t>
      </w:r>
      <w:r>
        <w:rPr>
          <w:i/>
          <w:iCs/>
        </w:rPr>
        <w:t xml:space="preserve">ACM Computing Surveys</w:t>
      </w:r>
      <w:r>
        <w:t xml:space="preserve"> </w:t>
      </w:r>
      <w:r>
        <w:t xml:space="preserve">55 (7): 1–38.</w:t>
      </w:r>
      <w:r>
        <w:t xml:space="preserve"> </w:t>
      </w:r>
      <w:hyperlink r:id="rId23">
        <w:r>
          <w:rPr>
            <w:rStyle w:val="Hyperlink"/>
          </w:rPr>
          <w:t xml:space="preserve">https://doi.org/10.1145/3543846</w:t>
        </w:r>
      </w:hyperlink>
      <w:r>
        <w:t xml:space="preserve">.</w:t>
      </w:r>
    </w:p>
    <w:bookmarkEnd w:id="88"/>
    <w:bookmarkStart w:id="90" w:name="ref-balloccu2023pearlm"/>
    <w:p>
      <w:pPr>
        <w:pStyle w:val="Reference"/>
        <w:widowControl/>
        <w:jc w:val="both"/>
      </w:pPr>
      <w:r>
        <w:t xml:space="preserve">Balloccu, Giacomo, Ludovico Boratto, Christian Cancedda, Gianni Fenu, and Mirko Marras. 2023.</w:t>
      </w:r>
      <w:r>
        <w:t xml:space="preserve"> </w:t>
      </w:r>
      <w:r>
        <w:rPr>
          <w:i/>
          <w:iCs/>
        </w:rPr>
        <w:t xml:space="preserve">Faithful Path Language Modeling for Explainable Recommendation over Knowledge Graph</w:t>
      </w:r>
      <w:r>
        <w:t xml:space="preserve">.</w:t>
      </w:r>
      <w:r>
        <w:t xml:space="preserve"> </w:t>
      </w:r>
      <w:hyperlink r:id="rId24">
        <w:r>
          <w:rPr>
            <w:rStyle w:val="Hyperlink"/>
          </w:rPr>
          <w:t xml:space="preserve">https://arxiv.org/abs/2310.16452</w:t>
        </w:r>
      </w:hyperlink>
      <w:r>
        <w:t xml:space="preserve">.</w:t>
      </w:r>
    </w:p>
    <w:bookmarkEnd w:id="90"/>
    <w:bookmarkStart w:id="92" w:name="ref-balloccu2022xrecsys"/>
    <w:p>
      <w:pPr>
        <w:pStyle w:val="Reference"/>
        <w:widowControl/>
        <w:jc w:val="both"/>
      </w:pPr>
      <w:r>
        <w:t xml:space="preserve">Balloccu, Giacomo, Ludovico Boratto, Gianni Fenu, and Mirko Marras. 2022a.</w:t>
      </w:r>
      <w:r>
        <w:t xml:space="preserve"> </w:t>
      </w:r>
      <w:r>
        <w:t xml:space="preserve">“Post Processing Recommender Systems with Knowledge Graphs for Recency, Popularity, and Diversity of Explanations.”</w:t>
      </w:r>
      <w:r>
        <w:t xml:space="preserve"> </w:t>
      </w:r>
      <w:r>
        <w:rPr>
          <w:i/>
          <w:iCs/>
        </w:rPr>
        <w:t xml:space="preserve">Proceedings of the 45th International ACM SIGIR Conference on Research and Development in Information Retrieval</w:t>
      </w:r>
      <w:r>
        <w:t xml:space="preserve">, 646–56.</w:t>
      </w:r>
      <w:r>
        <w:t xml:space="preserve"> </w:t>
      </w:r>
      <w:hyperlink r:id="rId25">
        <w:r>
          <w:rPr>
            <w:rStyle w:val="Hyperlink"/>
          </w:rPr>
          <w:t xml:space="preserve">https://doi.org/10.1145/3477495.3532041</w:t>
        </w:r>
      </w:hyperlink>
      <w:r>
        <w:t xml:space="preserve">.</w:t>
      </w:r>
    </w:p>
    <w:bookmarkEnd w:id="92"/>
    <w:bookmarkStart w:id="94" w:name="ref-balloccu2022xrecsysFramework"/>
    <w:p>
      <w:pPr>
        <w:pStyle w:val="Reference"/>
        <w:widowControl/>
        <w:jc w:val="both"/>
      </w:pPr>
      <w:r>
        <w:t xml:space="preserve">Balloccu, Giacomo, Ludovico Boratto, Gianni Fenu, and Mirko Marras. 2022b.</w:t>
      </w:r>
      <w:r>
        <w:t xml:space="preserve"> </w:t>
      </w:r>
      <w:r>
        <w:t xml:space="preserve">“</w:t>
      </w:r>
      <w:r>
        <w:t xml:space="preserve">XRecSys</w:t>
      </w:r>
      <w:r>
        <w:t xml:space="preserve">: A Framework for Path Reasoning Quality in Explainable Recommendation.”</w:t>
      </w:r>
      <w:r>
        <w:t xml:space="preserve"> </w:t>
      </w:r>
      <w:r>
        <w:rPr>
          <w:i/>
          <w:iCs/>
        </w:rPr>
        <w:t xml:space="preserve">Software Impacts</w:t>
      </w:r>
      <w:r>
        <w:t xml:space="preserve"> </w:t>
      </w:r>
      <w:r>
        <w:t xml:space="preserve">14: 100404.</w:t>
      </w:r>
      <w:r>
        <w:t xml:space="preserve"> </w:t>
      </w:r>
      <w:hyperlink r:id="rId26">
        <w:r>
          <w:rPr>
            <w:rStyle w:val="Hyperlink"/>
          </w:rPr>
          <w:t xml:space="preserve">https://doi.org/10.1016/j.simpa.2022.100404</w:t>
        </w:r>
      </w:hyperlink>
      <w:r>
        <w:t xml:space="preserve">.</w:t>
      </w:r>
    </w:p>
    <w:bookmarkEnd w:id="94"/>
    <w:bookmarkStart w:id="96" w:name="ref-balloccu2024kgglm"/>
    <w:p>
      <w:pPr>
        <w:pStyle w:val="Reference"/>
        <w:widowControl/>
        <w:jc w:val="both"/>
      </w:pPr>
      <w:r>
        <w:t xml:space="preserve">Balloccu, Giacomo, Ludovico Boratto, Gianni Fenu, Mirko Marras, and Alessandro Soccol. 2024.</w:t>
      </w:r>
      <w:r>
        <w:t xml:space="preserve"> </w:t>
      </w:r>
      <w:r>
        <w:t xml:space="preserve">“</w:t>
      </w:r>
      <w:r>
        <w:t xml:space="preserve">KGGLM</w:t>
      </w:r>
      <w:r>
        <w:t xml:space="preserve">: A Generative Language Model for Generalizable Knowledge Graph Representation Learning in Recommendation.”</w:t>
      </w:r>
      <w:r>
        <w:t xml:space="preserve"> </w:t>
      </w:r>
      <w:r>
        <w:rPr>
          <w:i/>
          <w:iCs/>
        </w:rPr>
        <w:t xml:space="preserve">Proceedings of the 18th ACM Conference on Recommender Systems</w:t>
      </w:r>
      <w:r>
        <w:t xml:space="preserve">, 1079–84.</w:t>
      </w:r>
      <w:r>
        <w:t xml:space="preserve"> </w:t>
      </w:r>
      <w:hyperlink r:id="rId27">
        <w:r>
          <w:rPr>
            <w:rStyle w:val="Hyperlink"/>
          </w:rPr>
          <w:t xml:space="preserve">https://doi.org/10.1145/3640457.3691703</w:t>
        </w:r>
      </w:hyperlink>
      <w:r>
        <w:t xml:space="preserve">.</w:t>
      </w:r>
    </w:p>
    <w:bookmarkEnd w:id="96"/>
    <w:bookmarkStart w:id="98" w:name="ref-chen2021drlRecSurvey"/>
    <w:p>
      <w:pPr>
        <w:pStyle w:val="Reference"/>
        <w:widowControl/>
        <w:jc w:val="both"/>
      </w:pPr>
      <w:r>
        <w:t xml:space="preserve">Chen, Xiaocong, Lina Yao, Julian McAuley, Guanglin Zhou, and Xianzhi Wang. 2021.</w:t>
      </w:r>
      <w:r>
        <w:t xml:space="preserve"> </w:t>
      </w:r>
      <w:r>
        <w:rPr>
          <w:i/>
          <w:iCs/>
        </w:rPr>
        <w:t xml:space="preserve">A Survey of Deep Reinforcement Learning in Recommender Systems: A Systematic Review and Future Directions</w:t>
      </w:r>
      <w:r>
        <w:t xml:space="preserve">.</w:t>
      </w:r>
      <w:r>
        <w:t xml:space="preserve"> </w:t>
      </w:r>
      <w:hyperlink r:id="rId28">
        <w:r>
          <w:rPr>
            <w:rStyle w:val="Hyperlink"/>
          </w:rPr>
          <w:t xml:space="preserve">https://arxiv.org/abs/2109.03540</w:t>
        </w:r>
      </w:hyperlink>
      <w:r>
        <w:t xml:space="preserve">.</w:t>
      </w:r>
    </w:p>
    <w:bookmarkEnd w:id="98"/>
    <w:bookmarkStart w:id="100" w:name="ref-ge2025trustworthyRecSurvey"/>
    <w:p>
      <w:pPr>
        <w:pStyle w:val="Reference"/>
        <w:widowControl/>
        <w:jc w:val="both"/>
      </w:pPr>
      <w:r>
        <w:t xml:space="preserve">Ge, Yingqiang, Shuchang Liu, Zuohui Fu, et al. 2025.</w:t>
      </w:r>
      <w:r>
        <w:t xml:space="preserve"> </w:t>
      </w:r>
      <w:r>
        <w:t xml:space="preserve">“A Survey on Trustworthy Recommender Systems.”</w:t>
      </w:r>
      <w:r>
        <w:t xml:space="preserve"> </w:t>
      </w:r>
      <w:r>
        <w:rPr>
          <w:i/>
          <w:iCs/>
        </w:rPr>
        <w:t xml:space="preserve">ACM Transactions on Recommender Systems</w:t>
      </w:r>
      <w:r>
        <w:t xml:space="preserve"> </w:t>
      </w:r>
      <w:r>
        <w:t xml:space="preserve">3 (2): 13:1–68.</w:t>
      </w:r>
      <w:r>
        <w:t xml:space="preserve"> </w:t>
      </w:r>
      <w:hyperlink r:id="rId29">
        <w:r>
          <w:rPr>
            <w:rStyle w:val="Hyperlink"/>
          </w:rPr>
          <w:t xml:space="preserve">https://doi.org/10.1145/3652891</w:t>
        </w:r>
      </w:hyperlink>
      <w:r>
        <w:t xml:space="preserve">.</w:t>
      </w:r>
    </w:p>
    <w:bookmarkEnd w:id="100"/>
    <w:bookmarkStart w:id="102" w:name="ref-guo2022kgsurvey"/>
    <w:p>
      <w:pPr>
        <w:pStyle w:val="Reference"/>
        <w:widowControl/>
        <w:jc w:val="both"/>
      </w:pPr>
      <w:r>
        <w:t xml:space="preserve">Guo, Qingyu, Fuzhen Zhuang, Chuan Qin, et al. 2022.</w:t>
      </w:r>
      <w:r>
        <w:t xml:space="preserve"> </w:t>
      </w:r>
      <w:r>
        <w:t xml:space="preserve">“A Survey on Knowledge Graph-Based Recommender Systems.”</w:t>
      </w:r>
      <w:r>
        <w:t xml:space="preserve"> </w:t>
      </w:r>
      <w:r>
        <w:rPr>
          <w:i/>
          <w:iCs/>
        </w:rPr>
        <w:t xml:space="preserve">IEEE Transactions on Knowledge and Data Engineering</w:t>
      </w:r>
      <w:r>
        <w:t xml:space="preserve"> </w:t>
      </w:r>
      <w:r>
        <w:t xml:space="preserve">34 (8): 3549–68.</w:t>
      </w:r>
      <w:r>
        <w:t xml:space="preserve"> </w:t>
      </w:r>
      <w:hyperlink r:id="rId30">
        <w:r>
          <w:rPr>
            <w:rStyle w:val="Hyperlink"/>
          </w:rPr>
          <w:t xml:space="preserve">https://doi.org/10.1109/TKDE.2020.3028705</w:t>
        </w:r>
      </w:hyperlink>
      <w:r>
        <w:t xml:space="preserve">.</w:t>
      </w:r>
    </w:p>
    <w:bookmarkEnd w:id="102"/>
    <w:bookmarkStart w:id="104" w:name="ref-kokhlikyan2020captum"/>
    <w:p>
      <w:pPr>
        <w:pStyle w:val="Reference"/>
        <w:widowControl/>
        <w:jc w:val="both"/>
      </w:pPr>
      <w:r>
        <w:t xml:space="preserve">Kokhlikyan, Narine, Vivek Miglani, Miguel Martin, et al. 2020.</w:t>
      </w:r>
      <w:r>
        <w:t xml:space="preserve"> </w:t>
      </w:r>
      <w:r>
        <w:rPr>
          <w:i/>
          <w:iCs/>
        </w:rPr>
        <w:t xml:space="preserve">Captum</w:t>
      </w:r>
      <w:r>
        <w:rPr>
          <w:i/>
          <w:iCs/>
        </w:rPr>
        <w:t xml:space="preserve">: A Unified and Generic Model Interpretability Library for</w:t>
      </w:r>
      <w:r>
        <w:rPr>
          <w:i/>
          <w:iCs/>
        </w:rPr>
        <w:t xml:space="preserve"> </w:t>
      </w:r>
      <w:r>
        <w:rPr>
          <w:i/>
          <w:iCs/>
        </w:rPr>
        <w:t xml:space="preserve">PyTorch</w:t>
      </w:r>
      <w:r>
        <w:t xml:space="preserve">.</w:t>
      </w:r>
      <w:r>
        <w:t xml:space="preserve"> </w:t>
      </w:r>
      <w:hyperlink r:id="rId31">
        <w:r>
          <w:rPr>
            <w:rStyle w:val="Hyperlink"/>
          </w:rPr>
          <w:t xml:space="preserve">https://arxiv.org/abs/2009.07896</w:t>
        </w:r>
      </w:hyperlink>
      <w:r>
        <w:t xml:space="preserve">.</w:t>
      </w:r>
    </w:p>
    <w:bookmarkEnd w:id="104"/>
    <w:bookmarkStart w:id="106" w:name="ref-lin2025llmRecSurvey"/>
    <w:p>
      <w:pPr>
        <w:pStyle w:val="Reference"/>
        <w:widowControl/>
        <w:jc w:val="both"/>
      </w:pPr>
      <w:r>
        <w:t xml:space="preserve">Lin, Jianghao, Xinyi Dai, Yunjia Xi, et al. 2025.</w:t>
      </w:r>
      <w:r>
        <w:t xml:space="preserve"> </w:t>
      </w:r>
      <w:r>
        <w:t xml:space="preserve">“How Can Recommender Systems Benefit from Large Language Models: A Survey.”</w:t>
      </w:r>
      <w:r>
        <w:t xml:space="preserve"> </w:t>
      </w:r>
      <w:r>
        <w:rPr>
          <w:i/>
          <w:iCs/>
        </w:rPr>
        <w:t xml:space="preserve">ACM Transactions on Information Systems</w:t>
      </w:r>
      <w:r>
        <w:t xml:space="preserve"> </w:t>
      </w:r>
      <w:r>
        <w:t xml:space="preserve">43 (2): 28:1–47.</w:t>
      </w:r>
      <w:r>
        <w:t xml:space="preserve"> </w:t>
      </w:r>
      <w:hyperlink r:id="rId32">
        <w:r>
          <w:rPr>
            <w:rStyle w:val="Hyperlink"/>
          </w:rPr>
          <w:t xml:space="preserve">https://doi.org/10.1145/3678004</w:t>
        </w:r>
      </w:hyperlink>
      <w:r>
        <w:t xml:space="preserve">.</w:t>
      </w:r>
    </w:p>
    <w:bookmarkEnd w:id="106"/>
    <w:bookmarkStart w:id="108" w:name="ref-lin2024rlRecSurvey"/>
    <w:p>
      <w:pPr>
        <w:pStyle w:val="Reference"/>
        <w:widowControl/>
        <w:jc w:val="both"/>
      </w:pPr>
      <w:r>
        <w:t xml:space="preserve">Lin, Yuanguo, Yong Liu, Fan Lin, et al. 2024.</w:t>
      </w:r>
      <w:r>
        <w:t xml:space="preserve"> </w:t>
      </w:r>
      <w:r>
        <w:t xml:space="preserve">“A Survey on Reinforcement Learning for Recommender Systems.”</w:t>
      </w:r>
      <w:r>
        <w:t xml:space="preserve"> </w:t>
      </w:r>
      <w:r>
        <w:rPr>
          <w:i/>
          <w:iCs/>
        </w:rPr>
        <w:t xml:space="preserve">IEEE Transactions on Neural Networks and Learning Systems</w:t>
      </w:r>
      <w:r>
        <w:t xml:space="preserve"> </w:t>
      </w:r>
      <w:r>
        <w:t xml:space="preserve">35 (10): 13164–84.</w:t>
      </w:r>
      <w:r>
        <w:t xml:space="preserve"> </w:t>
      </w:r>
      <w:hyperlink r:id="rId33">
        <w:r>
          <w:rPr>
            <w:rStyle w:val="Hyperlink"/>
          </w:rPr>
          <w:t xml:space="preserve">https://doi.org/10.1109/TNNLS.2023.3280161</w:t>
        </w:r>
      </w:hyperlink>
      <w:r>
        <w:t xml:space="preserve">.</w:t>
      </w:r>
    </w:p>
    <w:bookmarkEnd w:id="108"/>
    <w:bookmarkStart w:id="110" w:name="ref-lopezAvila2025llmMultimodalRec"/>
    <w:p>
      <w:pPr>
        <w:pStyle w:val="Reference"/>
        <w:widowControl/>
        <w:jc w:val="both"/>
      </w:pPr>
      <w:r>
        <w:t xml:space="preserve">López-Ávila, Alejo, and Jinhua Du. 2025.</w:t>
      </w:r>
      <w:r>
        <w:t xml:space="preserve"> </w:t>
      </w:r>
      <w:r>
        <w:rPr>
          <w:i/>
          <w:iCs/>
        </w:rPr>
        <w:t xml:space="preserve">A Survey on Large Language Models in Multimodal Recommender Systems</w:t>
      </w:r>
      <w:r>
        <w:t xml:space="preserve">.</w:t>
      </w:r>
      <w:r>
        <w:t xml:space="preserve"> </w:t>
      </w:r>
      <w:hyperlink r:id="rId34">
        <w:r>
          <w:rPr>
            <w:rStyle w:val="Hyperlink"/>
          </w:rPr>
          <w:t xml:space="preserve">https://arxiv.org/abs/2505.09777</w:t>
        </w:r>
      </w:hyperlink>
      <w:r>
        <w:t xml:space="preserve">.</w:t>
      </w:r>
    </w:p>
    <w:bookmarkEnd w:id="110"/>
    <w:bookmarkStart w:id="112" w:name="ref-lu2023vrkg4rec"/>
    <w:p>
      <w:pPr>
        <w:pStyle w:val="Reference"/>
        <w:widowControl/>
        <w:jc w:val="both"/>
      </w:pPr>
      <w:r>
        <w:t xml:space="preserve">Lu, Lingyun, Bang Wang, Zizhuo Zhang, Shenghao Liu, and Han Xu. 2023.</w:t>
      </w:r>
      <w:r>
        <w:t xml:space="preserve"> </w:t>
      </w:r>
      <w:r>
        <w:t xml:space="preserve">“</w:t>
      </w:r>
      <w:r>
        <w:t xml:space="preserve">VRKG4Rec</w:t>
      </w:r>
      <w:r>
        <w:t xml:space="preserve">: Virtual Relational Knowledge Graph for Recommendation.”</w:t>
      </w:r>
      <w:r>
        <w:t xml:space="preserve"> </w:t>
      </w:r>
      <w:r>
        <w:rPr>
          <w:i/>
          <w:iCs/>
        </w:rPr>
        <w:t xml:space="preserve">Proceedings of the Sixteenth ACM International Conference on Web Search and Data Mining</w:t>
      </w:r>
      <w:r>
        <w:t xml:space="preserve">, 526–34.</w:t>
      </w:r>
      <w:r>
        <w:t xml:space="preserve"> </w:t>
      </w:r>
      <w:hyperlink r:id="rId35">
        <w:r>
          <w:rPr>
            <w:rStyle w:val="Hyperlink"/>
          </w:rPr>
          <w:t xml:space="preserve">https://doi.org/10.1145/3539597.3570482</w:t>
        </w:r>
      </w:hyperlink>
      <w:r>
        <w:t xml:space="preserve">.</w:t>
      </w:r>
    </w:p>
    <w:bookmarkEnd w:id="112"/>
    <w:bookmarkStart w:id="114" w:name="ref-markchom2026graphExplainableSurvey"/>
    <w:p>
      <w:pPr>
        <w:pStyle w:val="Reference"/>
        <w:widowControl/>
        <w:jc w:val="both"/>
      </w:pPr>
      <w:r>
        <w:t xml:space="preserve">Markchom, Thanet, Huizhi Liang, and James M. Ferryman. 2026.</w:t>
      </w:r>
      <w:r>
        <w:t xml:space="preserve"> </w:t>
      </w:r>
      <w:r>
        <w:t xml:space="preserve">“Review of Explainable Graph-Based Recommender Systems.”</w:t>
      </w:r>
      <w:r>
        <w:t xml:space="preserve"> </w:t>
      </w:r>
      <w:r>
        <w:rPr>
          <w:i/>
          <w:iCs/>
        </w:rPr>
        <w:t xml:space="preserve">ACM Computing Surveys</w:t>
      </w:r>
      <w:r>
        <w:t xml:space="preserve"> </w:t>
      </w:r>
      <w:r>
        <w:t xml:space="preserve">58 (6): 138:1–35.</w:t>
      </w:r>
      <w:r>
        <w:t xml:space="preserve"> </w:t>
      </w:r>
      <w:hyperlink r:id="rId36">
        <w:r>
          <w:rPr>
            <w:rStyle w:val="Hyperlink"/>
          </w:rPr>
          <w:t xml:space="preserve">https://doi.org/10.1145/3772273</w:t>
        </w:r>
      </w:hyperlink>
      <w:r>
        <w:t xml:space="preserve">.</w:t>
      </w:r>
    </w:p>
    <w:bookmarkEnd w:id="114"/>
    <w:bookmarkStart w:id="116" w:name="ref-nori2019interpretml"/>
    <w:p>
      <w:pPr>
        <w:pStyle w:val="Reference"/>
        <w:widowControl/>
        <w:jc w:val="both"/>
      </w:pPr>
      <w:r>
        <w:t xml:space="preserve">Nori, Harsha, Samuel Jenkins, Paul Koch, and Rich Caruana. 2019.</w:t>
      </w:r>
      <w:r>
        <w:t xml:space="preserve"> </w:t>
      </w:r>
      <w:r>
        <w:rPr>
          <w:i/>
          <w:iCs/>
        </w:rPr>
        <w:t xml:space="preserve">InterpretML</w:t>
      </w:r>
      <w:r>
        <w:rPr>
          <w:i/>
          <w:iCs/>
        </w:rPr>
        <w:t xml:space="preserve">: A Unified Framework for Machine Learning Interpretability</w:t>
      </w:r>
      <w:r>
        <w:t xml:space="preserve">.</w:t>
      </w:r>
      <w:r>
        <w:t xml:space="preserve"> </w:t>
      </w:r>
      <w:hyperlink r:id="rId37">
        <w:r>
          <w:rPr>
            <w:rStyle w:val="Hyperlink"/>
          </w:rPr>
          <w:t xml:space="preserve">https://arxiv.org/abs/1909.09223</w:t>
        </w:r>
      </w:hyperlink>
      <w:r>
        <w:t xml:space="preserve">.</w:t>
      </w:r>
    </w:p>
    <w:bookmarkEnd w:id="116"/>
    <w:bookmarkStart w:id="118" w:name="ref-peng2025llmAgentsRec"/>
    <w:p>
      <w:pPr>
        <w:pStyle w:val="Reference"/>
        <w:widowControl/>
        <w:jc w:val="both"/>
      </w:pPr>
      <w:r>
        <w:t xml:space="preserve">Peng, Qiyao, Hongtao Liu, Hua Huang, Qing Yang, and Minglai Shao. 2025.</w:t>
      </w:r>
      <w:r>
        <w:t xml:space="preserve"> </w:t>
      </w:r>
      <w:r>
        <w:rPr>
          <w:i/>
          <w:iCs/>
        </w:rPr>
        <w:t xml:space="preserve">A Survey on</w:t>
      </w:r>
      <w:r>
        <w:rPr>
          <w:i/>
          <w:iCs/>
        </w:rPr>
        <w:t xml:space="preserve"> </w:t>
      </w:r>
      <w:r>
        <w:rPr>
          <w:i/>
          <w:iCs/>
        </w:rPr>
        <w:t xml:space="preserve">LLM</w:t>
      </w:r>
      <w:r>
        <w:rPr>
          <w:i/>
          <w:iCs/>
        </w:rPr>
        <w:t xml:space="preserve">-Powered Agents for Recommender Systems</w:t>
      </w:r>
      <w:r>
        <w:t xml:space="preserve">.</w:t>
      </w:r>
      <w:r>
        <w:t xml:space="preserve"> </w:t>
      </w:r>
      <w:hyperlink r:id="rId38">
        <w:r>
          <w:rPr>
            <w:rStyle w:val="Hyperlink"/>
          </w:rPr>
          <w:t xml:space="preserve">https://arxiv.org/abs/2502.10050</w:t>
        </w:r>
      </w:hyperlink>
      <w:r>
        <w:t xml:space="preserve">.</w:t>
      </w:r>
    </w:p>
    <w:bookmarkEnd w:id="118"/>
    <w:bookmarkStart w:id="120" w:name="ref-rossiiev2025rlRecSurvey"/>
    <w:p>
      <w:pPr>
        <w:pStyle w:val="Reference"/>
        <w:widowControl/>
        <w:jc w:val="both"/>
      </w:pPr>
      <w:r>
        <w:t xml:space="preserve">Rossiiev, Oleksandr D., Nonna N. Shapovalova, Olena H. Rybalchenko, and Andrii M. Striuk. 2025.</w:t>
      </w:r>
      <w:r>
        <w:t xml:space="preserve"> </w:t>
      </w:r>
      <w:r>
        <w:t xml:space="preserve">“A Comprehensive Survey on Reinforcement Learning-Based Recommender Systems: State-of-the-Art, Challenges, and Future Perspectives.”</w:t>
      </w:r>
      <w:r>
        <w:t xml:space="preserve"> </w:t>
      </w:r>
      <w:r>
        <w:rPr>
          <w:i/>
          <w:iCs/>
        </w:rPr>
        <w:t xml:space="preserve">Proceedings of the 7th Workshop for Young Scientists in Computer Science and Software Engineering</w:t>
      </w:r>
      <w:r>
        <w:t xml:space="preserve">, CEUR workshop proceedings, vol. 3917: 428–40.</w:t>
      </w:r>
      <w:r>
        <w:t xml:space="preserve"> </w:t>
      </w:r>
      <w:hyperlink r:id="rId39">
        <w:r>
          <w:rPr>
            <w:rStyle w:val="Hyperlink"/>
          </w:rPr>
          <w:t xml:space="preserve">https://ceur-ws.org/Vol-3917/paper62.pdf</w:t>
        </w:r>
      </w:hyperlink>
      <w:r>
        <w:t xml:space="preserve">.</w:t>
      </w:r>
    </w:p>
    <w:bookmarkEnd w:id="120"/>
    <w:bookmarkStart w:id="122" w:name="ref-shevchenko2024recsysBenchmarking"/>
    <w:p>
      <w:pPr>
        <w:pStyle w:val="Reference"/>
        <w:widowControl/>
        <w:jc w:val="both"/>
      </w:pPr>
      <w:r>
        <w:t xml:space="preserve">Shevchenko, Valeriy, Nikita Belousov, Alexey Vasilev, et al. 2024.</w:t>
      </w:r>
      <w:r>
        <w:t xml:space="preserve"> </w:t>
      </w:r>
      <w:r>
        <w:t xml:space="preserve">“From Variability to Stability: Advancing</w:t>
      </w:r>
      <w:r>
        <w:t xml:space="preserve"> </w:t>
      </w:r>
      <w:r>
        <w:t xml:space="preserve">RecSys</w:t>
      </w:r>
      <w:r>
        <w:t xml:space="preserve"> </w:t>
      </w:r>
      <w:r>
        <w:t xml:space="preserve">Benchmarking Practices.”</w:t>
      </w:r>
      <w:r>
        <w:t xml:space="preserve"> </w:t>
      </w:r>
      <w:r>
        <w:rPr>
          <w:i/>
          <w:iCs/>
        </w:rPr>
        <w:t xml:space="preserve">Proceedings of the 30th ACM SIGKDD Conference on Knowledge Discovery and Data Mining</w:t>
      </w:r>
      <w:r>
        <w:t xml:space="preserve">.</w:t>
      </w:r>
      <w:r>
        <w:t xml:space="preserve"> </w:t>
      </w:r>
      <w:hyperlink r:id="rId40">
        <w:r>
          <w:rPr>
            <w:rStyle w:val="Hyperlink"/>
          </w:rPr>
          <w:t xml:space="preserve">https://doi.org/10.1145/3637528.3671655</w:t>
        </w:r>
      </w:hyperlink>
      <w:r>
        <w:t xml:space="preserve">.</w:t>
      </w:r>
    </w:p>
    <w:bookmarkEnd w:id="122"/>
    <w:bookmarkStart w:id="124" w:name="ref-song2019ekar"/>
    <w:p>
      <w:pPr>
        <w:pStyle w:val="Reference"/>
        <w:widowControl/>
        <w:jc w:val="both"/>
      </w:pPr>
      <w:r>
        <w:t xml:space="preserve">Song, Weiping, Zhijian Duan, Ziqing Yang, Hao Zhu, Ming Zhang, and Jian Tang. 2019.</w:t>
      </w:r>
      <w:r>
        <w:t xml:space="preserve"> </w:t>
      </w:r>
      <w:r>
        <w:rPr>
          <w:i/>
          <w:iCs/>
        </w:rPr>
        <w:t xml:space="preserve">Ekar</w:t>
      </w:r>
      <w:r>
        <w:rPr>
          <w:i/>
          <w:iCs/>
        </w:rPr>
        <w:t xml:space="preserve">: An Explainable Method for Knowledge Aware Recommendation</w:t>
      </w:r>
      <w:r>
        <w:t xml:space="preserve">.</w:t>
      </w:r>
      <w:r>
        <w:t xml:space="preserve"> </w:t>
      </w:r>
      <w:hyperlink r:id="rId41">
        <w:r>
          <w:rPr>
            <w:rStyle w:val="Hyperlink"/>
          </w:rPr>
          <w:t xml:space="preserve">https://arxiv.org/abs/1906.09506</w:t>
        </w:r>
      </w:hyperlink>
      <w:r>
        <w:t xml:space="preserve">.</w:t>
      </w:r>
    </w:p>
    <w:bookmarkEnd w:id="124"/>
    <w:bookmarkStart w:id="126" w:name="ref-tai2021ucpr"/>
    <w:p>
      <w:pPr>
        <w:pStyle w:val="Reference"/>
        <w:widowControl/>
        <w:jc w:val="both"/>
      </w:pPr>
      <w:r>
        <w:t xml:space="preserve">Tai, Chang-You, Liang-Ying Huang, Chien-Kun Huang, and Lun-Wei Ku. 2021.</w:t>
      </w:r>
      <w:r>
        <w:t xml:space="preserve"> </w:t>
      </w:r>
      <w:r>
        <w:t xml:space="preserve">“User-Centric Path Reasoning Towards Explainable Recommendation.”</w:t>
      </w:r>
      <w:r>
        <w:t xml:space="preserve"> </w:t>
      </w:r>
      <w:r>
        <w:rPr>
          <w:i/>
          <w:iCs/>
        </w:rPr>
        <w:t xml:space="preserve">Proceedings of the 44th International ACM SIGIR Conference on Research and Development in Information Retrieval</w:t>
      </w:r>
      <w:r>
        <w:t xml:space="preserve">, 879–89.</w:t>
      </w:r>
      <w:r>
        <w:t xml:space="preserve"> </w:t>
      </w:r>
      <w:hyperlink r:id="rId42">
        <w:r>
          <w:rPr>
            <w:rStyle w:val="Hyperlink"/>
          </w:rPr>
          <w:t xml:space="preserve">https://doi.org/10.1145/3404835.3462847</w:t>
        </w:r>
      </w:hyperlink>
      <w:r>
        <w:t xml:space="preserve">.</w:t>
      </w:r>
    </w:p>
    <w:bookmarkEnd w:id="126"/>
    <w:bookmarkStart w:id="128" w:name="ref-wang2018ripplenet"/>
    <w:p>
      <w:pPr>
        <w:pStyle w:val="Reference"/>
        <w:widowControl/>
        <w:jc w:val="both"/>
      </w:pPr>
      <w:r>
        <w:t xml:space="preserve">Wang, Hongwei, Fuzheng Zhang, Jialin Wang, et al. 2018.</w:t>
      </w:r>
      <w:r>
        <w:t xml:space="preserve"> </w:t>
      </w:r>
      <w:r>
        <w:t xml:space="preserve">“</w:t>
      </w:r>
      <w:r>
        <w:t xml:space="preserve">RippleNet</w:t>
      </w:r>
      <w:r>
        <w:t xml:space="preserve">: Propagating User Preferences on the Knowledge Graph for Recommender Systems.”</w:t>
      </w:r>
      <w:r>
        <w:t xml:space="preserve"> </w:t>
      </w:r>
      <w:r>
        <w:rPr>
          <w:i/>
          <w:iCs/>
        </w:rPr>
        <w:t xml:space="preserve">Proceedings of the 27th ACM International Conference on Information and Knowledge Management</w:t>
      </w:r>
      <w:r>
        <w:t xml:space="preserve">, 417–26.</w:t>
      </w:r>
      <w:r>
        <w:t xml:space="preserve"> </w:t>
      </w:r>
      <w:hyperlink r:id="rId43">
        <w:r>
          <w:rPr>
            <w:rStyle w:val="Hyperlink"/>
          </w:rPr>
          <w:t xml:space="preserve">https://doi.org/10.1145/3269206.3271739</w:t>
        </w:r>
      </w:hyperlink>
      <w:r>
        <w:t xml:space="preserve">.</w:t>
      </w:r>
    </w:p>
    <w:bookmarkEnd w:id="128"/>
    <w:bookmarkStart w:id="130" w:name="ref-wang2021kgin"/>
    <w:p>
      <w:pPr>
        <w:pStyle w:val="Reference"/>
        <w:widowControl/>
        <w:jc w:val="both"/>
      </w:pPr>
      <w:r>
        <w:t xml:space="preserve">Wang, Xiang, Tinglin Huang, Dingxian Wang, et al. 2021.</w:t>
      </w:r>
      <w:r>
        <w:t xml:space="preserve"> </w:t>
      </w:r>
      <w:r>
        <w:t xml:space="preserve">“Learning Intents Behind Interactions with Knowledge Graph for Recommendation.”</w:t>
      </w:r>
      <w:r>
        <w:t xml:space="preserve"> </w:t>
      </w:r>
      <w:r>
        <w:rPr>
          <w:i/>
          <w:iCs/>
        </w:rPr>
        <w:t xml:space="preserve">Proceedings of the Web Conference 2021</w:t>
      </w:r>
      <w:r>
        <w:t xml:space="preserve">, 878–87.</w:t>
      </w:r>
      <w:r>
        <w:t xml:space="preserve"> </w:t>
      </w:r>
      <w:hyperlink r:id="rId44">
        <w:r>
          <w:rPr>
            <w:rStyle w:val="Hyperlink"/>
          </w:rPr>
          <w:t xml:space="preserve">https://doi.org/10.1145/3442381.3450133</w:t>
        </w:r>
      </w:hyperlink>
      <w:r>
        <w:t xml:space="preserve">.</w:t>
      </w:r>
    </w:p>
    <w:bookmarkEnd w:id="130"/>
    <w:bookmarkStart w:id="132" w:name="ref-wang2019kprn"/>
    <w:p>
      <w:pPr>
        <w:pStyle w:val="Reference"/>
        <w:widowControl/>
        <w:jc w:val="both"/>
      </w:pPr>
      <w:r>
        <w:t xml:space="preserve">Wang, Xiang, Dingxian Wang, Canran Xu, Xiangnan He, Yixin Cao, and Tat-Seng Chua. 2019.</w:t>
      </w:r>
      <w:r>
        <w:t xml:space="preserve"> </w:t>
      </w:r>
      <w:r>
        <w:t xml:space="preserve">“Explainable Reasoning over Knowledge Graphs for Recommendation.”</w:t>
      </w:r>
      <w:r>
        <w:t xml:space="preserve"> </w:t>
      </w:r>
      <w:r>
        <w:rPr>
          <w:i/>
          <w:iCs/>
        </w:rPr>
        <w:t xml:space="preserve">Proceedings of the AAAI Conference on Artificial Intelligence</w:t>
      </w:r>
      <w:r>
        <w:t xml:space="preserve"> </w:t>
      </w:r>
      <w:r>
        <w:t xml:space="preserve">33: 5329–36.</w:t>
      </w:r>
      <w:r>
        <w:t xml:space="preserve"> </w:t>
      </w:r>
      <w:hyperlink r:id="rId45">
        <w:r>
          <w:rPr>
            <w:rStyle w:val="Hyperlink"/>
          </w:rPr>
          <w:t xml:space="preserve">https://doi.org/10.1609/aaai.v33i01.33015329</w:t>
        </w:r>
      </w:hyperlink>
      <w:r>
        <w:t xml:space="preserve">.</w:t>
      </w:r>
    </w:p>
    <w:bookmarkEnd w:id="132"/>
    <w:bookmarkStart w:id="134" w:name="ref-wang2022multilevelReasoning"/>
    <w:p>
      <w:pPr>
        <w:pStyle w:val="Reference"/>
        <w:widowControl/>
        <w:jc w:val="both"/>
      </w:pPr>
      <w:r>
        <w:t xml:space="preserve">Wang, Xiting, Kunpeng Liu, Dongjie Wang, Le Wu, Yanjie Fu, and Xing Xie. 2022.</w:t>
      </w:r>
      <w:r>
        <w:t xml:space="preserve"> </w:t>
      </w:r>
      <w:r>
        <w:t xml:space="preserve">“Multi-Level Recommendation Reasoning over Knowledge Graphs with Reinforcement Learning.”</w:t>
      </w:r>
      <w:r>
        <w:t xml:space="preserve"> </w:t>
      </w:r>
      <w:r>
        <w:rPr>
          <w:i/>
          <w:iCs/>
        </w:rPr>
        <w:t xml:space="preserve">Proceedings of the ACM Web Conference 2022</w:t>
      </w:r>
      <w:r>
        <w:t xml:space="preserve">, 2098–108.</w:t>
      </w:r>
      <w:r>
        <w:t xml:space="preserve"> </w:t>
      </w:r>
      <w:hyperlink r:id="rId46">
        <w:r>
          <w:rPr>
            <w:rStyle w:val="Hyperlink"/>
          </w:rPr>
          <w:t xml:space="preserve">https://doi.org/10.1145/3485447.3512083</w:t>
        </w:r>
      </w:hyperlink>
      <w:r>
        <w:t xml:space="preserve">.</w:t>
      </w:r>
    </w:p>
    <w:bookmarkEnd w:id="134"/>
    <w:bookmarkStart w:id="136" w:name="ref-xian2019pgpr"/>
    <w:p>
      <w:pPr>
        <w:pStyle w:val="Reference"/>
        <w:widowControl/>
        <w:jc w:val="both"/>
      </w:pPr>
      <w:r>
        <w:t xml:space="preserve">Xian, Yikun, Zuohui Fu, S. Muthukrishnan, Gerard de Melo, and Yongfeng Zhang. 2019.</w:t>
      </w:r>
      <w:r>
        <w:t xml:space="preserve"> </w:t>
      </w:r>
      <w:r>
        <w:t xml:space="preserve">“Reinforcement Knowledge Graph Reasoning for Explainable Recommendation.”</w:t>
      </w:r>
      <w:r>
        <w:t xml:space="preserve"> </w:t>
      </w:r>
      <w:r>
        <w:rPr>
          <w:i/>
          <w:iCs/>
        </w:rPr>
        <w:t xml:space="preserve">Proceedings of the 42nd International ACM SIGIR Conference on Research and Development in Information Retrieval</w:t>
      </w:r>
      <w:r>
        <w:t xml:space="preserve">, 285–94.</w:t>
      </w:r>
      <w:r>
        <w:t xml:space="preserve"> </w:t>
      </w:r>
      <w:hyperlink r:id="rId47">
        <w:r>
          <w:rPr>
            <w:rStyle w:val="Hyperlink"/>
          </w:rPr>
          <w:t xml:space="preserve">https://doi.org/10.1145/3331184.3331203</w:t>
        </w:r>
      </w:hyperlink>
      <w:r>
        <w:t xml:space="preserve">.</w:t>
      </w:r>
    </w:p>
    <w:bookmarkEnd w:id="136"/>
    <w:bookmarkStart w:id="138" w:name="ref-xian2020cafe"/>
    <w:p>
      <w:pPr>
        <w:pStyle w:val="Reference"/>
        <w:widowControl/>
        <w:jc w:val="both"/>
      </w:pPr>
      <w:r>
        <w:t xml:space="preserve">Xian, Yikun, Zuohui Fu, Handong Zhao, et al. 2020.</w:t>
      </w:r>
      <w:r>
        <w:t xml:space="preserve"> </w:t>
      </w:r>
      <w:r>
        <w:t xml:space="preserve">“</w:t>
      </w:r>
      <w:r>
        <w:t xml:space="preserve">CAFE</w:t>
      </w:r>
      <w:r>
        <w:t xml:space="preserve">: Coarse-to-Fine Neural Symbolic Reasoning for Explainable Recommendation.”</w:t>
      </w:r>
      <w:r>
        <w:t xml:space="preserve"> </w:t>
      </w:r>
      <w:r>
        <w:rPr>
          <w:i/>
          <w:iCs/>
        </w:rPr>
        <w:t xml:space="preserve">Proceedings of the 29th ACM International Conference on Information and Knowledge Management</w:t>
      </w:r>
      <w:r>
        <w:t xml:space="preserve">, 1645–54.</w:t>
      </w:r>
      <w:r>
        <w:t xml:space="preserve"> </w:t>
      </w:r>
      <w:hyperlink r:id="rId48">
        <w:r>
          <w:rPr>
            <w:rStyle w:val="Hyperlink"/>
          </w:rPr>
          <w:t xml:space="preserve">https://doi.org/10.1145/3340531.3412038</w:t>
        </w:r>
      </w:hyperlink>
      <w:r>
        <w:t xml:space="preserve">.</w:t>
      </w:r>
    </w:p>
    <w:bookmarkEnd w:id="138"/>
    <w:bookmarkStart w:id="140" w:name="ref-yuan2020gnnExplainability"/>
    <w:p>
      <w:pPr>
        <w:pStyle w:val="Reference"/>
        <w:widowControl/>
        <w:jc w:val="both"/>
      </w:pPr>
      <w:r>
        <w:t xml:space="preserve">Yuan, Hao, Haiyang Yu, Shurui Gui, and Shuiwang Ji. 2020.</w:t>
      </w:r>
      <w:r>
        <w:t xml:space="preserve"> </w:t>
      </w:r>
      <w:r>
        <w:rPr>
          <w:i/>
          <w:iCs/>
        </w:rPr>
        <w:t xml:space="preserve">Explainability in Graph Neural Networks: A Taxonomic Survey</w:t>
      </w:r>
      <w:r>
        <w:t xml:space="preserve">.</w:t>
      </w:r>
      <w:r>
        <w:t xml:space="preserve"> </w:t>
      </w:r>
      <w:hyperlink r:id="rId49">
        <w:r>
          <w:rPr>
            <w:rStyle w:val="Hyperlink"/>
          </w:rPr>
          <w:t xml:space="preserve">https://arxiv.org/abs/2012.15445</w:t>
        </w:r>
      </w:hyperlink>
      <w:r>
        <w:t xml:space="preserve">.</w:t>
      </w:r>
    </w:p>
    <w:bookmarkEnd w:id="140"/>
    <w:bookmarkStart w:id="142" w:name="ref-zhang2020explainableSurvey"/>
    <w:p>
      <w:pPr>
        <w:pStyle w:val="Reference"/>
        <w:widowControl/>
        <w:jc w:val="both"/>
      </w:pPr>
      <w:r>
        <w:t xml:space="preserve">Zhang, Yongfeng, and Xu Chen. 2020.</w:t>
      </w:r>
      <w:r>
        <w:t xml:space="preserve"> </w:t>
      </w:r>
      <w:r>
        <w:t xml:space="preserve">“Explainable Recommendation: A Survey and New Perspectives.”</w:t>
      </w:r>
      <w:r>
        <w:t xml:space="preserve"> </w:t>
      </w:r>
      <w:r>
        <w:rPr>
          <w:i/>
          <w:iCs/>
        </w:rPr>
        <w:t xml:space="preserve">Foundations and Trends in Information Retrieval</w:t>
      </w:r>
      <w:r>
        <w:t xml:space="preserve"> </w:t>
      </w:r>
      <w:r>
        <w:t xml:space="preserve">14 (1): 1–101.</w:t>
      </w:r>
      <w:r>
        <w:t xml:space="preserve"> </w:t>
      </w:r>
      <w:hyperlink r:id="rId50">
        <w:r>
          <w:rPr>
            <w:rStyle w:val="Hyperlink"/>
          </w:rPr>
          <w:t xml:space="preserve">https://doi.org/10.1561/1500000066</w:t>
        </w:r>
      </w:hyperlink>
      <w:r>
        <w:t xml:space="preserve">.</w:t>
      </w:r>
    </w:p>
    <w:bookmarkEnd w:id="142"/>
    <w:bookmarkStart w:id="144" w:name="ref-zhao2022tprec"/>
    <w:p>
      <w:pPr>
        <w:pStyle w:val="Reference"/>
        <w:widowControl/>
        <w:jc w:val="both"/>
      </w:pPr>
      <w:r>
        <w:t xml:space="preserve">Zhao, Yuyue, Xiang Wang, Jiawei Chen, et al. 2022.</w:t>
      </w:r>
      <w:r>
        <w:t xml:space="preserve"> </w:t>
      </w:r>
      <w:r>
        <w:t xml:space="preserve">“Time-Aware Path Reasoning on Knowledge Graph for Recommendation.”</w:t>
      </w:r>
      <w:r>
        <w:t xml:space="preserve"> </w:t>
      </w:r>
      <w:r>
        <w:rPr>
          <w:i/>
          <w:iCs/>
        </w:rPr>
        <w:t xml:space="preserve">ACM Transactions on Information Systems</w:t>
      </w:r>
      <w:r>
        <w:t xml:space="preserve">, ahead of print.</w:t>
      </w:r>
      <w:r>
        <w:t xml:space="preserve"> </w:t>
      </w:r>
      <w:hyperlink r:id="rId51">
        <w:r>
          <w:rPr>
            <w:rStyle w:val="Hyperlink"/>
          </w:rPr>
          <w:t xml:space="preserve">https://doi.org/10.1145/3531267</w:t>
        </w:r>
      </w:hyperlink>
      <w:r>
        <w:t xml:space="preserve">.</w:t>
      </w:r>
    </w:p>
    <w:bookmarkEnd w:id="144"/>
    <w:bookmarkEnd w:id="145"/>
    <w:bookmarkEnd w:id="146"/>
    <w:bookmarkStart w:id="156" w:name="appendices"/>
    <w:p>
      <w:pPr>
        <w:pStyle w:val="Heading1"/>
        <w:keepNext/>
        <w:pageBreakBefore/>
      </w:pPr>
      <w:r>
        <w:t xml:space="preserve">Appendices</w:t>
      </w:r>
    </w:p>
    <w:p>
      <w:pPr>
        <w:pStyle w:val="FirstParagraph"/>
        <w:widowControl/>
        <w:jc w:val="both"/>
      </w:pPr>
      <w:r>
        <w:t xml:space="preserve">This plan identifies dissertation material that can be inserted during final formatting. It does not fabricate unavailable appendix data or alter the evidence boundaries of Chapters 1–6.</w:t>
      </w:r>
    </w:p>
    <w:bookmarkStart w:id="147" w:name="Xf87941347d0bec1bfb8ba5738c40580e64ad6eb"/>
    <w:p>
      <w:pPr>
        <w:pStyle w:val="Heading2"/>
        <w:keepNext/>
      </w:pPr>
      <w:r>
        <w:t xml:space="preserve">Appendix A: Canonical Export Contract and Validation Details</w:t>
      </w:r>
    </w:p>
    <w:p>
      <w:pPr>
        <w:pStyle w:val="FirstParagraph"/>
        <w:widowControl/>
        <w:jc w:val="both"/>
      </w:pPr>
      <w:r>
        <w:t xml:space="preserve">Planned contents: the three-file native-path export contract, field-level requirements, canonical identifier recovery, and the registered validation gates. Supporting material is available in</w:t>
      </w:r>
      <w:r>
        <w:t xml:space="preserve"> </w:t>
      </w:r>
      <w:r>
        <w:rPr>
          <w:rStyle w:val="VerbatimChar"/>
        </w:rPr>
        <w:t xml:space="preserve">thesis_analysis_pack/goal_12_chapter_3_material_pack.md</w:t>
      </w:r>
      <w:r>
        <w:t xml:space="preserve"> </w:t>
      </w:r>
      <w:r>
        <w:t xml:space="preserve">and the repository validation scripts. Full command outputs are to be selected during final formatting.</w:t>
      </w:r>
    </w:p>
    <w:bookmarkEnd w:id="147"/>
    <w:bookmarkStart w:id="148" w:name="Xbaebfe37c51a5e7146c462c81722fb122fa3c77"/>
    <w:p>
      <w:pPr>
        <w:pStyle w:val="Heading2"/>
        <w:keepNext/>
      </w:pPr>
      <w:r>
        <w:t xml:space="preserve">Appendix B: Full Metric Definitions and Notation</w:t>
      </w:r>
    </w:p>
    <w:p>
      <w:pPr>
        <w:pStyle w:val="FirstParagraph"/>
        <w:widowControl/>
        <w:jc w:val="both"/>
      </w:pPr>
      <w:r>
        <w:t xml:space="preserve">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bookmarkEnd w:id="148"/>
    <w:bookmarkStart w:id="152" w:name="appendix-c-additional-trade-off-curves"/>
    <w:p>
      <w:pPr>
        <w:pStyle w:val="Heading2"/>
        <w:keepNext/>
      </w:pPr>
      <w:r>
        <w:t xml:space="preserve">Appendix C: Additional Trade-off Curves</w:t>
      </w:r>
    </w:p>
    <w:p>
      <w:pPr>
        <w:pStyle w:val="FirstParagraph"/>
        <w:widowControl/>
        <w:jc w:val="both"/>
      </w:pPr>
      <w:r>
        <w:t xml:space="preserve">Planned contents: supplementary LIR-, SEP-, and ETD-oriented alpha-sweep figures for LastFM and ML-1M that are not required in the main-text figure set. Only existing validated figure assets should be inserted. Paired sweep NDCG must remain separate from strict NDCG@10.</w:t>
      </w:r>
    </w:p>
    <w:p xmlns:a="http://schemas.openxmlformats.org/drawingml/2006/main" xmlns:pic="http://schemas.openxmlformats.org/drawingml/2006/picture">
      <w:pPr>
        <w:pStyle w:val="BodyText"/>
        <w:keepNext/>
        <w:spacing w:before="160" w:after="80"/>
        <w:jc w:val="center"/>
      </w:pPr>
      <w:r>
        <w:drawing>
          <wp:inline>
            <wp:extent cx="4699000" cy="4160083"/>
            <wp:effectExtent b="0" l="0" r="0" t="0"/>
            <wp:docPr descr="Figure C.1 Amazon-Book KGAT boundary decision flow" title="" id="150" name="Picture"/>
            <a:graphic>
              <a:graphicData uri="http://schemas.openxmlformats.org/drawingml/2006/picture">
                <pic:pic>
                  <pic:nvPicPr>
                    <pic:cNvPr descr="paper/current_dissertation/figures/png/figure_c_1_amazon_boundary_flow_final.png" id="151" name="Picture"/>
                    <pic:cNvPicPr>
                      <a:picLocks noChangeArrowheads="1" noChangeAspect="1"/>
                    </pic:cNvPicPr>
                  </pic:nvPicPr>
                  <pic:blipFill>
                    <a:blip r:embed="rId52"/>
                    <a:stretch>
                      <a:fillRect/>
                    </a:stretch>
                  </pic:blipFill>
                  <pic:spPr bwMode="auto">
                    <a:xfrm>
                      <a:off x="0" y="0"/>
                      <a:ext cx="4699000" cy="4160083"/>
                    </a:xfrm>
                    <a:prstGeom prst="rect">
                      <a:avLst/>
                    </a:prstGeom>
                    <a:noFill/>
                    <a:ln w="9525">
                      <a:noFill/>
                      <a:headEnd/>
                      <a:tailEnd/>
                    </a:ln>
                  </pic:spPr>
                </pic:pic>
              </a:graphicData>
            </a:graphic>
          </wp:inline>
        </w:drawing>
      </w:r>
    </w:p>
    <w:p>
      <w:pPr>
        <w:pStyle w:val="Caption"/>
        <w:jc w:val="center"/>
      </w:pPr>
      <w:r>
        <w:rPr>
          <w:b/>
          <w:bCs/>
        </w:rPr>
        <w:t xml:space="preserve">Figure C.1.</w:t>
      </w:r>
      <w:r>
        <w:t xml:space="preserve"> </w:t>
      </w:r>
      <w:r>
        <w:t xml:space="preserve">Decision flow for the partial Amazon-Book KGAT boundary case. This figure records boundary-case status rather than full benchmark performance. Current validated rows remain partial evidence because the complete explanation-sweep protocol is unavailable.</w:t>
      </w:r>
      <w:r>
        <w:fldChar w:fldCharType="begin"/>
      </w:r>
      <w:r>
        <w:rPr>
          <w:vanish/>
        </w:rPr>
        <w:instrText xml:space="preserve"> TC "Figure C.1. Decision flow for the partial Amazon-Book KGAT boundary case. This figure records boundary-case status rather than full benchmark performance. Current validated rows remain partial evidence because the complete explanation-sweep protocol is unavailable." \f F \l 1 </w:instrText>
      </w:r>
      <w:r>
        <w:fldChar w:fldCharType="end"/>
      </w:r>
    </w:p>
    <w:bookmarkEnd w:id="152"/>
    <w:bookmarkStart w:id="153" w:name="appendix-d-ablation-supplementary-tables"/>
    <w:p>
      <w:pPr>
        <w:pStyle w:val="Heading2"/>
        <w:keepNext/>
      </w:pPr>
      <w:r>
        <w:t xml:space="preserve">Appendix D: Ablation Supplementary Tables</w:t>
      </w:r>
    </w:p>
    <w:p>
      <w:pPr>
        <w:pStyle w:val="FirstParagraph"/>
        <w:widowControl/>
        <w:jc w:val="both"/>
      </w:pPr>
      <w:r>
        <w:t xml:space="preserve">Planned contents: the complete PGPR/UCPR alpha-zero preservation and 95% NDCG-retention records from</w:t>
      </w:r>
      <w:r>
        <w:t xml:space="preserve"> </w:t>
      </w:r>
      <w:r>
        <w:rPr>
          <w:rStyle w:val="VerbatimChar"/>
        </w:rPr>
        <w:t xml:space="preserve">reports/tables/ablation/pgpr_ucpr_path_module/</w:t>
      </w:r>
      <w:r>
        <w:t xml:space="preserve">. These records remain specific to the registered ablation and must not be generalised to the six-model main comparison.</w:t>
      </w:r>
    </w:p>
    <w:bookmarkEnd w:id="153"/>
    <w:bookmarkStart w:id="154" w:name="X28ffbbfd8a56c3d1c89c009b668156f14372a68"/>
    <w:p>
      <w:pPr>
        <w:pStyle w:val="Heading2"/>
        <w:keepNext/>
      </w:pPr>
      <w:r>
        <w:t xml:space="preserve">Appendix E: Boundary-Case and Reproducibility Caveats</w:t>
      </w:r>
    </w:p>
    <w:p>
      <w:pPr>
        <w:pStyle w:val="FirstParagraph"/>
        <w:widowControl/>
        <w:jc w:val="both"/>
      </w:pPr>
      <w:r>
        <w:t xml:space="preserve">Planned contents: the detailed Amazon-Book KGAT validation register, unavailable explanation-sweep conditions, native-path slot-coverage caveats, unavailable twelve primary strict-accuracy JSON artifacts, checkpoint and seed gaps, and the absence of registered statistical-significance and user-study artifacts. Amazon-Book remains a partial boundary case.</w:t>
      </w:r>
    </w:p>
    <w:bookmarkEnd w:id="154"/>
    <w:bookmarkStart w:id="155" w:name="appendix-f-citation-and-provenance-notes"/>
    <w:p>
      <w:pPr>
        <w:pStyle w:val="Heading2"/>
        <w:keepNext/>
      </w:pPr>
      <w:r>
        <w:t xml:space="preserve">Appendix F: Citation and Provenance Notes</w:t>
      </w:r>
    </w:p>
    <w:p>
      <w:pPr>
        <w:pStyle w:val="FirstParagraph"/>
        <w:widowControl/>
        <w:jc w:val="both"/>
      </w:pPr>
      <w:r>
        <w:t xml:space="preserve">Planned contents: citation verification notes, strict-accuracy provenance closure, the citation-to-claim map, and unresolved publication-metadata checks. PEARLM remains verified at arXiv level unless final venue and publisher DOI metadata are manually confirmed. Relevant sources are under</w:t>
      </w:r>
      <w:r>
        <w:t xml:space="preserve"> </w:t>
      </w:r>
      <w:r>
        <w:rPr>
          <w:rStyle w:val="VerbatimChar"/>
        </w:rPr>
        <w:t xml:space="preserve">paper/drafts_ch3_6/</w:t>
      </w:r>
      <w:r>
        <w:t xml:space="preserve"> </w:t>
      </w:r>
      <w:r>
        <w:t xml:space="preserve">and</w:t>
      </w:r>
      <w:r>
        <w:t xml:space="preserve"> </w:t>
      </w:r>
      <w:r>
        <w:rPr>
          <w:rStyle w:val="VerbatimChar"/>
        </w:rPr>
        <w:t xml:space="preserve">paper/literature/review_outputs/</w:t>
      </w:r>
      <w:r>
        <w:t xml:space="preserve">.</w:t>
      </w:r>
    </w:p>
    <w:bookmarkEnd w:id="155"/>
    <w:bookmarkEnd w:id="156"/>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58459E"/>
    <w:multiLevelType w:val="multilevel"/>
    <w:tmpl w:val="E3F2413E"/>
    <w:lvl w:ilvl="0">
      <w:start w:val="1"/>
      <w:numFmt w:val="decimal"/>
      <w:lvlText w:val="[%1]"/>
      <w:lvlJc w:val="left"/>
      <w:pPr>
        <w:tabs>
          <w:tab w:pos="648" w:val="left"/>
        </w:tabs>
      </w:pPr>
      <w:rPr>
        <w:rFonts w:ascii="Times New Roman" w:eastAsia="Times New Roman" w:hAnsi="Times New Roman"/>
        <w:color w:val="000000"/>
        <w:spacing w:val="-2"/>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0C7173FA"/>
    <w:multiLevelType w:val="multilevel"/>
    <w:tmpl w:val="3B3CC962"/>
    <w:lvl w:ilvl="0">
      <w:numFmt w:val="bullet"/>
      <w:lvlText w:val="·"/>
      <w:lvlJc w:val="left"/>
      <w:pPr>
        <w:tabs>
          <w:tab w:pos="648" w:val="left"/>
        </w:tabs>
      </w:pPr>
      <w:rPr>
        <w:rFonts w:ascii="Symbol" w:eastAsia="Symbol" w:hAnsi="Symbol"/>
        <w:color w:val="auto"/>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1DAE4EE8"/>
    <w:multiLevelType w:val="multilevel"/>
    <w:tmpl w:val="B28641E0"/>
    <w:lvl w:ilvl="0">
      <w:numFmt w:val="bullet"/>
      <w:lvlText w:val="·"/>
      <w:lvlJc w:val="left"/>
      <w:pPr>
        <w:tabs>
          <w:tab w:pos="720" w:val="left"/>
        </w:tabs>
      </w:pPr>
      <w:rPr>
        <w:rFonts w:ascii="Symbol" w:eastAsia="Symbol" w:hAnsi="Symbol"/>
        <w:color w:val="auto"/>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1E901F23"/>
    <w:multiLevelType w:val="hybridMultilevel"/>
    <w:tmpl w:val="77BCDD6A"/>
    <w:lvl w:ilvl="0" w:tplc="3614EF92">
      <w:start w:val="1"/>
      <w:numFmt w:val="decimal"/>
      <w:lvlText w:val="%1."/>
      <w:lvlJc w:val="left"/>
      <w:pPr>
        <w:ind w:hanging="360" w:left="864"/>
      </w:pPr>
      <w:rPr>
        <w:rFonts w:hint="default"/>
      </w:rPr>
    </w:lvl>
    <w:lvl w:ilvl="1" w:tentative="1" w:tplc="48090019">
      <w:start w:val="1"/>
      <w:numFmt w:val="lowerLetter"/>
      <w:lvlText w:val="%2."/>
      <w:lvlJc w:val="left"/>
      <w:pPr>
        <w:ind w:hanging="360" w:left="1584"/>
      </w:pPr>
    </w:lvl>
    <w:lvl w:ilvl="2" w:tentative="1" w:tplc="4809001B">
      <w:start w:val="1"/>
      <w:numFmt w:val="lowerRoman"/>
      <w:lvlText w:val="%3."/>
      <w:lvlJc w:val="right"/>
      <w:pPr>
        <w:ind w:hanging="180" w:left="2304"/>
      </w:pPr>
    </w:lvl>
    <w:lvl w:ilvl="3" w:tentative="1" w:tplc="4809000F">
      <w:start w:val="1"/>
      <w:numFmt w:val="decimal"/>
      <w:lvlText w:val="%4."/>
      <w:lvlJc w:val="left"/>
      <w:pPr>
        <w:ind w:hanging="360" w:left="3024"/>
      </w:pPr>
    </w:lvl>
    <w:lvl w:ilvl="4" w:tentative="1" w:tplc="48090019">
      <w:start w:val="1"/>
      <w:numFmt w:val="lowerLetter"/>
      <w:lvlText w:val="%5."/>
      <w:lvlJc w:val="left"/>
      <w:pPr>
        <w:ind w:hanging="360" w:left="3744"/>
      </w:pPr>
    </w:lvl>
    <w:lvl w:ilvl="5" w:tentative="1" w:tplc="4809001B">
      <w:start w:val="1"/>
      <w:numFmt w:val="lowerRoman"/>
      <w:lvlText w:val="%6."/>
      <w:lvlJc w:val="right"/>
      <w:pPr>
        <w:ind w:hanging="180" w:left="4464"/>
      </w:pPr>
    </w:lvl>
    <w:lvl w:ilvl="6" w:tentative="1" w:tplc="4809000F">
      <w:start w:val="1"/>
      <w:numFmt w:val="decimal"/>
      <w:lvlText w:val="%7."/>
      <w:lvlJc w:val="left"/>
      <w:pPr>
        <w:ind w:hanging="360" w:left="5184"/>
      </w:pPr>
    </w:lvl>
    <w:lvl w:ilvl="7" w:tentative="1" w:tplc="48090019">
      <w:start w:val="1"/>
      <w:numFmt w:val="lowerLetter"/>
      <w:lvlText w:val="%8."/>
      <w:lvlJc w:val="left"/>
      <w:pPr>
        <w:ind w:hanging="360" w:left="5904"/>
      </w:pPr>
    </w:lvl>
    <w:lvl w:ilvl="8" w:tentative="1" w:tplc="4809001B">
      <w:start w:val="1"/>
      <w:numFmt w:val="lowerRoman"/>
      <w:lvlText w:val="%9."/>
      <w:lvlJc w:val="right"/>
      <w:pPr>
        <w:ind w:hanging="180" w:left="662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02843319" w:numId="1">
    <w:abstractNumId w:val="2"/>
  </w:num>
  <w:num w16cid:durableId="865868834" w:numId="2">
    <w:abstractNumId w:val="1"/>
  </w:num>
  <w:num w16cid:durableId="1766460056" w:numId="3">
    <w:abstractNumId w:val="0"/>
  </w:num>
  <w:num w16cid:durableId="472866559"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jc w:val="left"/>
      <w:outlineLvl w:val="0"/>
    </w:pPr>
    <w:rPr>
      <w:rFonts w:asciiTheme="majorHAnsi" w:eastAsiaTheme="majorEastAsia" w:hAnsiTheme="majorHAnsi" w:cstheme="majorBidi" w:ascii="Times New Roman" w:hAnsi="Times New Roman" w:eastAsia="Times New Roman" w:cs="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ascii="Times New Roman" w:hAnsi="Times New Roman" w:eastAsia="Times New Roman" w:cs="Times New Roman"/>
      <w:b/>
      <w:color w:val="17365D" w:themeColor="text2" w:themeShade="BF"/>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eastAsia="Times New Roman" w:cs="Times New Roman"/>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60"/>
      <w:ind w:left="720"/>
      <w:contextualSpacing/>
    </w:pPr>
    <w:rPr>
      <w:rFonts w:ascii="Times New Roman" w:hAnsi="Times New Roman" w:eastAsia="Times New Roman" w:cs="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40" w:lineRule="auto" w:before="80" w:after="160"/>
    </w:pPr>
    <w:rPr>
      <w:rFonts w:ascii="Times New Roman" w:hAnsi="Times New Roman" w:eastAsia="Times New Roman" w:cs="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pageBreakBefore w:val="0"/>
      <w:spacing w:after="360"/>
      <w:jc w:val="center"/>
    </w:pPr>
    <w:rPr>
      <w:rFonts w:ascii="Times New Roman" w:hAnsi="Times New Roman" w:eastAsia="Times New Roman" w:cs="Times New Roman"/>
      <w:b/>
      <w:sz w:val="40"/>
    </w:rPr>
  </w:style>
  <w:style w:type="paragraph" w:customStyle="1" w:styleId="FormHeading">
    <w:name w:val="Form Heading"/>
    <w:basedOn w:val="Normal"/>
    <w:pPr>
      <w:spacing w:after="360"/>
      <w:jc w:val="center"/>
    </w:pPr>
    <w:rPr>
      <w:rFonts w:ascii="Times New Roman" w:hAnsi="Times New Roman" w:eastAsia="Times New Roman" w:cs="Times New Roman"/>
      <w:b/>
      <w:sz w:val="27"/>
    </w:rPr>
  </w:style>
  <w:style w:type="paragraph" w:customStyle="1" w:styleId="Reference">
    <w:name w:val="Reference"/>
    <w:basedOn w:val="Normal"/>
    <w:pPr>
      <w:spacing w:line="240" w:lineRule="auto" w:after="80"/>
      <w:ind w:left="432" w:hanging="432"/>
      <w:jc w:val="left"/>
    </w:pPr>
    <w:rPr>
      <w:rFonts w:ascii="Times New Roman" w:hAnsi="Times New Roman" w:eastAsia="Times New Roman" w:cs="Times New Roman"/>
      <w:sz w:val="20"/>
    </w:rPr>
  </w:style>
  <w:style w:type="paragraph" w:customStyle="1" w:styleId="Contents1">
    <w:name w:val="Contents 1"/>
    <w:basedOn w:val="Normal"/>
    <w:pPr>
      <w:spacing w:line="240" w:lineRule="auto" w:after="60"/>
      <w:ind w:left="0"/>
      <w:jc w:val="left"/>
    </w:pPr>
    <w:rPr>
      <w:rFonts w:ascii="Times New Roman" w:hAnsi="Times New Roman" w:eastAsia="Times New Roman" w:cs="Times New Roman"/>
      <w:sz w:val="21"/>
    </w:rPr>
  </w:style>
  <w:style w:type="paragraph" w:customStyle="1" w:styleId="Contents2">
    <w:name w:val="Contents 2"/>
    <w:basedOn w:val="Normal"/>
    <w:pPr>
      <w:spacing w:line="240" w:lineRule="auto" w:after="40"/>
      <w:ind w:left="432"/>
      <w:jc w:val="left"/>
    </w:pPr>
    <w:rPr>
      <w:rFonts w:ascii="Times New Roman" w:hAnsi="Times New Roman" w:eastAsia="Times New Roman" w:cs="Times New Roman"/>
      <w:sz w:val="20"/>
    </w:rPr>
  </w:style>
  <w:style w:type="paragraph" w:customStyle="1" w:styleId="ListEntry">
    <w:name w:val="List Entry"/>
    <w:basedOn w:val="Normal"/>
    <w:pPr>
      <w:spacing w:line="240" w:lineRule="auto" w:after="60"/>
      <w:jc w:val="left"/>
    </w:pPr>
    <w:rPr>
      <w:rFonts w:ascii="Times New Roman" w:hAnsi="Times New Roman" w:eastAsia="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doi.org/10.1145/3543846" TargetMode="External"/><Relationship Id="rId24" Type="http://schemas.openxmlformats.org/officeDocument/2006/relationships/hyperlink" Target="https://arxiv.org/abs/2310.16452" TargetMode="External"/><Relationship Id="rId25" Type="http://schemas.openxmlformats.org/officeDocument/2006/relationships/hyperlink" Target="https://doi.org/10.1145/3477495.3532041" TargetMode="External"/><Relationship Id="rId26" Type="http://schemas.openxmlformats.org/officeDocument/2006/relationships/hyperlink" Target="https://doi.org/10.1016/j.simpa.2022.100404" TargetMode="External"/><Relationship Id="rId27" Type="http://schemas.openxmlformats.org/officeDocument/2006/relationships/hyperlink" Target="https://doi.org/10.1145/3640457.3691703" TargetMode="External"/><Relationship Id="rId28" Type="http://schemas.openxmlformats.org/officeDocument/2006/relationships/hyperlink" Target="https://arxiv.org/abs/2109.03540" TargetMode="External"/><Relationship Id="rId29" Type="http://schemas.openxmlformats.org/officeDocument/2006/relationships/hyperlink" Target="https://doi.org/10.1145/3652891" TargetMode="External"/><Relationship Id="rId30" Type="http://schemas.openxmlformats.org/officeDocument/2006/relationships/hyperlink" Target="https://doi.org/10.1109/TKDE.2020.3028705" TargetMode="External"/><Relationship Id="rId31" Type="http://schemas.openxmlformats.org/officeDocument/2006/relationships/hyperlink" Target="https://arxiv.org/abs/2009.07896" TargetMode="External"/><Relationship Id="rId32" Type="http://schemas.openxmlformats.org/officeDocument/2006/relationships/hyperlink" Target="https://doi.org/10.1145/3678004" TargetMode="External"/><Relationship Id="rId33" Type="http://schemas.openxmlformats.org/officeDocument/2006/relationships/hyperlink" Target="https://doi.org/10.1109/TNNLS.2023.3280161" TargetMode="External"/><Relationship Id="rId34" Type="http://schemas.openxmlformats.org/officeDocument/2006/relationships/hyperlink" Target="https://arxiv.org/abs/2505.09777" TargetMode="External"/><Relationship Id="rId35" Type="http://schemas.openxmlformats.org/officeDocument/2006/relationships/hyperlink" Target="https://doi.org/10.1145/3539597.3570482" TargetMode="External"/><Relationship Id="rId36" Type="http://schemas.openxmlformats.org/officeDocument/2006/relationships/hyperlink" Target="https://doi.org/10.1145/3772273" TargetMode="External"/><Relationship Id="rId37" Type="http://schemas.openxmlformats.org/officeDocument/2006/relationships/hyperlink" Target="https://arxiv.org/abs/1909.09223" TargetMode="External"/><Relationship Id="rId38" Type="http://schemas.openxmlformats.org/officeDocument/2006/relationships/hyperlink" Target="https://arxiv.org/abs/2502.10050" TargetMode="External"/><Relationship Id="rId39" Type="http://schemas.openxmlformats.org/officeDocument/2006/relationships/hyperlink" Target="https://ceur-ws.org/Vol-3917/paper62.pdf" TargetMode="External"/><Relationship Id="rId40" Type="http://schemas.openxmlformats.org/officeDocument/2006/relationships/hyperlink" Target="https://doi.org/10.1145/3637528.3671655" TargetMode="External"/><Relationship Id="rId41" Type="http://schemas.openxmlformats.org/officeDocument/2006/relationships/hyperlink" Target="https://arxiv.org/abs/1906.09506" TargetMode="External"/><Relationship Id="rId42" Type="http://schemas.openxmlformats.org/officeDocument/2006/relationships/hyperlink" Target="https://doi.org/10.1145/3404835.3462847" TargetMode="External"/><Relationship Id="rId43" Type="http://schemas.openxmlformats.org/officeDocument/2006/relationships/hyperlink" Target="https://doi.org/10.1145/3269206.3271739" TargetMode="External"/><Relationship Id="rId44" Type="http://schemas.openxmlformats.org/officeDocument/2006/relationships/hyperlink" Target="https://doi.org/10.1145/3442381.3450133" TargetMode="External"/><Relationship Id="rId45" Type="http://schemas.openxmlformats.org/officeDocument/2006/relationships/hyperlink" Target="https://doi.org/10.1609/aaai.v33i01.33015329" TargetMode="External"/><Relationship Id="rId46" Type="http://schemas.openxmlformats.org/officeDocument/2006/relationships/hyperlink" Target="https://doi.org/10.1145/3485447.3512083" TargetMode="External"/><Relationship Id="rId47" Type="http://schemas.openxmlformats.org/officeDocument/2006/relationships/hyperlink" Target="https://doi.org/10.1145/3331184.3331203" TargetMode="External"/><Relationship Id="rId48" Type="http://schemas.openxmlformats.org/officeDocument/2006/relationships/hyperlink" Target="https://doi.org/10.1145/3340531.3412038" TargetMode="External"/><Relationship Id="rId49" Type="http://schemas.openxmlformats.org/officeDocument/2006/relationships/hyperlink" Target="https://arxiv.org/abs/2012.15445" TargetMode="External"/><Relationship Id="rId50" Type="http://schemas.openxmlformats.org/officeDocument/2006/relationships/hyperlink" Target="https://doi.org/10.1561/1500000066" TargetMode="External"/><Relationship Id="rId51" Type="http://schemas.openxmlformats.org/officeDocument/2006/relationships/hyperlink" Target="https://doi.org/10.1145/3531267" TargetMode="External"/><Relationship Id="rId5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Canonical Framework for Accuracy–Explainability Trade-off Analysis in Native-Path Knowledge Graph Recommenders</dc:title>
  <dc:subject>NTU dissertation draft assembled from the official template structure</dc:subject>
  <dc:creator/>
  <cp:keywords>knowledge graph recommender systems; explainability; dissertation</cp:keywords>
  <dc:description>generated by python-docx</dc:description>
  <cp:lastModifiedBy/>
  <cp:revision>1</cp:revision>
  <dcterms:created xsi:type="dcterms:W3CDTF">2013-12-23T23:15:00Z</dcterms:created>
  <dcterms:modified xsi:type="dcterms:W3CDTF">2013-12-23T23:15:00Z</dcterms:modified>
  <cp:category/>
</cp:coreProperties>
</file>