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color w:val="0B3A4B"/>
          <w:sz w:val="30"/>
          <w:szCs w:val="30"/>
        </w:rPr>
        <w:t xml:space="preserve">Automating Sales Exercise — Cheat Sheet</w:t>
      </w:r>
    </w:p>
    <w:p>
      <w:pPr>
        <w:spacing w:after="100" w:before="0"/>
      </w:pPr>
      <w:r>
        <w:rPr>
          <w:rFonts w:ascii="Calibri" w:cs="Calibri" w:eastAsia="Calibri" w:hAnsi="Calibri"/>
          <w:color w:val="64748B"/>
          <w:sz w:val="17"/>
          <w:szCs w:val="17"/>
        </w:rPr>
        <w:t xml:space="preserve">Product: SyncFlow (data integration platform) · Persona: Jordan (AE) · Sprint: May 4–15, 2026 (Mon–Fri) · Timezone: Asia/Manila · all data (TEST).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E7F5E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E6B2F"/>
                <w:sz w:val="17"/>
                <w:szCs w:val="17"/>
              </w:rPr>
              <w:t xml:space="preserve">✓ All 5 activities + both additional use cases completed. Simulated calendar built, screenshotted, documented, then deleted (clean).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0B3A4B"/>
          <w:sz w:val="23"/>
          <w:szCs w:val="23"/>
        </w:rPr>
        <w:t xml:space="preserve">What was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360"/>
      </w:tblGrid>
      <w:tr>
        <w:trPr>
          <w:tblHeader/>
        </w:trPr>
        <w:tc>
          <w:tcPr>
            <w:tcW w:type="dxa" w:w="23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0B3A4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37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0B3A4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336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0B3A4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 result</w:t>
            </w:r>
          </w:p>
        </w:tc>
      </w:tr>
      <w:tr>
        <w:tc>
          <w:tcPr>
            <w:tcW w:type="dxa" w:w="23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4F9FA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 · Pitch deck</w:t>
            </w:r>
          </w:p>
        </w:tc>
        <w:tc>
          <w:tcPr>
            <w:tcW w:type="dxa" w:w="37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4F9FA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Activity1_SyncFlow_Pitch_Deck.pptx</w:t>
            </w:r>
          </w:p>
        </w:tc>
        <w:tc>
          <w:tcPr>
            <w:tcW w:type="dxa" w:w="336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4F9FA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 slides: positioning, problem, solution, features→deals, ROI, CTA</w:t>
            </w:r>
          </w:p>
        </w:tc>
      </w:tr>
      <w:tr>
        <w:tc>
          <w:tcPr>
            <w:tcW w:type="dxa" w:w="23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 · One-pager</w:t>
            </w:r>
          </w:p>
        </w:tc>
        <w:tc>
          <w:tcPr>
            <w:tcW w:type="dxa" w:w="37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Activity2_SyncFlow_OnePager.docx/.pdf</w:t>
            </w:r>
          </w:p>
        </w:tc>
        <w:tc>
          <w:tcPr>
            <w:tcW w:type="dxa" w:w="336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Value prop, 3 features, ROI (15 hrs/wk, $78K), CTA</w:t>
            </w:r>
          </w:p>
        </w:tc>
      </w:tr>
      <w:tr>
        <w:tc>
          <w:tcPr>
            <w:tcW w:type="dxa" w:w="23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4F9FA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3 · Pricing + ROI</w:t>
            </w:r>
          </w:p>
        </w:tc>
        <w:tc>
          <w:tcPr>
            <w:tcW w:type="dxa" w:w="37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4F9FA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Activity3_Pricing_ROI.xlsx</w:t>
            </w:r>
          </w:p>
        </w:tc>
        <w:tc>
          <w:tcPr>
            <w:tcW w:type="dxa" w:w="336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4F9FA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 tabs, live formulas: $78K annual savings, 1.2-mo payback</w:t>
            </w:r>
          </w:p>
        </w:tc>
      </w:tr>
      <w:tr>
        <w:tc>
          <w:tcPr>
            <w:tcW w:type="dxa" w:w="23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4 · Canva collateral</w:t>
            </w:r>
          </w:p>
        </w:tc>
        <w:tc>
          <w:tcPr>
            <w:tcW w:type="dxa" w:w="37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Activity4_Canva_Collateral.md (links)</w:t>
            </w:r>
          </w:p>
        </w:tc>
        <w:tc>
          <w:tcPr>
            <w:tcW w:type="dxa" w:w="336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Flyer + Infographic + Slide/Poster, all branded</w:t>
            </w:r>
          </w:p>
        </w:tc>
      </w:tr>
      <w:tr>
        <w:tc>
          <w:tcPr>
            <w:tcW w:type="dxa" w:w="23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4F9FA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5 · Calendar execution</w:t>
            </w:r>
          </w:p>
        </w:tc>
        <w:tc>
          <w:tcPr>
            <w:tcW w:type="dxa" w:w="37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4F9FA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Activity5_Calendar_Driven_Execution.docx</w:t>
            </w:r>
          </w:p>
        </w:tc>
        <w:tc>
          <w:tcPr>
            <w:tcW w:type="dxa" w:w="336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4F9FA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Prep + questions per meeting, 5 Gmail drafts, weekly summaries</w:t>
            </w:r>
          </w:p>
        </w:tc>
      </w:tr>
      <w:tr>
        <w:tc>
          <w:tcPr>
            <w:tcW w:type="dxa" w:w="23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+ Apollo research</w:t>
            </w:r>
          </w:p>
        </w:tc>
        <w:tc>
          <w:tcPr>
            <w:tcW w:type="dxa" w:w="37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Additional_Apollo_LeadResearch.md</w:t>
            </w:r>
          </w:p>
        </w:tc>
        <w:tc>
          <w:tcPr>
            <w:tcW w:type="dxa" w:w="336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ICP + search filters + 5-touch sequence (free-plan gated)</w:t>
            </w:r>
          </w:p>
        </w:tc>
      </w:tr>
      <w:tr>
        <w:tc>
          <w:tcPr>
            <w:tcW w:type="dxa" w:w="23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4F9FA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+ Pipeline tracker</w:t>
            </w:r>
          </w:p>
        </w:tc>
        <w:tc>
          <w:tcPr>
            <w:tcW w:type="dxa" w:w="37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4F9FA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Additional_Pipeline_Tracker.xlsx</w:t>
            </w:r>
          </w:p>
        </w:tc>
        <w:tc>
          <w:tcPr>
            <w:tcW w:type="dxa" w:w="336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4F9FA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Weighted forecast $513K vs $450K quota; 41% attainment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0B3A4B"/>
          <w:sz w:val="23"/>
          <w:szCs w:val="23"/>
        </w:rPr>
        <w:t xml:space="preserve">SyncFlow quick facts</w:t>
      </w:r>
    </w:p>
    <w:p>
      <w:pPr>
        <w:spacing w:after="60" w:before="0"/>
      </w:pPr>
      <w:r>
        <w:rPr>
          <w:rFonts w:ascii="Calibri" w:cs="Calibri" w:eastAsia="Calibri" w:hAnsi="Calibri"/>
          <w:sz w:val="18"/>
          <w:szCs w:val="18"/>
        </w:rPr>
        <w:t xml:space="preserve">Core features: Integration Hub (connect any system) · Real-Time Sync (live data everywhere) · Compliance Engine (audit trails, SOC 2 / HIPAA-aligned).</w:t>
      </w:r>
    </w:p>
    <w:p>
      <w:pPr>
        <w:spacing w:after="80" w:before="0"/>
      </w:pPr>
      <w:r>
        <w:rPr>
          <w:rFonts w:ascii="Calibri" w:cs="Calibri" w:eastAsia="Calibri" w:hAnsi="Calibri"/>
          <w:sz w:val="18"/>
          <w:szCs w:val="18"/>
        </w:rPr>
        <w:t xml:space="preserve">Pricing: Starter $5K · Pro $8K (recommended) · Enterprise custom.   ROI: 15 hrs/week saved · $78K annual value · ~6-week payback.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200"/>
        <w:gridCol w:w="2160"/>
        <w:gridCol w:w="1900"/>
      </w:tblGrid>
      <w:tr>
        <w:trPr>
          <w:tblHeader/>
        </w:trPr>
        <w:tc>
          <w:tcPr>
            <w:tcW w:type="dxa" w:w="22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0B3A4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Deal</w:t>
            </w:r>
          </w:p>
        </w:tc>
        <w:tc>
          <w:tcPr>
            <w:tcW w:type="dxa" w:w="9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0B3A4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0B3A4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Contact</w:t>
            </w:r>
          </w:p>
        </w:tc>
        <w:tc>
          <w:tcPr>
            <w:tcW w:type="dxa" w:w="216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0B3A4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Pain</w:t>
            </w:r>
          </w:p>
        </w:tc>
        <w:tc>
          <w:tcPr>
            <w:tcW w:type="dxa" w:w="19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0B3A4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End stage</w:t>
            </w:r>
          </w:p>
        </w:tc>
      </w:tr>
      <w:tr>
        <w:tc>
          <w:tcPr>
            <w:tcW w:type="dxa" w:w="22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4F9FA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Greenline Logistics</w:t>
            </w:r>
          </w:p>
        </w:tc>
        <w:tc>
          <w:tcPr>
            <w:tcW w:type="dxa" w:w="9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4F9FA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$76K</w:t>
            </w:r>
          </w:p>
        </w:tc>
        <w:tc>
          <w:tcPr>
            <w:tcW w:type="dxa" w:w="22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4F9FA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Derek Santos (VP Ops)</w:t>
            </w:r>
          </w:p>
        </w:tc>
        <w:tc>
          <w:tcPr>
            <w:tcW w:type="dxa" w:w="216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4F9FA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Manual inventory tracking</w:t>
            </w:r>
          </w:p>
        </w:tc>
        <w:tc>
          <w:tcPr>
            <w:tcW w:type="dxa" w:w="19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4F9FA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Verbal Commit (won)</w:t>
            </w:r>
          </w:p>
        </w:tc>
      </w:tr>
      <w:tr>
        <w:tc>
          <w:tcPr>
            <w:tcW w:type="dxa" w:w="22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Apex Financial Group</w:t>
            </w:r>
          </w:p>
        </w:tc>
        <w:tc>
          <w:tcPr>
            <w:tcW w:type="dxa" w:w="9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$110K</w:t>
            </w:r>
          </w:p>
        </w:tc>
        <w:tc>
          <w:tcPr>
            <w:tcW w:type="dxa" w:w="22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Maria Santos (Compliance)</w:t>
            </w:r>
          </w:p>
        </w:tc>
        <w:tc>
          <w:tcPr>
            <w:tcW w:type="dxa" w:w="216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Audit trail gaps</w:t>
            </w:r>
          </w:p>
        </w:tc>
        <w:tc>
          <w:tcPr>
            <w:tcW w:type="dxa" w:w="19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Negotiation</w:t>
            </w:r>
          </w:p>
        </w:tc>
      </w:tr>
      <w:tr>
        <w:tc>
          <w:tcPr>
            <w:tcW w:type="dxa" w:w="22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4F9FA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BrightPath Education</w:t>
            </w:r>
          </w:p>
        </w:tc>
        <w:tc>
          <w:tcPr>
            <w:tcW w:type="dxa" w:w="9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4F9FA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$120K</w:t>
            </w:r>
          </w:p>
        </w:tc>
        <w:tc>
          <w:tcPr>
            <w:tcW w:type="dxa" w:w="22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4F9FA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Karen Wu (Head of IT)</w:t>
            </w:r>
          </w:p>
        </w:tc>
        <w:tc>
          <w:tcPr>
            <w:tcW w:type="dxa" w:w="216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4F9FA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Fragmented student data</w:t>
            </w:r>
          </w:p>
        </w:tc>
        <w:tc>
          <w:tcPr>
            <w:tcW w:type="dxa" w:w="19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4F9FA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Proposal</w:t>
            </w:r>
          </w:p>
        </w:tc>
      </w:tr>
      <w:tr>
        <w:tc>
          <w:tcPr>
            <w:tcW w:type="dxa" w:w="22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Coastal Health Systems</w:t>
            </w:r>
          </w:p>
        </w:tc>
        <w:tc>
          <w:tcPr>
            <w:tcW w:type="dxa" w:w="9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$90K</w:t>
            </w:r>
          </w:p>
        </w:tc>
        <w:tc>
          <w:tcPr>
            <w:tcW w:type="dxa" w:w="22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Ana Rivera (Dir Ops)</w:t>
            </w:r>
          </w:p>
        </w:tc>
        <w:tc>
          <w:tcPr>
            <w:tcW w:type="dxa" w:w="216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Patient data sync</w:t>
            </w:r>
          </w:p>
        </w:tc>
        <w:tc>
          <w:tcPr>
            <w:tcW w:type="dxa" w:w="19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Proposal</w:t>
            </w:r>
          </w:p>
        </w:tc>
      </w:tr>
      <w:tr>
        <w:tc>
          <w:tcPr>
            <w:tcW w:type="dxa" w:w="22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4F9FA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Meridian Retail</w:t>
            </w:r>
          </w:p>
        </w:tc>
        <w:tc>
          <w:tcPr>
            <w:tcW w:type="dxa" w:w="9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4F9FA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$75K</w:t>
            </w:r>
          </w:p>
        </w:tc>
        <w:tc>
          <w:tcPr>
            <w:tcW w:type="dxa" w:w="22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4F9FA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Tanya Chen (VP Digital)</w:t>
            </w:r>
          </w:p>
        </w:tc>
        <w:tc>
          <w:tcPr>
            <w:tcW w:type="dxa" w:w="216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4F9FA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Shopify + inventory sync</w:t>
            </w:r>
          </w:p>
        </w:tc>
        <w:tc>
          <w:tcPr>
            <w:tcW w:type="dxa" w:w="19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4F9FA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Proposal</w:t>
            </w:r>
          </w:p>
        </w:tc>
      </w:tr>
      <w:tr>
        <w:tc>
          <w:tcPr>
            <w:tcW w:type="dxa" w:w="22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NovaTech Solutions</w:t>
            </w:r>
          </w:p>
        </w:tc>
        <w:tc>
          <w:tcPr>
            <w:tcW w:type="dxa" w:w="9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$95K</w:t>
            </w:r>
          </w:p>
        </w:tc>
        <w:tc>
          <w:tcPr>
            <w:tcW w:type="dxa" w:w="22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Lost / churned (reference)</w:t>
            </w:r>
          </w:p>
        </w:tc>
        <w:tc>
          <w:tcPr>
            <w:tcW w:type="dxa" w:w="1900"/>
            <w:tcBorders>
              <w:top w:val="single" w:color="D7E3E8" w:sz="1"/>
              <w:left w:val="single" w:color="D7E3E8" w:sz="1"/>
              <w:bottom w:val="single" w:color="D7E3E8" w:sz="1"/>
              <w:right w:val="single" w:color="D7E3E8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Closed-Lost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0B3A4B"/>
          <w:sz w:val="23"/>
          <w:szCs w:val="23"/>
        </w:rPr>
        <w:t xml:space="preserve">Numbers to remember</w:t>
      </w:r>
    </w:p>
    <w:p>
      <w:pPr>
        <w:pStyle w:val="ListParagraph"/>
        <w:numPr>
          <w:ilvl w:val="0"/>
          <w:numId w:val="1"/>
        </w:numPr>
        <w:spacing w:after="24"/>
      </w:pPr>
      <w:r>
        <w:rPr>
          <w:rFonts w:ascii="Calibri" w:cs="Calibri" w:eastAsia="Calibri" w:hAnsi="Calibri"/>
          <w:b/>
          <w:bCs/>
          <w:color w:val="0B3A4B"/>
          <w:sz w:val="18"/>
          <w:szCs w:val="18"/>
        </w:rPr>
        <w:t xml:space="preserve">Q2 quota: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$450,000</w:t>
      </w:r>
    </w:p>
    <w:p>
      <w:pPr>
        <w:pStyle w:val="ListParagraph"/>
        <w:numPr>
          <w:ilvl w:val="0"/>
          <w:numId w:val="1"/>
        </w:numPr>
        <w:spacing w:after="24"/>
      </w:pPr>
      <w:r>
        <w:rPr>
          <w:rFonts w:ascii="Calibri" w:cs="Calibri" w:eastAsia="Calibri" w:hAnsi="Calibri"/>
          <w:b/>
          <w:bCs/>
          <w:color w:val="0B3A4B"/>
          <w:sz w:val="18"/>
          <w:szCs w:val="18"/>
        </w:rPr>
        <w:t xml:space="preserve">Closed-won to date (snapshot):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$186,000</w:t>
      </w:r>
    </w:p>
    <w:p>
      <w:pPr>
        <w:pStyle w:val="ListParagraph"/>
        <w:numPr>
          <w:ilvl w:val="0"/>
          <w:numId w:val="1"/>
        </w:numPr>
        <w:spacing w:after="24"/>
      </w:pPr>
      <w:r>
        <w:rPr>
          <w:rFonts w:ascii="Calibri" w:cs="Calibri" w:eastAsia="Calibri" w:hAnsi="Calibri"/>
          <w:b/>
          <w:bCs/>
          <w:color w:val="0B3A4B"/>
          <w:sz w:val="18"/>
          <w:szCs w:val="18"/>
        </w:rPr>
        <w:t xml:space="preserve">Open pipeline (5 active deals):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$471,000</w:t>
      </w:r>
    </w:p>
    <w:p>
      <w:pPr>
        <w:pStyle w:val="ListParagraph"/>
        <w:numPr>
          <w:ilvl w:val="0"/>
          <w:numId w:val="1"/>
        </w:numPr>
        <w:spacing w:after="24"/>
      </w:pPr>
      <w:r>
        <w:rPr>
          <w:rFonts w:ascii="Calibri" w:cs="Calibri" w:eastAsia="Calibri" w:hAnsi="Calibri"/>
          <w:b/>
          <w:bCs/>
          <w:color w:val="0B3A4B"/>
          <w:sz w:val="18"/>
          <w:szCs w:val="18"/>
        </w:rPr>
        <w:t xml:space="preserve">Weighted open pipeline: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$327,400</w:t>
      </w:r>
    </w:p>
    <w:p>
      <w:pPr>
        <w:pStyle w:val="ListParagraph"/>
        <w:numPr>
          <w:ilvl w:val="0"/>
          <w:numId w:val="1"/>
        </w:numPr>
        <w:spacing w:after="24"/>
      </w:pPr>
      <w:r>
        <w:rPr>
          <w:rFonts w:ascii="Calibri" w:cs="Calibri" w:eastAsia="Calibri" w:hAnsi="Calibri"/>
          <w:b/>
          <w:bCs/>
          <w:color w:val="0B3A4B"/>
          <w:sz w:val="18"/>
          <w:szCs w:val="18"/>
        </w:rPr>
        <w:t xml:space="preserve">Quota attainment: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41.3%</w:t>
      </w:r>
    </w:p>
    <w:p>
      <w:pPr>
        <w:pStyle w:val="ListParagraph"/>
        <w:numPr>
          <w:ilvl w:val="0"/>
          <w:numId w:val="1"/>
        </w:numPr>
        <w:spacing w:after="24"/>
      </w:pPr>
      <w:r>
        <w:rPr>
          <w:rFonts w:ascii="Calibri" w:cs="Calibri" w:eastAsia="Calibri" w:hAnsi="Calibri"/>
          <w:b/>
          <w:bCs/>
          <w:color w:val="0B3A4B"/>
          <w:sz w:val="18"/>
          <w:szCs w:val="18"/>
        </w:rPr>
        <w:t xml:space="preserve">Forecast (closed-won + weighted):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$513,400 (ahead of quota)</w:t>
      </w:r>
    </w:p>
    <w:p>
      <w:pPr>
        <w:pStyle w:val="ListParagraph"/>
        <w:numPr>
          <w:ilvl w:val="0"/>
          <w:numId w:val="1"/>
        </w:numPr>
        <w:spacing w:after="24"/>
      </w:pPr>
      <w:r>
        <w:rPr>
          <w:rFonts w:ascii="Calibri" w:cs="Calibri" w:eastAsia="Calibri" w:hAnsi="Calibri"/>
          <w:b/>
          <w:bCs/>
          <w:color w:val="0B3A4B"/>
          <w:sz w:val="18"/>
          <w:szCs w:val="18"/>
        </w:rPr>
        <w:t xml:space="preserve">Calendar: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68 TEST events · 10 weekdays · then deleted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0B3A4B"/>
          <w:sz w:val="23"/>
          <w:szCs w:val="23"/>
        </w:rPr>
        <w:t xml:space="preserve">Gmail drafts created (Activity 5)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Greenline (Derek Santos) — close/agreed terms  (saved in Gmail Drafts, .example recipients)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Apex (Maria Santos) — proposal + compliance follow-ups  (saved in Gmail Drafts, .example recipients)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BrightPath (Karen Wu) — unified student record next steps  (saved in Gmail Drafts, .example recipients)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Coastal (Ana Rivera) — security cleared, proposal to follow  (saved in Gmail Drafts, .example recipients)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Meridian (Tanya Chen) — Shopify sync proposal  (saved in Gmail Drafts, .example recipients)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0B3A4B"/>
          <w:sz w:val="23"/>
          <w:szCs w:val="23"/>
        </w:rPr>
        <w:t xml:space="preserve">Good to know</w:t>
      </w:r>
    </w:p>
    <w:p>
      <w:pPr>
        <w:spacing w:after="60" w:before="0"/>
      </w:pPr>
      <w:r>
        <w:rPr>
          <w:rFonts w:ascii="Calibri" w:cs="Calibri" w:eastAsia="Calibri" w:hAnsi="Calibri"/>
          <w:sz w:val="17"/>
          <w:szCs w:val="17"/>
        </w:rPr>
        <w:t xml:space="preserve">• The connector calendar is Google account nirpor1414@gmail.com, which is profile u/8 in this Chrome (9 accounts signed in).</w:t>
      </w:r>
    </w:p>
    <w:p>
      <w:pPr>
        <w:spacing w:after="60" w:before="0"/>
      </w:pPr>
      <w:r>
        <w:rPr>
          <w:rFonts w:ascii="Calibri" w:cs="Calibri" w:eastAsia="Calibri" w:hAnsi="Calibri"/>
          <w:sz w:val="17"/>
          <w:szCs w:val="17"/>
        </w:rPr>
        <w:t xml:space="preserve">• That calendar's display timezone is UTC, so 9am–5pm Manila events render in the 1am–9am band in the browser — the events are stored correctly in Asia/Manila.</w:t>
      </w:r>
    </w:p>
    <w:p>
      <w:pPr>
        <w:spacing w:after="60" w:before="0"/>
      </w:pPr>
      <w:r>
        <w:rPr>
          <w:rFonts w:ascii="Calibri" w:cs="Calibri" w:eastAsia="Calibri" w:hAnsi="Calibri"/>
          <w:sz w:val="17"/>
          <w:szCs w:val="17"/>
        </w:rPr>
        <w:t xml:space="preserve">• Canva's AI sometimes inserted placeholder/gibberish text; the flyer and poster were corrected before saving. Designs live in the connected Canva account (links in Activity4_Canva_Collateral.md).</w:t>
      </w:r>
    </w:p>
    <w:p>
      <w:pPr>
        <w:spacing w:after="60" w:before="0"/>
      </w:pPr>
      <w:r>
        <w:rPr>
          <w:rFonts w:ascii="Calibri" w:cs="Calibri" w:eastAsia="Calibri" w:hAnsi="Calibri"/>
          <w:sz w:val="17"/>
          <w:szCs w:val="17"/>
        </w:rPr>
        <w:t xml:space="preserve">• Apollo company/people search require a paid plan; no credits were spent. Ready-to-run filters are in the Apollo deliverable.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Georgia" w:cs="Georgia" w:eastAsia="Georgia" w:hAnsi="Georgia"/>
      <w:b/>
      <w:bCs/>
      <w:color w:val="0B3A4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Georgia" w:cs="Georgia" w:eastAsia="Georgia" w:hAnsi="Georgia"/>
      <w:b/>
      <w:bCs/>
      <w:color w:val="0B3A4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2026-06-14T08:37:47.960Z</dcterms:created>
  <dcterms:modified xsi:type="dcterms:W3CDTF">2026-06-14T08:37:47.961Z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