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
          <w:szCs w:val="24"/>
          <w:lang w:eastAsia="en-GB"/>
        </w:rPr>
        <w:id w:val="-2083971592"/>
        <w:docPartObj>
          <w:docPartGallery w:val="Cover Pages"/>
          <w:docPartUnique/>
        </w:docPartObj>
      </w:sdtPr>
      <w:sdtEndPr>
        <w:rPr>
          <w:sz w:val="24"/>
        </w:rPr>
      </w:sdtEndPr>
      <w:sdtContent>
        <w:p w:rsidR="00D27DF1" w:rsidRDefault="00D27DF1">
          <w:pPr>
            <w:pStyle w:val="NoSpacing"/>
            <w:rPr>
              <w:sz w:val="2"/>
            </w:rPr>
          </w:pPr>
        </w:p>
        <w:p w:rsidR="00D27DF1" w:rsidRDefault="00D27DF1"/>
        <w:p w:rsidR="00D27DF1" w:rsidRDefault="00100748">
          <w:pPr>
            <w:spacing w:line="240" w:lineRule="auto"/>
          </w:pPr>
          <w:r>
            <w:rPr>
              <w:noProof/>
              <w:lang w:eastAsia="en-US"/>
            </w:rPr>
            <mc:AlternateContent>
              <mc:Choice Requires="wps">
                <w:drawing>
                  <wp:anchor distT="0" distB="0" distL="114300" distR="114300" simplePos="0" relativeHeight="251661312" behindDoc="0" locked="0" layoutInCell="1" allowOverlap="1">
                    <wp:simplePos x="0" y="0"/>
                    <wp:positionH relativeFrom="page">
                      <wp:posOffset>888365</wp:posOffset>
                    </wp:positionH>
                    <wp:positionV relativeFrom="margin">
                      <wp:posOffset>3733377</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548DD4" w:themeColor="text2" w:themeTint="99"/>
                                    <w:sz w:val="28"/>
                                    <w:szCs w:val="2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7DF1" w:rsidRPr="00C10C0A" w:rsidRDefault="00D27DF1" w:rsidP="00C10C0A">
                                    <w:pPr>
                                      <w:pStyle w:val="NoSpacing"/>
                                      <w:jc w:val="center"/>
                                      <w:rPr>
                                        <w:rFonts w:ascii="Times New Roman" w:eastAsiaTheme="majorEastAsia" w:hAnsi="Times New Roman" w:cs="Times New Roman"/>
                                        <w:b/>
                                        <w:caps/>
                                        <w:color w:val="548DD4" w:themeColor="text2" w:themeTint="99"/>
                                        <w:sz w:val="28"/>
                                        <w:szCs w:val="28"/>
                                      </w:rPr>
                                    </w:pPr>
                                    <w:r w:rsidRPr="00C10C0A">
                                      <w:rPr>
                                        <w:rFonts w:ascii="Times New Roman" w:eastAsiaTheme="majorEastAsia" w:hAnsi="Times New Roman" w:cs="Times New Roman"/>
                                        <w:b/>
                                        <w:caps/>
                                        <w:color w:val="548DD4" w:themeColor="text2" w:themeTint="99"/>
                                        <w:sz w:val="28"/>
                                        <w:szCs w:val="28"/>
                                      </w:rPr>
                                      <w:t>Online consumers’ attribute non-attendance BEHAVIOR: effects of information provision</w:t>
                                    </w:r>
                                  </w:p>
                                </w:sdtContent>
                              </w:sdt>
                              <w:p w:rsidR="00D27DF1" w:rsidRPr="00C10C0A" w:rsidRDefault="00D27DF1" w:rsidP="00C10C0A">
                                <w:pPr>
                                  <w:pStyle w:val="NoSpacing"/>
                                  <w:spacing w:before="120"/>
                                  <w:jc w:val="center"/>
                                  <w:rPr>
                                    <w:rFonts w:ascii="Times New Roman" w:hAnsi="Times New Roman" w:cs="Times New Roman"/>
                                    <w:b/>
                                    <w:color w:val="4F81BD" w:themeColor="accent1"/>
                                    <w:sz w:val="28"/>
                                    <w:szCs w:val="28"/>
                                  </w:rPr>
                                </w:pPr>
                              </w:p>
                              <w:p w:rsidR="00D27DF1" w:rsidRPr="00C10C0A" w:rsidRDefault="00D27DF1" w:rsidP="00C10C0A">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95pt;margin-top:293.9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" filled="f" stroked="f" strokeweight=".5pt">
                    <v:textbox style="mso-fit-shape-to-text:t">
                      <w:txbxContent>
                        <w:sdt>
                          <w:sdtPr>
                            <w:rPr>
                              <w:rFonts w:ascii="Times New Roman" w:eastAsiaTheme="majorEastAsia" w:hAnsi="Times New Roman" w:cs="Times New Roman"/>
                              <w:b/>
                              <w:caps/>
                              <w:color w:val="548DD4" w:themeColor="text2" w:themeTint="99"/>
                              <w:sz w:val="28"/>
                              <w:szCs w:val="2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7DF1" w:rsidRPr="00C10C0A" w:rsidRDefault="00D27DF1" w:rsidP="00C10C0A">
                              <w:pPr>
                                <w:pStyle w:val="NoSpacing"/>
                                <w:jc w:val="center"/>
                                <w:rPr>
                                  <w:rFonts w:ascii="Times New Roman" w:eastAsiaTheme="majorEastAsia" w:hAnsi="Times New Roman" w:cs="Times New Roman"/>
                                  <w:b/>
                                  <w:caps/>
                                  <w:color w:val="548DD4" w:themeColor="text2" w:themeTint="99"/>
                                  <w:sz w:val="28"/>
                                  <w:szCs w:val="28"/>
                                </w:rPr>
                              </w:pPr>
                              <w:r w:rsidRPr="00C10C0A">
                                <w:rPr>
                                  <w:rFonts w:ascii="Times New Roman" w:eastAsiaTheme="majorEastAsia" w:hAnsi="Times New Roman" w:cs="Times New Roman"/>
                                  <w:b/>
                                  <w:caps/>
                                  <w:color w:val="548DD4" w:themeColor="text2" w:themeTint="99"/>
                                  <w:sz w:val="28"/>
                                  <w:szCs w:val="28"/>
                                </w:rPr>
                                <w:t>Online consumers’ attribute non-attendance BEHAVIOR: effects of information provision</w:t>
                              </w:r>
                            </w:p>
                          </w:sdtContent>
                        </w:sdt>
                        <w:p w:rsidR="00D27DF1" w:rsidRPr="00C10C0A" w:rsidRDefault="00D27DF1" w:rsidP="00C10C0A">
                          <w:pPr>
                            <w:pStyle w:val="NoSpacing"/>
                            <w:spacing w:before="120"/>
                            <w:jc w:val="center"/>
                            <w:rPr>
                              <w:rFonts w:ascii="Times New Roman" w:hAnsi="Times New Roman" w:cs="Times New Roman"/>
                              <w:b/>
                              <w:color w:val="4F81BD" w:themeColor="accent1"/>
                              <w:sz w:val="28"/>
                              <w:szCs w:val="28"/>
                            </w:rPr>
                          </w:pPr>
                        </w:p>
                        <w:p w:rsidR="00D27DF1" w:rsidRPr="00C10C0A" w:rsidRDefault="00D27DF1" w:rsidP="00C10C0A">
                          <w:pPr>
                            <w:jc w:val="center"/>
                            <w:rPr>
                              <w:b/>
                              <w:sz w:val="28"/>
                              <w:szCs w:val="28"/>
                            </w:rPr>
                          </w:pPr>
                        </w:p>
                      </w:txbxContent>
                    </v:textbox>
                    <w10:wrap anchorx="page" anchory="margin"/>
                  </v:shape>
                </w:pict>
              </mc:Fallback>
            </mc:AlternateContent>
          </w:r>
          <w:r w:rsidR="00D27DF1">
            <w:br w:type="page"/>
          </w:r>
        </w:p>
      </w:sdtContent>
    </w:sdt>
    <w:p w:rsidR="0094493F" w:rsidRDefault="0094493F" w:rsidP="00985B01"/>
    <w:p w:rsidR="00124056" w:rsidRPr="00C10C0A" w:rsidRDefault="00124056" w:rsidP="00985B01">
      <w:pPr>
        <w:rPr>
          <w:lang w:val="nl-NL"/>
        </w:rPr>
      </w:pPr>
      <w:r w:rsidRPr="00C10C0A">
        <w:rPr>
          <w:lang w:val="nl-NL"/>
        </w:rPr>
        <w:t xml:space="preserve">Leonard Maaya, </w:t>
      </w:r>
    </w:p>
    <w:p w:rsidR="00124056" w:rsidRPr="00C10C0A" w:rsidRDefault="00124056" w:rsidP="00985B01">
      <w:pPr>
        <w:rPr>
          <w:lang w:val="nl-NL"/>
        </w:rPr>
      </w:pPr>
      <w:r w:rsidRPr="00C10C0A">
        <w:rPr>
          <w:lang w:val="nl-NL"/>
        </w:rPr>
        <w:t>Naamsestraat 69 – box 3555,</w:t>
      </w:r>
    </w:p>
    <w:p w:rsidR="00124056" w:rsidRPr="00C10C0A" w:rsidRDefault="00124056" w:rsidP="00985B01">
      <w:pPr>
        <w:rPr>
          <w:lang w:val="nl-NL"/>
        </w:rPr>
      </w:pPr>
      <w:r w:rsidRPr="00C10C0A">
        <w:rPr>
          <w:lang w:val="nl-NL"/>
        </w:rPr>
        <w:t>3000 Leuven.</w:t>
      </w:r>
    </w:p>
    <w:p w:rsidR="00124056" w:rsidRPr="00C10C0A" w:rsidRDefault="00124056" w:rsidP="00985B01">
      <w:pPr>
        <w:rPr>
          <w:lang w:val="fr-FR"/>
        </w:rPr>
      </w:pPr>
      <w:r w:rsidRPr="00C10C0A">
        <w:rPr>
          <w:lang w:val="fr-FR"/>
        </w:rPr>
        <w:t xml:space="preserve">E-mail: </w:t>
      </w:r>
      <w:hyperlink r:id="rId9" w:history="1">
        <w:r w:rsidRPr="00C10C0A">
          <w:rPr>
            <w:rStyle w:val="Hyperlink"/>
            <w:lang w:val="fr-FR"/>
          </w:rPr>
          <w:t>leonard.maaya@kuleuven.be</w:t>
        </w:r>
      </w:hyperlink>
      <w:r w:rsidRPr="00C10C0A">
        <w:rPr>
          <w:lang w:val="fr-FR"/>
        </w:rPr>
        <w:t xml:space="preserve"> </w:t>
      </w:r>
    </w:p>
    <w:p w:rsidR="00472934" w:rsidRPr="00C10C0A" w:rsidRDefault="00472934" w:rsidP="00985B01">
      <w:pPr>
        <w:rPr>
          <w:lang w:val="fr-FR"/>
        </w:rPr>
      </w:pPr>
    </w:p>
    <w:p w:rsidR="00DB29B1" w:rsidRPr="00C10C0A" w:rsidRDefault="00DB29B1" w:rsidP="00985B01">
      <w:pPr>
        <w:rPr>
          <w:lang w:val="fr-FR"/>
        </w:rPr>
      </w:pPr>
    </w:p>
    <w:p w:rsidR="00472934" w:rsidRPr="00C10C0A" w:rsidRDefault="00472934" w:rsidP="00985B01">
      <w:pPr>
        <w:rPr>
          <w:lang w:val="fr-FR"/>
        </w:rPr>
      </w:pPr>
      <w:r w:rsidRPr="00C10C0A">
        <w:rPr>
          <w:lang w:val="fr-FR"/>
        </w:rPr>
        <w:t>Michel Meulders,</w:t>
      </w:r>
    </w:p>
    <w:p w:rsidR="00472934" w:rsidRPr="00C10C0A" w:rsidRDefault="00472934" w:rsidP="00985B01">
      <w:pPr>
        <w:rPr>
          <w:lang w:val="fr-FR"/>
        </w:rPr>
      </w:pPr>
      <w:r w:rsidRPr="00C10C0A">
        <w:rPr>
          <w:lang w:val="fr-FR"/>
        </w:rPr>
        <w:t>Tiensestraat 102 – box 3713,</w:t>
      </w:r>
    </w:p>
    <w:p w:rsidR="00472934" w:rsidRPr="00C10C0A" w:rsidRDefault="00472934" w:rsidP="00985B01">
      <w:pPr>
        <w:rPr>
          <w:lang w:val="fr-FR"/>
        </w:rPr>
      </w:pPr>
      <w:r w:rsidRPr="00C10C0A">
        <w:rPr>
          <w:lang w:val="fr-FR"/>
        </w:rPr>
        <w:t>3000 Leuven.</w:t>
      </w:r>
    </w:p>
    <w:p w:rsidR="00472934" w:rsidRDefault="00472934" w:rsidP="00985B01">
      <w:pPr>
        <w:rPr>
          <w:lang w:val="fr-FR"/>
        </w:rPr>
      </w:pPr>
      <w:r w:rsidRPr="00C10C0A">
        <w:rPr>
          <w:lang w:val="fr-FR"/>
        </w:rPr>
        <w:t xml:space="preserve">E-mail: </w:t>
      </w:r>
      <w:hyperlink r:id="rId10" w:history="1">
        <w:r w:rsidRPr="00C10C0A">
          <w:rPr>
            <w:rStyle w:val="Hyperlink"/>
            <w:lang w:val="fr-FR"/>
          </w:rPr>
          <w:t>michel.meulders@kuleuven.be</w:t>
        </w:r>
      </w:hyperlink>
      <w:r w:rsidRPr="00C10C0A">
        <w:rPr>
          <w:lang w:val="fr-FR"/>
        </w:rPr>
        <w:t xml:space="preserve"> </w:t>
      </w:r>
    </w:p>
    <w:p w:rsidR="005A1F19" w:rsidRDefault="005A1F19" w:rsidP="00985B01">
      <w:pPr>
        <w:rPr>
          <w:lang w:val="fr-FR"/>
        </w:rPr>
      </w:pPr>
    </w:p>
    <w:p w:rsidR="00AB1F11" w:rsidRDefault="00AB1F11" w:rsidP="00985B01">
      <w:pPr>
        <w:rPr>
          <w:lang w:val="fr-FR"/>
        </w:rPr>
      </w:pPr>
    </w:p>
    <w:p w:rsidR="005A1F19" w:rsidRPr="00C10C0A" w:rsidRDefault="005A1F19" w:rsidP="00985B01">
      <w:pPr>
        <w:rPr>
          <w:lang w:val="nl-NL"/>
        </w:rPr>
      </w:pPr>
      <w:r w:rsidRPr="00C10C0A">
        <w:rPr>
          <w:lang w:val="nl-NL"/>
        </w:rPr>
        <w:t>Martina Vandebroek,</w:t>
      </w:r>
    </w:p>
    <w:p w:rsidR="005A1F19" w:rsidRPr="00C10C0A" w:rsidRDefault="005A1F19" w:rsidP="00985B01">
      <w:pPr>
        <w:rPr>
          <w:lang w:val="nl-NL"/>
        </w:rPr>
      </w:pPr>
      <w:r w:rsidRPr="00C10C0A">
        <w:rPr>
          <w:lang w:val="nl-NL"/>
        </w:rPr>
        <w:t>Naamsestraat 69 – box 3555,</w:t>
      </w:r>
    </w:p>
    <w:p w:rsidR="005A1F19" w:rsidRPr="00C10C0A" w:rsidRDefault="005A1F19" w:rsidP="00985B01">
      <w:pPr>
        <w:rPr>
          <w:lang w:val="nl-NL"/>
        </w:rPr>
      </w:pPr>
      <w:r w:rsidRPr="00C10C0A">
        <w:rPr>
          <w:lang w:val="nl-NL"/>
        </w:rPr>
        <w:t>3000 Leuven.</w:t>
      </w:r>
    </w:p>
    <w:p w:rsidR="005A1F19" w:rsidRPr="00C10C0A" w:rsidRDefault="005A1F19" w:rsidP="00985B01">
      <w:pPr>
        <w:rPr>
          <w:lang w:val="fr-FR"/>
        </w:rPr>
      </w:pPr>
      <w:r w:rsidRPr="00C10C0A">
        <w:rPr>
          <w:lang w:val="fr-FR"/>
        </w:rPr>
        <w:t xml:space="preserve">E-mail: </w:t>
      </w:r>
      <w:hyperlink r:id="rId11" w:history="1">
        <w:r w:rsidRPr="00C10C0A">
          <w:rPr>
            <w:rStyle w:val="Hyperlink"/>
            <w:lang w:val="fr-FR"/>
          </w:rPr>
          <w:t>martina.vandebroek@</w:t>
        </w:r>
        <w:r w:rsidRPr="004C1F95">
          <w:rPr>
            <w:rStyle w:val="Hyperlink"/>
            <w:lang w:val="fr-FR"/>
          </w:rPr>
          <w:t>kuleuven.be</w:t>
        </w:r>
      </w:hyperlink>
      <w:r>
        <w:rPr>
          <w:lang w:val="fr-FR"/>
        </w:rPr>
        <w:t xml:space="preserve"> </w:t>
      </w:r>
    </w:p>
    <w:p w:rsidR="00124056" w:rsidRPr="00C10C0A" w:rsidRDefault="00124056">
      <w:pPr>
        <w:spacing w:line="240" w:lineRule="auto"/>
        <w:rPr>
          <w:lang w:val="fr-FR"/>
        </w:rPr>
      </w:pPr>
      <w:r w:rsidRPr="00C10C0A">
        <w:rPr>
          <w:lang w:val="fr-FR"/>
        </w:rPr>
        <w:br w:type="page"/>
      </w:r>
    </w:p>
    <w:p w:rsidR="008E31A7" w:rsidRPr="00985B01" w:rsidRDefault="00940BF8" w:rsidP="00985B01">
      <w:r>
        <w:lastRenderedPageBreak/>
        <w:t>Author bios</w:t>
      </w:r>
    </w:p>
    <w:p w:rsidR="00AB4F9B" w:rsidRDefault="00AB4F9B" w:rsidP="00985B01">
      <w:pPr>
        <w:pStyle w:val="Authornames"/>
      </w:pPr>
    </w:p>
    <w:p w:rsidR="00955BEE" w:rsidRPr="00CF47F4" w:rsidRDefault="00955BEE" w:rsidP="00CF47F4">
      <w:pPr>
        <w:rPr>
          <w:sz w:val="22"/>
          <w:szCs w:val="22"/>
        </w:rPr>
      </w:pPr>
      <w:r w:rsidRPr="00CF47F4">
        <w:rPr>
          <w:sz w:val="22"/>
          <w:szCs w:val="22"/>
        </w:rPr>
        <w:t>Leonard Maaya (</w:t>
      </w:r>
      <w:hyperlink r:id="rId12" w:history="1">
        <w:r w:rsidRPr="00012EBD">
          <w:rPr>
            <w:rStyle w:val="Hyperlink"/>
            <w:sz w:val="22"/>
            <w:szCs w:val="22"/>
            <w:u w:val="none"/>
          </w:rPr>
          <w:t>leonard.maaya@kuleuven.be</w:t>
        </w:r>
      </w:hyperlink>
      <w:r w:rsidRPr="00CF47F4">
        <w:rPr>
          <w:sz w:val="22"/>
          <w:szCs w:val="22"/>
        </w:rPr>
        <w:t xml:space="preserve">, Corresponding author) is a doctoral candidate at the Faculty of Economics and </w:t>
      </w:r>
      <w:r w:rsidR="00CF47F4" w:rsidRPr="00CF47F4">
        <w:rPr>
          <w:sz w:val="22"/>
          <w:szCs w:val="22"/>
        </w:rPr>
        <w:t>Business</w:t>
      </w:r>
      <w:r w:rsidRPr="00CF47F4">
        <w:rPr>
          <w:sz w:val="22"/>
          <w:szCs w:val="22"/>
        </w:rPr>
        <w:t xml:space="preserve"> of KU Leuven, Belgium. He obtained an MSc in Biostatistics from the </w:t>
      </w:r>
      <w:r w:rsidR="00CF47F4" w:rsidRPr="00CF47F4">
        <w:rPr>
          <w:sz w:val="22"/>
          <w:szCs w:val="22"/>
        </w:rPr>
        <w:t>University</w:t>
      </w:r>
      <w:r w:rsidRPr="00CF47F4">
        <w:rPr>
          <w:sz w:val="22"/>
          <w:szCs w:val="22"/>
        </w:rPr>
        <w:t xml:space="preserve"> of Hasselt, Belgium. His research interests are in health and health economics, and choice modeling. He has published in the Clinical Infectious Diseases and the Sustainability journals.</w:t>
      </w:r>
    </w:p>
    <w:p w:rsidR="00955BEE" w:rsidRPr="00012EBD" w:rsidRDefault="00955BEE" w:rsidP="00955BEE">
      <w:pPr>
        <w:rPr>
          <w:color w:val="1F497D"/>
          <w:sz w:val="22"/>
          <w:szCs w:val="22"/>
        </w:rPr>
      </w:pPr>
    </w:p>
    <w:p w:rsidR="00955BEE" w:rsidRPr="00664447" w:rsidRDefault="00955BEE" w:rsidP="00955BEE">
      <w:pPr>
        <w:rPr>
          <w:sz w:val="22"/>
          <w:szCs w:val="22"/>
        </w:rPr>
      </w:pPr>
      <w:r w:rsidRPr="00664447">
        <w:rPr>
          <w:sz w:val="22"/>
          <w:szCs w:val="22"/>
        </w:rPr>
        <w:t>Michel Meulders</w:t>
      </w:r>
      <w:r w:rsidR="00E70680">
        <w:rPr>
          <w:sz w:val="22"/>
          <w:szCs w:val="22"/>
        </w:rPr>
        <w:t xml:space="preserve"> (</w:t>
      </w:r>
      <w:hyperlink r:id="rId13" w:history="1">
        <w:r w:rsidR="00E70680" w:rsidRPr="00E70680">
          <w:rPr>
            <w:rStyle w:val="Hyperlink"/>
            <w:sz w:val="22"/>
            <w:szCs w:val="22"/>
            <w:u w:val="none"/>
          </w:rPr>
          <w:t>michel.meulders@kuleuven.be</w:t>
        </w:r>
      </w:hyperlink>
      <w:r w:rsidR="00E70680" w:rsidRPr="00E70680">
        <w:rPr>
          <w:rStyle w:val="Hyperlink"/>
          <w:sz w:val="22"/>
          <w:szCs w:val="22"/>
        </w:rPr>
        <w:t>)</w:t>
      </w:r>
      <w:r w:rsidRPr="00664447">
        <w:rPr>
          <w:sz w:val="22"/>
          <w:szCs w:val="22"/>
        </w:rPr>
        <w:t xml:space="preserve"> is an Associate Professor in the Faculty of Economics and Business of KU Leuven, Belgium. He obtained a Ph. D.  in Psychology at KU Leuven. His research is mainly methodological and focuses on modeling choice behavior and three-way data. He has published</w:t>
      </w:r>
      <w:r w:rsidR="005225E6" w:rsidRPr="00664447">
        <w:rPr>
          <w:sz w:val="22"/>
          <w:szCs w:val="22"/>
        </w:rPr>
        <w:t> in</w:t>
      </w:r>
      <w:r w:rsidRPr="00664447">
        <w:rPr>
          <w:sz w:val="22"/>
          <w:szCs w:val="22"/>
        </w:rPr>
        <w:t xml:space="preserve"> journals such as Journal of Statistical Software, Psychometrika, Journal of Educational and </w:t>
      </w:r>
      <w:r w:rsidR="005225E6" w:rsidRPr="00664447">
        <w:rPr>
          <w:sz w:val="22"/>
          <w:szCs w:val="22"/>
        </w:rPr>
        <w:t>Behavioural</w:t>
      </w:r>
      <w:r w:rsidRPr="00664447">
        <w:rPr>
          <w:sz w:val="22"/>
          <w:szCs w:val="22"/>
        </w:rPr>
        <w:t xml:space="preserve"> Statistics</w:t>
      </w:r>
      <w:r w:rsidR="005225E6" w:rsidRPr="00664447">
        <w:rPr>
          <w:sz w:val="22"/>
          <w:szCs w:val="22"/>
        </w:rPr>
        <w:t>,</w:t>
      </w:r>
      <w:r w:rsidR="005225E6" w:rsidRPr="00664447">
        <w:rPr>
          <w:rFonts w:ascii="Arial" w:hAnsi="Arial" w:cs="Arial"/>
          <w:i/>
          <w:iCs/>
          <w:sz w:val="22"/>
          <w:szCs w:val="22"/>
        </w:rPr>
        <w:t xml:space="preserve"> </w:t>
      </w:r>
      <w:r w:rsidR="005225E6" w:rsidRPr="00664447">
        <w:rPr>
          <w:sz w:val="22"/>
          <w:szCs w:val="22"/>
        </w:rPr>
        <w:t>British</w:t>
      </w:r>
      <w:r w:rsidRPr="00664447">
        <w:rPr>
          <w:sz w:val="22"/>
          <w:szCs w:val="22"/>
        </w:rPr>
        <w:t xml:space="preserve"> Journal of Mathematical and Statistical Psychology.</w:t>
      </w:r>
    </w:p>
    <w:p w:rsidR="00C82F68" w:rsidRDefault="00C82F68" w:rsidP="00955BEE">
      <w:pPr>
        <w:rPr>
          <w:color w:val="1F497D"/>
          <w:sz w:val="22"/>
          <w:szCs w:val="22"/>
        </w:rPr>
      </w:pPr>
    </w:p>
    <w:p w:rsidR="00955BEE" w:rsidRPr="00291039" w:rsidRDefault="00955BEE" w:rsidP="00955BEE">
      <w:pPr>
        <w:rPr>
          <w:color w:val="1F497D"/>
          <w:sz w:val="22"/>
          <w:szCs w:val="22"/>
        </w:rPr>
      </w:pPr>
      <w:r w:rsidRPr="00CC0C39">
        <w:rPr>
          <w:sz w:val="22"/>
          <w:szCs w:val="22"/>
        </w:rPr>
        <w:t>Martina Vandebroek</w:t>
      </w:r>
      <w:r w:rsidR="00CC0C39" w:rsidRPr="00CC0C39">
        <w:rPr>
          <w:sz w:val="22"/>
          <w:szCs w:val="22"/>
        </w:rPr>
        <w:t xml:space="preserve"> (</w:t>
      </w:r>
      <w:hyperlink r:id="rId14" w:history="1">
        <w:r w:rsidR="00CC0C39" w:rsidRPr="00CC0C39">
          <w:rPr>
            <w:rStyle w:val="Hyperlink"/>
            <w:sz w:val="22"/>
            <w:szCs w:val="22"/>
            <w:u w:val="none"/>
          </w:rPr>
          <w:t>martina.vandebroek@kuleuven.be</w:t>
        </w:r>
      </w:hyperlink>
      <w:r w:rsidR="00CC0C39">
        <w:rPr>
          <w:color w:val="1F497D"/>
          <w:sz w:val="22"/>
          <w:szCs w:val="22"/>
        </w:rPr>
        <w:t>)</w:t>
      </w:r>
      <w:r w:rsidRPr="00CC0C39">
        <w:rPr>
          <w:sz w:val="22"/>
          <w:szCs w:val="22"/>
        </w:rPr>
        <w:t xml:space="preserve"> </w:t>
      </w:r>
      <w:r w:rsidRPr="004F458F">
        <w:rPr>
          <w:sz w:val="22"/>
          <w:szCs w:val="22"/>
        </w:rPr>
        <w:t>is a Professor in the faculty of Economics and Business of KU Leuven, Belgium. She obtained a Ph. D. in Actuarial Sciences at KU Leuven. She is interested in the Design of Experiments, Discrete choice experiments and Multivariate statistics. She has published in journals such as Transportation Research B, Journal of choice modelling</w:t>
      </w:r>
      <w:r w:rsidR="005E16B4" w:rsidRPr="004F458F">
        <w:rPr>
          <w:sz w:val="22"/>
          <w:szCs w:val="22"/>
        </w:rPr>
        <w:t>, Marketing</w:t>
      </w:r>
      <w:r w:rsidRPr="004F458F">
        <w:rPr>
          <w:sz w:val="22"/>
          <w:szCs w:val="22"/>
        </w:rPr>
        <w:t xml:space="preserve"> Science, International Journal of research in marketing among others.</w:t>
      </w:r>
    </w:p>
    <w:p w:rsidR="00955BEE" w:rsidRDefault="00955BEE" w:rsidP="005E2EEA">
      <w:pPr>
        <w:pStyle w:val="Notesoncontributors"/>
      </w:pPr>
    </w:p>
    <w:p w:rsidR="00C246C5" w:rsidRPr="00C34EF5" w:rsidRDefault="00C14585" w:rsidP="009B24B5">
      <w:pPr>
        <w:pStyle w:val="Articletitle"/>
      </w:pPr>
      <w:r>
        <w:br w:type="page"/>
      </w:r>
      <w:r w:rsidR="00A814DC" w:rsidRPr="00C34EF5">
        <w:lastRenderedPageBreak/>
        <w:t xml:space="preserve">Online </w:t>
      </w:r>
      <w:r w:rsidR="0096101C" w:rsidRPr="00C34EF5">
        <w:t>C</w:t>
      </w:r>
      <w:r w:rsidR="00912915" w:rsidRPr="00C34EF5">
        <w:t>onsumer</w:t>
      </w:r>
      <w:r w:rsidR="0001446B" w:rsidRPr="00C34EF5">
        <w:t>s’ Attribute Non-Attendance</w:t>
      </w:r>
      <w:r w:rsidR="006632CF" w:rsidRPr="00C34EF5">
        <w:t xml:space="preserve"> </w:t>
      </w:r>
      <w:r w:rsidR="0001446B" w:rsidRPr="00C34EF5">
        <w:t>Behavior</w:t>
      </w:r>
      <w:r w:rsidR="00912915" w:rsidRPr="00C34EF5">
        <w:t>: Effect</w:t>
      </w:r>
      <w:r w:rsidR="00FB0D58" w:rsidRPr="00C34EF5">
        <w:t>s</w:t>
      </w:r>
      <w:r w:rsidR="00912915" w:rsidRPr="00C34EF5">
        <w:t xml:space="preserve"> of </w:t>
      </w:r>
      <w:r w:rsidR="00FB0D58" w:rsidRPr="00C34EF5">
        <w:t>I</w:t>
      </w:r>
      <w:r w:rsidR="00912915" w:rsidRPr="00C34EF5">
        <w:t xml:space="preserve">nformation </w:t>
      </w:r>
      <w:r w:rsidR="00FB0D58" w:rsidRPr="00C34EF5">
        <w:t>Provision</w:t>
      </w:r>
    </w:p>
    <w:p w:rsidR="00D667B7" w:rsidRPr="00C34EF5" w:rsidRDefault="00D667B7" w:rsidP="00D667B7">
      <w:pPr>
        <w:pStyle w:val="Abstract"/>
      </w:pPr>
      <w:r w:rsidRPr="00C34EF5">
        <w:t>In online shopping, e-consumers often choose one among many websites on which to place their orders. The choice depend</w:t>
      </w:r>
      <w:r w:rsidR="00676A53" w:rsidRPr="00C34EF5">
        <w:t>s</w:t>
      </w:r>
      <w:r w:rsidRPr="00C34EF5">
        <w:t xml:space="preserve"> on </w:t>
      </w:r>
      <w:r w:rsidR="00E10CBB" w:rsidRPr="00C34EF5">
        <w:t xml:space="preserve">key </w:t>
      </w:r>
      <w:r w:rsidRPr="00C34EF5">
        <w:t>attributes</w:t>
      </w:r>
      <w:r w:rsidR="005E0F65" w:rsidRPr="00C34EF5">
        <w:t xml:space="preserve"> such as trust</w:t>
      </w:r>
      <w:r w:rsidR="00FE4AFF" w:rsidRPr="00C34EF5">
        <w:t xml:space="preserve"> </w:t>
      </w:r>
      <w:r w:rsidR="005E0F65" w:rsidRPr="00C34EF5">
        <w:t>labels</w:t>
      </w:r>
      <w:r w:rsidR="0095411F" w:rsidRPr="00C34EF5">
        <w:t xml:space="preserve">. </w:t>
      </w:r>
      <w:r w:rsidR="00243858" w:rsidRPr="00C34EF5">
        <w:t xml:space="preserve">Presence of </w:t>
      </w:r>
      <w:r w:rsidR="007C4E27" w:rsidRPr="00C34EF5">
        <w:t xml:space="preserve">such a </w:t>
      </w:r>
      <w:r w:rsidR="00243858" w:rsidRPr="00C34EF5">
        <w:t>label</w:t>
      </w:r>
      <w:r w:rsidR="0095411F" w:rsidRPr="00C34EF5">
        <w:t xml:space="preserve"> </w:t>
      </w:r>
      <w:r w:rsidR="008F06F1" w:rsidRPr="00C34EF5">
        <w:t>shows</w:t>
      </w:r>
      <w:r w:rsidR="00243858" w:rsidRPr="00C34EF5">
        <w:t xml:space="preserve"> that the website has been </w:t>
      </w:r>
      <w:r w:rsidR="00896C11" w:rsidRPr="00C34EF5">
        <w:t xml:space="preserve">independently </w:t>
      </w:r>
      <w:r w:rsidR="00243858" w:rsidRPr="00C34EF5">
        <w:t>certified fo</w:t>
      </w:r>
      <w:r w:rsidR="0095411F" w:rsidRPr="00C34EF5">
        <w:t>r online security and privacy</w:t>
      </w:r>
      <w:r w:rsidR="009313F3" w:rsidRPr="00C34EF5">
        <w:t xml:space="preserve">. </w:t>
      </w:r>
      <w:r w:rsidR="00002E36" w:rsidRPr="00C34EF5">
        <w:t xml:space="preserve">However, </w:t>
      </w:r>
      <w:r w:rsidR="00F55C92" w:rsidRPr="00C34EF5">
        <w:t>consumers</w:t>
      </w:r>
      <w:r w:rsidR="00290666" w:rsidRPr="00C34EF5">
        <w:t xml:space="preserve"> may not </w:t>
      </w:r>
      <w:r w:rsidR="009550C1" w:rsidRPr="00C34EF5">
        <w:t xml:space="preserve">search </w:t>
      </w:r>
      <w:r w:rsidR="0028178C" w:rsidRPr="00C34EF5">
        <w:t>for</w:t>
      </w:r>
      <w:r w:rsidR="003E2DE6" w:rsidRPr="00C34EF5">
        <w:t xml:space="preserve"> </w:t>
      </w:r>
      <w:r w:rsidR="00290666" w:rsidRPr="00C34EF5">
        <w:t>websites with</w:t>
      </w:r>
      <w:r w:rsidR="00002E36" w:rsidRPr="00C34EF5">
        <w:t xml:space="preserve"> </w:t>
      </w:r>
      <w:r w:rsidR="003B7194" w:rsidRPr="00C34EF5">
        <w:t>s</w:t>
      </w:r>
      <w:r w:rsidR="0051784F" w:rsidRPr="00C34EF5">
        <w:t xml:space="preserve">ecurity </w:t>
      </w:r>
      <w:r w:rsidR="00A85EF6" w:rsidRPr="00C34EF5">
        <w:t xml:space="preserve">and privacy </w:t>
      </w:r>
      <w:r w:rsidR="0051784F" w:rsidRPr="00C34EF5">
        <w:t xml:space="preserve">seals </w:t>
      </w:r>
      <w:r w:rsidR="00290666" w:rsidRPr="00C34EF5">
        <w:t>if they do not know the importance of trust certificates</w:t>
      </w:r>
      <w:r w:rsidR="00002E36" w:rsidRPr="00C34EF5">
        <w:t xml:space="preserve">. </w:t>
      </w:r>
      <w:r w:rsidRPr="00C34EF5">
        <w:t xml:space="preserve">This behavior of ignoring </w:t>
      </w:r>
      <w:r w:rsidR="00186794" w:rsidRPr="00C34EF5">
        <w:t>attributes</w:t>
      </w:r>
      <w:r w:rsidR="00DC3779" w:rsidRPr="00C34EF5">
        <w:t xml:space="preserve"> </w:t>
      </w:r>
      <w:r w:rsidRPr="00C34EF5">
        <w:t>is</w:t>
      </w:r>
      <w:r w:rsidR="005B5B6F" w:rsidRPr="00C34EF5">
        <w:t xml:space="preserve"> called</w:t>
      </w:r>
      <w:r w:rsidRPr="00C34EF5">
        <w:t xml:space="preserve"> attribute non-attendance</w:t>
      </w:r>
      <w:r w:rsidR="00DB0A02" w:rsidRPr="00C34EF5">
        <w:t xml:space="preserve"> (ANA</w:t>
      </w:r>
      <w:r w:rsidR="0056182A" w:rsidRPr="00C34EF5">
        <w:t>). Consumers’</w:t>
      </w:r>
      <w:r w:rsidR="00F04BD9" w:rsidRPr="00C34EF5">
        <w:t xml:space="preserve"> attention to </w:t>
      </w:r>
      <w:r w:rsidR="0056182A" w:rsidRPr="00C34EF5">
        <w:t xml:space="preserve">attributes </w:t>
      </w:r>
      <w:r w:rsidR="00F04BD9" w:rsidRPr="00C34EF5">
        <w:t>can be</w:t>
      </w:r>
      <w:r w:rsidR="0056182A" w:rsidRPr="00C34EF5">
        <w:t xml:space="preserve"> </w:t>
      </w:r>
      <w:r w:rsidR="006E73C8" w:rsidRPr="00C34EF5">
        <w:t>increased</w:t>
      </w:r>
      <w:r w:rsidR="0056182A" w:rsidRPr="00C34EF5">
        <w:t xml:space="preserve"> th</w:t>
      </w:r>
      <w:r w:rsidR="007C23E5" w:rsidRPr="00C34EF5">
        <w:t>r</w:t>
      </w:r>
      <w:r w:rsidR="0056182A" w:rsidRPr="00C34EF5">
        <w:t xml:space="preserve">ough provision of information. </w:t>
      </w:r>
      <w:r w:rsidR="00482B69" w:rsidRPr="00C34EF5">
        <w:t>We</w:t>
      </w:r>
      <w:r w:rsidRPr="00C34EF5">
        <w:t xml:space="preserve"> investigate</w:t>
      </w:r>
      <w:r w:rsidR="00482B69" w:rsidRPr="00C34EF5">
        <w:t xml:space="preserve"> the</w:t>
      </w:r>
      <w:r w:rsidR="001B7915" w:rsidRPr="00C34EF5">
        <w:t xml:space="preserve"> </w:t>
      </w:r>
      <w:r w:rsidR="004759D7" w:rsidRPr="00C34EF5">
        <w:t>ANA</w:t>
      </w:r>
      <w:r w:rsidR="00C070E8" w:rsidRPr="00C34EF5">
        <w:t xml:space="preserve"> </w:t>
      </w:r>
      <w:r w:rsidRPr="00C34EF5">
        <w:t>switching</w:t>
      </w:r>
      <w:r w:rsidR="001B7915" w:rsidRPr="00C34EF5">
        <w:t xml:space="preserve"> </w:t>
      </w:r>
      <w:r w:rsidRPr="00C34EF5">
        <w:t xml:space="preserve">behavior when information on attributes is provided. </w:t>
      </w:r>
      <w:r w:rsidR="009A7D70" w:rsidRPr="00C34EF5">
        <w:t>S</w:t>
      </w:r>
      <w:r w:rsidRPr="00C34EF5">
        <w:t>tudies</w:t>
      </w:r>
      <w:r w:rsidR="009A7D70" w:rsidRPr="00C34EF5">
        <w:t xml:space="preserve"> have</w:t>
      </w:r>
      <w:r w:rsidRPr="00C34EF5">
        <w:t xml:space="preserve"> </w:t>
      </w:r>
      <w:r w:rsidR="002960C4" w:rsidRPr="00C34EF5">
        <w:t>modelled</w:t>
      </w:r>
      <w:r w:rsidRPr="00C34EF5">
        <w:t xml:space="preserve"> the impact of providing attribute information through changes in preference parameters. </w:t>
      </w:r>
      <w:r w:rsidR="004202C8" w:rsidRPr="00C34EF5">
        <w:t>We</w:t>
      </w:r>
      <w:r w:rsidR="002960C4" w:rsidRPr="00C34EF5">
        <w:t xml:space="preserve"> </w:t>
      </w:r>
      <w:r w:rsidR="001E2A2C" w:rsidRPr="00C34EF5">
        <w:t xml:space="preserve">show </w:t>
      </w:r>
      <w:r w:rsidR="002960C4" w:rsidRPr="00C34EF5">
        <w:t xml:space="preserve">that an alternative approach is to model </w:t>
      </w:r>
      <w:r w:rsidRPr="00C34EF5">
        <w:t xml:space="preserve">the impact via changes in attendance probabilities. </w:t>
      </w:r>
      <w:r w:rsidR="008F390E" w:rsidRPr="00C34EF5">
        <w:t>W</w:t>
      </w:r>
      <w:r w:rsidRPr="00C34EF5">
        <w:t xml:space="preserve">e propose that an attribute's attendance probability </w:t>
      </w:r>
      <w:r w:rsidR="007168B0" w:rsidRPr="00C34EF5">
        <w:t>post-information</w:t>
      </w:r>
      <w:r w:rsidRPr="00C34EF5">
        <w:t xml:space="preserve"> depends on its attendance pattern pre-information. Appl</w:t>
      </w:r>
      <w:r w:rsidR="00D969C2" w:rsidRPr="00C34EF5">
        <w:t>ied to</w:t>
      </w:r>
      <w:r w:rsidR="00C71A48" w:rsidRPr="00C34EF5">
        <w:t xml:space="preserve"> </w:t>
      </w:r>
      <w:r w:rsidRPr="00C34EF5">
        <w:t xml:space="preserve">webshop choice data, we find that the </w:t>
      </w:r>
      <w:r w:rsidR="00303247" w:rsidRPr="00C34EF5">
        <w:t xml:space="preserve">proposed </w:t>
      </w:r>
      <w:r w:rsidRPr="00C34EF5">
        <w:t xml:space="preserve">model gives a better fit compared to standard approaches. </w:t>
      </w:r>
      <w:r w:rsidR="008943D9" w:rsidRPr="00C34EF5">
        <w:t>P</w:t>
      </w:r>
      <w:r w:rsidR="00DD67E0" w:rsidRPr="00C34EF5">
        <w:t xml:space="preserve">roviding information on attributes led to </w:t>
      </w:r>
      <w:r w:rsidR="008A7D04" w:rsidRPr="00C34EF5">
        <w:t>increases</w:t>
      </w:r>
      <w:r w:rsidR="00DD67E0" w:rsidRPr="00C34EF5">
        <w:t xml:space="preserve"> in consumers' attention to the concerned</w:t>
      </w:r>
      <w:r w:rsidR="000B77AE" w:rsidRPr="00C34EF5">
        <w:t xml:space="preserve"> attributes</w:t>
      </w:r>
      <w:r w:rsidR="00DD67E0" w:rsidRPr="00C34EF5">
        <w:t xml:space="preserve">. </w:t>
      </w:r>
      <w:r w:rsidRPr="00C34EF5">
        <w:t xml:space="preserve">Additionally, </w:t>
      </w:r>
      <w:r w:rsidR="00993075" w:rsidRPr="00C34EF5">
        <w:t>we found</w:t>
      </w:r>
      <w:r w:rsidRPr="00C34EF5">
        <w:t xml:space="preserve"> that consumer characteristics affect the shifts in attribute attendance behavior. </w:t>
      </w:r>
      <w:r w:rsidR="00355617" w:rsidRPr="00C34EF5">
        <w:t>We</w:t>
      </w:r>
      <w:r w:rsidR="00613769" w:rsidRPr="00C34EF5">
        <w:t xml:space="preserve"> show that when assessing effects of providing i</w:t>
      </w:r>
      <w:r w:rsidR="00ED69D9" w:rsidRPr="00C34EF5">
        <w:t>nformation</w:t>
      </w:r>
      <w:r w:rsidR="00613769" w:rsidRPr="00C34EF5">
        <w:t xml:space="preserve">, considering the effect on attributes' attention is important. </w:t>
      </w:r>
      <w:r w:rsidR="00202D63" w:rsidRPr="00C34EF5">
        <w:t>W</w:t>
      </w:r>
      <w:r w:rsidR="00613769" w:rsidRPr="00C34EF5">
        <w:t xml:space="preserve">e provide evidence that availing information </w:t>
      </w:r>
      <w:r w:rsidR="00A50EC3" w:rsidRPr="00C34EF5">
        <w:t xml:space="preserve">on key attributes </w:t>
      </w:r>
      <w:r w:rsidR="009D6115" w:rsidRPr="00C34EF5">
        <w:t>can</w:t>
      </w:r>
      <w:r w:rsidR="00F70F75" w:rsidRPr="00C34EF5">
        <w:t xml:space="preserve"> </w:t>
      </w:r>
      <w:r w:rsidR="0096633F" w:rsidRPr="00C34EF5">
        <w:t>give</w:t>
      </w:r>
      <w:r w:rsidR="00B617B5" w:rsidRPr="00C34EF5">
        <w:t xml:space="preserve"> </w:t>
      </w:r>
      <w:r w:rsidR="00BB6312" w:rsidRPr="00C34EF5">
        <w:t>brand</w:t>
      </w:r>
      <w:r w:rsidR="00C7601B" w:rsidRPr="00C34EF5">
        <w:t>s</w:t>
      </w:r>
      <w:r w:rsidR="0096633F" w:rsidRPr="00C34EF5">
        <w:t xml:space="preserve"> a competitive advantage.</w:t>
      </w:r>
      <w:r w:rsidR="00A50EC3" w:rsidRPr="00C34EF5">
        <w:t xml:space="preserve"> </w:t>
      </w:r>
      <w:r w:rsidR="00613769" w:rsidRPr="00C34EF5">
        <w:t xml:space="preserve"> </w:t>
      </w:r>
    </w:p>
    <w:p w:rsidR="0020415E" w:rsidRPr="00B31BEB" w:rsidRDefault="00997B0F" w:rsidP="00F30DFF">
      <w:pPr>
        <w:pStyle w:val="Keywords"/>
      </w:pPr>
      <w:r w:rsidRPr="00B31BEB">
        <w:t xml:space="preserve">Keywords: </w:t>
      </w:r>
      <w:r w:rsidR="009F58A0" w:rsidRPr="00B31BEB">
        <w:t>E-commerce</w:t>
      </w:r>
      <w:r w:rsidRPr="00B31BEB">
        <w:t xml:space="preserve">; </w:t>
      </w:r>
      <w:r w:rsidR="009F58A0" w:rsidRPr="00B31BEB">
        <w:t>Switching ANA</w:t>
      </w:r>
      <w:r w:rsidRPr="00B31BEB">
        <w:t xml:space="preserve">; </w:t>
      </w:r>
      <w:r w:rsidR="009F58A0" w:rsidRPr="00B31BEB">
        <w:t>Discrete Choice Experiments; Websites; Attitudes</w:t>
      </w:r>
    </w:p>
    <w:p w:rsidR="00997B0F" w:rsidRPr="00B31BEB" w:rsidRDefault="00A121B4" w:rsidP="00106DAF">
      <w:pPr>
        <w:pStyle w:val="Heading1"/>
      </w:pPr>
      <w:r w:rsidRPr="00B31BEB">
        <w:t>Introduction</w:t>
      </w:r>
    </w:p>
    <w:p w:rsidR="00A121B4" w:rsidRPr="00B31BEB" w:rsidRDefault="00A121B4" w:rsidP="00A121B4">
      <w:pPr>
        <w:pStyle w:val="Newparagraph"/>
        <w:ind w:firstLine="0"/>
      </w:pPr>
      <w:r w:rsidRPr="00B31BEB">
        <w:t>Internet usage continues to spread across many sectors in consumers' lives. Retailing has been among the biggest beneficiaries of consumers' and retailers' internet enthusiasm. Boosted by the increasing internet use, online retailing has progressively curved a significant niche in the retail business</w:t>
      </w:r>
      <w:r w:rsidR="004213AB" w:rsidRPr="00B31BEB">
        <w:t xml:space="preserve"> </w:t>
      </w:r>
      <w:r w:rsidR="000A3492" w:rsidRPr="00B31BEB">
        <w:rPr>
          <w:rStyle w:val="FootnoteReference"/>
        </w:rPr>
        <w:fldChar w:fldCharType="begin" w:fldLock="1"/>
      </w:r>
      <w:r w:rsidR="00E23587" w:rsidRPr="00B31BEB">
        <w:instrText>ADDIN CSL_CITATION {"citationItems":[{"id":"ITEM-1","itemData":{"DOI":"10.2753/MIS0742-1222270206","ISSN":"07421222","abstract":"Privacy is a significant concern of customers in the business-to-consumer online environment. Several technical, economic, and regulatory mechanisms have been proposed to address online privacy. A current market-based mechanism is the privacy seal, under which a third party assures adherence by a vendor to its posted privacy policy. In this paper, we present empirical evidence of the effect of displaying a privacy seal on the product prices of online vendors of electronic books, download-able audiobooks, and textbooks. Using data collected on these relatively homogeneous products sold by online vendors, we find that while controlling for vendor-specific characteristics, vendors bearing privacy seals charge a premium for such products compared to vendors not bearing a seal. The paper provides empirical evidence of the economic value of privacy assurance from the customers' perspective as measured by the price premium charged for products. The research has implications for researchers and policymakers by providing evidence that privacy is another factor that creates friction in e-commerce, and that prices on the Internet for homogeneous products need not converge. © 2010 M.E. Sharpe, Inc.","author":[{"dropping-particle":"","family":"Mai","given":"Bin","non-dropping-particle":"","parse-names":false,"suffix":""},{"dropping-particle":"","family":"Menon","given":"Nirup","non-dropping-particle":"","parse-names":false,"suffix":""},{"dropping-particle":"","family":"Sarkar","given":"Sumit","non-dropping-particle":"","parse-names":false,"suffix":""}],"container-title":"Journal of Management Information Systems","id":"ITEM-1","issue":"2","issued":{"date-parts":[["2010"]]},"page":"189-212","title":"No free lunch: Price premium for privacy seal-bearing vendors","type":"article-journal","volume":"27"},"uris":["http://www.mendeley.com/documents/?uuid=3a62ac5d-54f9-4328-bd5c-03bb9fe9975b"]},{"id":"ITEM-2","itemData":{"DOI":"10.1016/j.ijpe.2015.10.003","ISSN":"09255273","abstract":"This study investigates patterns in electronic commerce (e-commerce) activities and their impact on labour productivity growth for a group of 14 European countries. At hand for the exercise is a unique panel of micro-aggregated, firm-level data spanning the years 2002-2010. The empirical approach involves two main elements: a static specification and a dynamic panel data model. The former is a difference specification estimated by OLS, and the latter model uses the system GMM estimator to account for endogeneity of e-commerce activities. For the impact analysis, e-commerce is defined specifically as e-sales - that is, orders firms receive electronically (through EDI or websites). Descriptive statistics reveal that the proportion of firms engaging in e-sales activities, after starting from a low level, is slowly growing over time. The OLS estimates, which control for industry, time, and country effects, show that the changes in e-sales activities and labour productivity growth are significantly positively related. Specifically, an increase in e-sales by one percentage point raises labour productivity growth by 0.3 percentage points over a two-year period. Service industries experience a larger impact than does manufacturing. Similar results are produced by the dynamic panel data estimations, which show that the increase in e-sales activities during the period studied accounts for 18 per cent of the total growth in labour productivity. In addition, the results demonstrate that smaller firms gain the most from increases in e-sales. Overall, the magnitude of the estimates differs less across methods than it does between industries or over time.","author":[{"dropping-particle":"","family":"Falk","given":"Martin","non-dropping-particle":"","parse-names":false,"suffix":""},{"dropping-particle":"","family":"Hagsten","given":"Eva","non-dropping-particle":"","parse-names":false,"suffix":""}],"container-title":"International Journal of Production Economics","id":"ITEM-2","issued":{"date-parts":[["2015"]]},"page":"357-369","title":"E-commerce trends and impacts across Europe","type":"article-journal","volume":"170"},"uris":["http://www.mendeley.com/documents/?uuid=c1323d9c-79b4-45ed-9b18-1b8001363a06"]},{"id":"ITEM-3","itemData":{"DOI":"10.1080/10864415.2016.1234283","ISSN":"15579301","abstract":"This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Commerce","id":"ITEM-3","issue":"2","issued":{"date-parts":[["2017"]]},"page":"184-218","title":"Cross-border electronic commerce: Distance effects and express delivery in European union markets","type":"article-journal","volume":"21"},"uris":["http://www.mendeley.com/documents/?uuid=ad665ba8-5659-45b7-afb7-4950bc45e3c3"]}],"mendeley":{"formattedCitation":"[21; 37; 48]","plainTextFormattedCitation":"[21; 37; 48]","previouslyFormattedCitation":"[21; 37; 48]"},"properties":{"noteIndex":0},"schema":"https://github.com/citation-style-language/schema/raw/master/csl-citation.json"}</w:instrText>
      </w:r>
      <w:r w:rsidR="000A3492" w:rsidRPr="00B31BEB">
        <w:rPr>
          <w:rStyle w:val="FootnoteReference"/>
        </w:rPr>
        <w:fldChar w:fldCharType="separate"/>
      </w:r>
      <w:r w:rsidR="00F8005E" w:rsidRPr="00B31BEB">
        <w:rPr>
          <w:noProof/>
        </w:rPr>
        <w:t>[21; 37; 48]</w:t>
      </w:r>
      <w:r w:rsidR="000A3492" w:rsidRPr="00B31BEB">
        <w:rPr>
          <w:rStyle w:val="FootnoteReference"/>
        </w:rPr>
        <w:fldChar w:fldCharType="end"/>
      </w:r>
      <w:r w:rsidRPr="00B31BEB">
        <w:t xml:space="preserve">. Retail e-commerce sales </w:t>
      </w:r>
      <w:r w:rsidR="00F8005E" w:rsidRPr="00B31BEB">
        <w:t>were</w:t>
      </w:r>
      <w:r w:rsidRPr="00B31BEB">
        <w:t xml:space="preserve"> esti</w:t>
      </w:r>
      <w:r w:rsidR="00F8005E" w:rsidRPr="00B31BEB">
        <w:t>mated to account for over 20</w:t>
      </w:r>
      <w:r w:rsidRPr="00B31BEB">
        <w:t>% of all global retail sales</w:t>
      </w:r>
      <w:r w:rsidR="00F8005E" w:rsidRPr="00B31BEB">
        <w:t xml:space="preserve"> by 2019</w:t>
      </w:r>
      <w:r w:rsidR="006C6357" w:rsidRPr="00B31BEB">
        <w:t xml:space="preserve">, nearly </w:t>
      </w:r>
      <w:r w:rsidR="00227401" w:rsidRPr="00B31BEB">
        <w:t>triple the 7</w:t>
      </w:r>
      <w:r w:rsidR="00F8005E" w:rsidRPr="00B31BEB">
        <w:t>% estimated for 2015</w:t>
      </w:r>
      <w:r w:rsidR="00944CE2" w:rsidRPr="00B31BEB">
        <w:t xml:space="preserve"> </w:t>
      </w:r>
      <w:r w:rsidR="00944CE2" w:rsidRPr="00B31BEB">
        <w:fldChar w:fldCharType="begin" w:fldLock="1"/>
      </w:r>
      <w:r w:rsidR="00E23587" w:rsidRPr="00B31BEB">
        <w:instrText>ADDIN CSL_CITATION {"citationItems":[{"id":"ITEM-1","itemData":{"DOI":"10.1016/j.jretai.2017.04.001","ISSN":"00224359","abstract":"Low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Retailing","id":"ITEM-1","issue":"3","issued":{"date-parts":[["2017"]]},"page":"253-265","publisher":"Elsevier Inc","title":"Online Purchase Paths and Conversion Dynamics across Multiple Websites","type":"article-journal","volume":"93"},"uris":["http://www.mendeley.com/documents/?uuid=3c7fb30d-0e34-4b90-9257-b376f40a8f9b"]}],"mendeley":{"formattedCitation":"[61]","plainTextFormattedCitation":"[61]","previouslyFormattedCitation":"[61]"},"properties":{"noteIndex":0},"schema":"https://github.com/citation-style-language/schema/raw/master/csl-citation.json"}</w:instrText>
      </w:r>
      <w:r w:rsidR="00944CE2" w:rsidRPr="00B31BEB">
        <w:fldChar w:fldCharType="separate"/>
      </w:r>
      <w:r w:rsidR="00F8005E" w:rsidRPr="00B31BEB">
        <w:rPr>
          <w:noProof/>
        </w:rPr>
        <w:t>[61]</w:t>
      </w:r>
      <w:r w:rsidR="00944CE2" w:rsidRPr="00B31BEB">
        <w:fldChar w:fldCharType="end"/>
      </w:r>
      <w:r w:rsidRPr="00B31BEB">
        <w:t xml:space="preserve">. The high annual growth rate of e-commerce, which </w:t>
      </w:r>
      <w:r w:rsidRPr="00B31BEB">
        <w:lastRenderedPageBreak/>
        <w:t>holds a three-to-one margin to offline retailing</w:t>
      </w:r>
      <w:r w:rsidR="00503BE1" w:rsidRPr="00B31BEB">
        <w:t xml:space="preserve"> </w:t>
      </w:r>
      <w:r w:rsidR="000A3492" w:rsidRPr="00B31BEB">
        <w:rPr>
          <w:rStyle w:val="FootnoteReference"/>
        </w:rPr>
        <w:fldChar w:fldCharType="begin" w:fldLock="1"/>
      </w:r>
      <w:r w:rsidR="00E23587" w:rsidRPr="00B31BEB">
        <w:instrText>ADDIN CSL_CITATION {"citationItems":[{"id":"ITEM-1","itemData":{"DOI":"10.1016/j.jretai.2017.04.001","ISSN":"00224359","abstract":"Low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Retailing","id":"ITEM-1","issue":"3","issued":{"date-parts":[["2017"]]},"page":"253-265","publisher":"Elsevier Inc","title":"Online Purchase Paths and Conversion Dynamics across Multiple Websites","type":"article-journal","volume":"93"},"uris":["http://www.mendeley.com/documents/?uuid=3c7fb30d-0e34-4b90-9257-b376f40a8f9b"]},{"id":"ITEM-2","itemData":{"DOI":"10.1080/10864415.2016.1234283","ISSN":"15579301","abstract":"This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Commerce","id":"ITEM-2","issue":"2","issued":{"date-parts":[["2017"]]},"page":"184-218","title":"Cross-border electronic commerce: Distance effects and express delivery in European union markets","type":"article-journal","volume":"21"},"uris":["http://www.mendeley.com/documents/?uuid=ad665ba8-5659-45b7-afb7-4950bc45e3c3"]}],"mendeley":{"formattedCitation":"[37; 61]","plainTextFormattedCitation":"[37; 61]","previouslyFormattedCitation":"[37; 61]"},"properties":{"noteIndex":0},"schema":"https://github.com/citation-style-language/schema/raw/master/csl-citation.json"}</w:instrText>
      </w:r>
      <w:r w:rsidR="000A3492" w:rsidRPr="00B31BEB">
        <w:rPr>
          <w:rStyle w:val="FootnoteReference"/>
        </w:rPr>
        <w:fldChar w:fldCharType="separate"/>
      </w:r>
      <w:r w:rsidR="00F8005E" w:rsidRPr="00B31BEB">
        <w:rPr>
          <w:noProof/>
        </w:rPr>
        <w:t>[37; 61]</w:t>
      </w:r>
      <w:r w:rsidR="000A3492" w:rsidRPr="00B31BEB">
        <w:rPr>
          <w:rStyle w:val="FootnoteReference"/>
        </w:rPr>
        <w:fldChar w:fldCharType="end"/>
      </w:r>
      <w:r w:rsidR="00503BE1" w:rsidRPr="00B31BEB">
        <w:t xml:space="preserve">, </w:t>
      </w:r>
      <w:r w:rsidRPr="00B31BEB">
        <w:t>poses important questions for businesses. Fundamental among these questions is how firms can attract and retain customers on their websites despite the stiff competition</w:t>
      </w:r>
      <w:r w:rsidR="00173700" w:rsidRPr="00B31BEB">
        <w:t xml:space="preserve"> </w:t>
      </w:r>
      <w:r w:rsidR="000A3492" w:rsidRPr="00B31BEB">
        <w:rPr>
          <w:rStyle w:val="FootnoteReference"/>
        </w:rPr>
        <w:fldChar w:fldCharType="begin" w:fldLock="1"/>
      </w:r>
      <w:r w:rsidR="00E23587" w:rsidRPr="00B31BEB">
        <w:instrText>ADDIN CSL_CITATION {"citationItems":[{"id":"ITEM-1","itemData":{"DOI":"10.1080/10864415.2016.1234283","ISSN":"15579301","abstract":"This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Commerce","id":"ITEM-1","issue":"2","issued":{"date-parts":[["2017"]]},"page":"184-218","title":"Cross-border electronic commerce: Distance effects and express delivery in European union markets","type":"article-journal","volume":"21"},"uris":["http://www.mendeley.com/documents/?uuid=ad665ba8-5659-45b7-afb7-4950bc45e3c3"]},{"id":"ITEM-2","itemData":{"DOI":"10.1080/10864415.2016.1121762","ISSN":"15579301","abstract":"An online retailers website acts as a focal point for a companys online identity, not only encompassing the products and services offered but also presenting the aesthetic image and values of the company. Cultivating a strong company online identity helps differentiate one online retailer from another, attracts and retains customers to strengthen competitive advantage, and enhances brand, product, or service distinctions. Our study proposes that an online retailers website cultivates a particular identity that consumers may identify with to varying degrees. This identification with an online retailers web presence may generate repeat purchases from committed consumers, or even extra-role behaviors such as the creation and distribution of written, audio, and video content online. Website identification is proposed to be a representation of a consumers identification with his/her perception of an online retailers identity. Website identification is theorized to act as a mediating factor that unifies online purchase research streams with information systems, consumer behavior, and marketing, presenting new strategies for online retailers to assess and build a strong customer base. This study demonstrates that website identification provides a new theoretical perspective to understand online shopping behavior of committed customers. We recommend that online retailers promote website identification to attract and retain repeat customers by focusing on the attractiveness of the website and product offerings while maintaining a high degree of trust.","author":[{"dropping-particle":"","family":"King","given":"Ruth C.","non-dropping-particle":"","parse-names":false,"suffix":""},{"dropping-particle":"","family":"Schilhavy","given":"Richard A.M.","non-dropping-particle":"","parse-names":false,"suffix":""},{"dropping-particle":"","family":"Chowa","given":"Charles","non-dropping-particle":"","parse-names":false,"suffix":""},{"dropping-particle":"","family":"Chin","given":"Wynne W.","non-dropping-particle":"","parse-names":false,"suffix":""}],"container-title":"International Journal of Electronic Commerce","id":"ITEM-2","issue":"3","issued":{"date-parts":[["2016"]]},"page":"319-354","title":"Do customers identify with our website? The effects of website identification on repeat purchase intention","type":"article-journal","volume":"20"},"uris":["http://www.mendeley.com/documents/?uuid=be34fd9d-5963-456f-b3fb-864622edf86d"]}],"mendeley":{"formattedCitation":"[37; 38]","plainTextFormattedCitation":"[37; 38]","previouslyFormattedCitation":"[37; 38]"},"properties":{"noteIndex":0},"schema":"https://github.com/citation-style-language/schema/raw/master/csl-citation.json"}</w:instrText>
      </w:r>
      <w:r w:rsidR="000A3492" w:rsidRPr="00B31BEB">
        <w:rPr>
          <w:rStyle w:val="FootnoteReference"/>
        </w:rPr>
        <w:fldChar w:fldCharType="separate"/>
      </w:r>
      <w:r w:rsidR="00F8005E" w:rsidRPr="00B31BEB">
        <w:rPr>
          <w:noProof/>
        </w:rPr>
        <w:t>[37; 38]</w:t>
      </w:r>
      <w:r w:rsidR="000A3492" w:rsidRPr="00B31BEB">
        <w:rPr>
          <w:rStyle w:val="FootnoteReference"/>
        </w:rPr>
        <w:fldChar w:fldCharType="end"/>
      </w:r>
      <w:r w:rsidRPr="00B31BEB">
        <w:t>.</w:t>
      </w:r>
    </w:p>
    <w:p w:rsidR="00C62B1C" w:rsidRPr="00B31BEB" w:rsidRDefault="00C62B1C" w:rsidP="00620A89">
      <w:pPr>
        <w:tabs>
          <w:tab w:val="center" w:pos="4800"/>
          <w:tab w:val="right" w:pos="9500"/>
        </w:tabs>
        <w:ind w:firstLine="720"/>
        <w:rPr>
          <w:noProof/>
        </w:rPr>
      </w:pPr>
      <w:r w:rsidRPr="00B31BEB">
        <w:rPr>
          <w:noProof/>
        </w:rPr>
        <w:t>The importance of the internet in retailing has tri</w:t>
      </w:r>
      <w:r w:rsidR="009962D6" w:rsidRPr="00B31BEB">
        <w:rPr>
          <w:noProof/>
        </w:rPr>
        <w:t>ggered extensive research on it</w:t>
      </w:r>
      <w:r w:rsidRPr="00B31BEB">
        <w:rPr>
          <w:noProof/>
        </w:rPr>
        <w:t>, both from consumers’ and retailers’ perspectives. An important research question, especially for e-retailers, is how to position their websites so that they are chosen more often by e-customers. The underlying logic being that pre-purchasing, online customers first choose websites on which to place their orders</w:t>
      </w:r>
      <w:r w:rsidR="0064796E"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{"citationItems":[{"id":"ITEM-1","itemData":{"DOI":"10.1287/isre.13.3.255.78","ISSN":"10477047","abstract":"The ability to retain and lock in customers in the face of competition is a major concern for online businesses, especially those that invest heavily in advertising and customer acquisition. In this paper, we develop and implement an approach for measuring the magnitudes of switching costs and brand loyalty for online service providers based on the random utility modeling framework. We then examine how systems usage, service design, and other firmand individual-level factors affect switching and retention. Using data on the online brokerage industry, we find significant variation (as much as a factor of two) in measured switching costs. We find that customer demographic characteristics have little effect on switching, but that systems usage measures and systems quality are associated with reduced switching. We also find that firm characteristics such as product line breadth and quality reduce switching and may also reduce customer attrition. Overall, we conclude that online brokerage firms appear to have different abilities in retaining customers and have considerable control over their switching costs.","author":[{"dropping-particle":"","family":"Chen","given":"Pei Yu","non-dropping-particle":"","parse-names":false,"suffix":""},{"dropping-particle":"","family":"Hitt","given":"Lorin M.","non-dropping-particle":"","parse-names":false,"suffix":""}],"container-title":"Information Systems Research","id":"ITEM-1","issue":"3","issued":{"date-parts":[["2002"]]},"page":"255-274","title":"Measuring switching costs and the determinants of customer retention in internet-enabled businesses: A study of the online brokerage industry","type":"article-journal","volume":"13"},"uris":["http://www.mendeley.com/documents/?uuid=5fd3fc66-6af8-4f5b-ba47-381f005a070a"]},{"id":"ITEM-2","itemData":{"DOI":"10.1080/10864415.2003.11044271","ISSN":"10864415","abstract":"This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Commerce","id":"ITEM-2","issue":"3","issued":{"date-parts":[["2003"]]},"page":"39-63","title":"A Study of consumer switching behavior across internet portal web sites","type":"article-journal","volume":"7"},"uris":["http://www.mendeley.com/documents/?uuid=1a039dcb-290c-446a-a510-7b3d3361f99d"]},{"id":"ITEM-3","itemData":{"DOI":"10.2753/JEC1086-4415140302","ISSN":"10864415","abstract":"This study explores how third-party assurance seals, a privacy service provided by vendors to mitigate customers' fears, has an impact on on-line customer satisfaction and repeat-purchase intention. It asks the following research questions: Do assurance seals influence on-line service experience? If so, how do they affect consumers' satisfaction and repeat-purchase intention? The study shows, first, that seals provide a frame such that a consumer's overall satisfaction and repeat-purchase intention would be higher when vendors provide assurance seals than when they do not. Second, applying the concept of diminishing sensitivity, it shows that consumers would be subjectively less sensitive to service performance of vendors who provide seals than vendors who do not provide seals. The hypotheses are tested on data obtained from Bizrate.com. The empirical analysis supports the hypotheses. © 2010 M.E. Sharpe, Inc. All rights reserved.","author":[{"dropping-particle":"","family":"Park","given":"Insu","non-dropping-particle":"","parse-names":false,"suffix":""},{"dropping-particle":"","family":"Bhatnagar","given":"Amit","non-dropping-particle":"","parse-names":false,"suffix":""},{"dropping-particle":"","family":"Rao","given":"H. Raghav","non-dropping-particle":"","parse-names":false,"suffix":""}],"container-title":"International Journal of Electronic Commerce","id":"ITEM-3","issue":"3","issued":{"date-parts":[["2010","4","1"]]},"page":"11-34","title":"Assurance seals, on-line customer satisfaction, and repurchase intention","type":"article-journal","volume":"14"},"uris":["http://www.mendeley.com/documents/?uuid=c4fd183b-ab90-3b2c-b80b-9d86c11badf3"]},{"id":"ITEM-4","itemData":{"DOI":"10.1016/j.jretai.2017.04.001","ISSN":"00224359","abstract":"Low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Retailing","id":"ITEM-4","issue":"3","issued":{"date-parts":[["2017"]]},"page":"253-265","publisher":"Elsevier Inc","title":"Online Purchase Paths and Conversion Dynamics across Multiple Websites","type":"article-journal","volume":"93"},"uris":["http://www.mendeley.com/documents/?uuid=3c7fb30d-0e34-4b90-9257-b376f40a8f9b"]}],"mendeley":{"formattedCitation":"[5; 41; 61; 62]","plainTextFormattedCitation":"[5; 41; 61; 62]","previouslyFormattedCitation":"[5; 41; 61; 62]"},"properties":{"noteIndex":0},"schema":"https://github.com/citation-style-language/schema/raw/master/csl-citation.json"}</w:instrText>
      </w:r>
      <w:r w:rsidR="000A3492" w:rsidRPr="00B31BEB">
        <w:rPr>
          <w:rStyle w:val="FootnoteReference"/>
          <w:noProof/>
        </w:rPr>
        <w:fldChar w:fldCharType="separate"/>
      </w:r>
      <w:r w:rsidR="00F8005E" w:rsidRPr="00B31BEB">
        <w:rPr>
          <w:noProof/>
        </w:rPr>
        <w:t>[5; 41; 61; 62]</w:t>
      </w:r>
      <w:r w:rsidR="000A3492" w:rsidRPr="00B31BEB">
        <w:rPr>
          <w:rStyle w:val="FootnoteReference"/>
          <w:noProof/>
        </w:rPr>
        <w:fldChar w:fldCharType="end"/>
      </w:r>
      <w:r w:rsidRPr="00B31BEB">
        <w:rPr>
          <w:noProof/>
        </w:rPr>
        <w:t>. Like in brick-and-mortar businesses, customers are attracted and tend to be loyal to websites that resonate with their preferences. Websites attract their customers through their characteristics/attributes. Some attributes show measures taken to enhance security when making e-payments e.g., presence of a trust label or trustmark</w:t>
      </w:r>
      <w:r w:rsidR="00FD21DD"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{"citationItems":[{"id":"ITEM-1","itemData":{"DOI":"10.2753/JEC1086-4415140302","ISSN":"10864415","abstract":"This study explores how third-party assurance seals, a privacy service provided by vendors to mitigate customers' fears, has an impact on on-line customer satisfaction and repeat-purchase intention. It asks the following research questions: Do assurance seals influence on-line service experience? If so, how do they affect consumers' satisfaction and repeat-purchase intention? The study shows, first, that seals provide a frame such that a consumer's overall satisfaction and repeat-purchase intention would be higher when vendors provide assurance seals than when they do not. Second, applying the concept of diminishing sensitivity, it shows that consumers would be subjectively less sensitive to service performance of vendors who provide seals than vendors who do not provide seals. The hypotheses are tested on data obtained from Bizrate.com. The empirical analysis supports the hypotheses. © 2010 M.E. Sharpe, Inc. All rights reserved.","author":[{"dropping-particle":"","family":"Park","given":"Insu","non-dropping-particle":"","parse-names":false,"suffix":""},{"dropping-particle":"","family":"Bhatnagar","given":"Amit","non-dropping-particle":"","parse-names":false,"suffix":""},{"dropping-particle":"","family":"Rao","given":"H. Raghav","non-dropping-particle":"","parse-names":false,"suffix":""}],"container-title":"International Journal of Electronic Commerce","id":"ITEM-1","issue":"3","issued":{"date-parts":[["2010","4","1"]]},"page":"11-34","title":"Assurance seals, on-line customer satisfaction, and repurchase intention","type":"article-journal","volume":"14"},"uris":["http://www.mendeley.com/documents/?uuid=c4fd183b-ab90-3b2c-b80b-9d86c11badf3"]},{"id":"ITEM-2","itemData":{"DOI":"10.2753/MIS0742-1222270206","ISSN":"07421222","abstract":"Privacy is a significant concern of customers in the business-to-consumer online environment. Several technical, economic, and regulatory mechanisms have been proposed to address online privacy. A current market-based mechanism is the privacy seal, under which a third party assures adherence by a vendor to its posted privacy policy. In this paper, we present empirical evidence of the effect of displaying a privacy seal on the product prices of online vendors of electronic books, download-able audiobooks, and textbooks. Using data collected on these relatively homogeneous products sold by online vendors, we find that while controlling for vendor-specific characteristics, vendors bearing privacy seals charge a premium for such products compared to vendors not bearing a seal. The paper provides empirical evidence of the economic value of privacy assurance from the customers' perspective as measured by the price premium charged for products. The research has implications for researchers and policymakers by providing evidence that privacy is another factor that creates friction in e-commerce, and that prices on the Internet for homogeneous products need not converge. © 2010 M.E. Sharpe, Inc.","author":[{"dropping-particle":"","family":"Mai","given":"Bin","non-dropping-particle":"","parse-names":false,"suffix":""},{"dropping-particle":"","family":"Menon","given":"Nirup","non-dropping-particle":"","parse-names":false,"suffix":""},{"dropping-particle":"","family":"Sarkar","given":"Sumit","non-dropping-particle":"","parse-names":false,"suffix":""}],"container-title":"Journal of Management Information Systems","id":"ITEM-2","issue":"2","issued":{"date-parts":[["2010"]]},"page":"189-212","title":"No free lunch: Price premium for privacy seal-bearing vendors","type":"article-journal","volume":"27"},"uris":["http://www.mendeley.com/documents/?uuid=3a62ac5d-54f9-4328-bd5c-03bb9fe9975b"]},{"id":"ITEM-3","itemData":{"DOI":"10.1287/isre.2013.0489","ISSN":"15265536","abstract":"Third-party quality assurance seals have emerged as a prominent mechanism to reduce uncertainty and increase purchase conversion in online markets. However, systematic studies of the effectiveness of these seals are scarce. In this study, we exploit a unique data set of 9,098 shopping sessions at an online retailer's website to empirically measure the value and effectiveness of assurance seals on the likelihood of purchase by shoppers. The data set is collected from a randomized field experiment conducted by a large seal provider, which enables us to infer the causal impacts of the presence of an assurance seal. We find strong evidence that the presence of the assurance seal increases the likelihood of purchase conversion. We discuss the implications of our findings for online retailers, third-party certifiers, policymakers, and researchers. © 2013, INFORMS.","author":[{"dropping-particle":"","family":"Özpolat","given":"Koray","non-dropping-particle":"","parse-names":false,"suffix":""},{"dropping-particle":"","family":"Gao","given":"Guodong Gordon","non-dropping-particle":"","parse-names":false,"suffix":""},{"dropping-particle":"","family":"Jank","given":"Wolfgang","non-dropping-particle":"","parse-names":false,"suffix":""},{"dropping-particle":"","family":"Viswanathan","given":"Siva","non-dropping-particle":"","parse-names":false,"suffix":""}],"container-title":"Information Systems Research","id":"ITEM-3","issue":"4","issued":{"date-parts":[["2013"]]},"page":"1100-1111","title":"The value of third-party assurance seals in online retailing: An empirical investigation","type":"article-journal","volume":"24"},"uris":["http://www.mendeley.com/documents/?uuid=92a959dc-1c11-4c03-b320-1e12ecf64571"]}],"mendeley":{"formattedCitation":"[48; 59; 62]","plainTextFormattedCitation":"[48; 59; 62]","previouslyFormattedCitation":"[48; 59; 62]"},"properties":{"noteIndex":0},"schema":"https://github.com/citation-style-language/schema/raw/master/csl-citation.json"}</w:instrText>
      </w:r>
      <w:r w:rsidR="000A3492" w:rsidRPr="00B31BEB">
        <w:rPr>
          <w:rStyle w:val="FootnoteReference"/>
          <w:noProof/>
        </w:rPr>
        <w:fldChar w:fldCharType="separate"/>
      </w:r>
      <w:r w:rsidR="00F8005E" w:rsidRPr="00B31BEB">
        <w:rPr>
          <w:noProof/>
        </w:rPr>
        <w:t>[48; 59; 62]</w:t>
      </w:r>
      <w:r w:rsidR="000A3492" w:rsidRPr="00B31BEB">
        <w:rPr>
          <w:rStyle w:val="FootnoteReference"/>
          <w:noProof/>
        </w:rPr>
        <w:fldChar w:fldCharType="end"/>
      </w:r>
      <w:r w:rsidRPr="00B31BEB">
        <w:rPr>
          <w:noProof/>
        </w:rPr>
        <w:t>. Other attributes characterize benefits of ordering items on a given website. For instance, some websites offer discounts to customers when they make repeat-purchases. Websites may also differentiate themselves by offering subsidized and quicker item delivery and return services. These attributes, individually, contribute to a maximizable customer utility that determines a website choice.</w:t>
      </w:r>
    </w:p>
    <w:p w:rsidR="003A4A04" w:rsidRPr="00B31BEB" w:rsidRDefault="00A8157D" w:rsidP="00620A89">
      <w:pPr>
        <w:tabs>
          <w:tab w:val="center" w:pos="4800"/>
          <w:tab w:val="right" w:pos="9500"/>
        </w:tabs>
        <w:ind w:firstLine="720"/>
        <w:rPr>
          <w:noProof/>
        </w:rPr>
      </w:pPr>
      <w:r w:rsidRPr="00B31BEB">
        <w:rPr>
          <w:noProof/>
        </w:rPr>
        <w:t xml:space="preserve">In recent years, extensive research has investigated different aspects of e-commerce.  Factors that promote customers’ online shopping experiences have also been explored. Part of the research has investigated how website attributes influence customers’ web experience and motivate e-purchase intentions </w:t>
      </w:r>
      <w:r w:rsidR="000A3492" w:rsidRPr="00B31BEB">
        <w:rPr>
          <w:rStyle w:val="FootnoteReference"/>
          <w:noProof/>
        </w:rPr>
        <w:fldChar w:fldCharType="begin" w:fldLock="1"/>
      </w:r>
      <w:r w:rsidR="00E23587" w:rsidRPr="00B31BEB">
        <w:rPr>
          <w:noProof/>
        </w:rPr>
        <w:instrText>ADDIN CSL_CITATION {"citationItems":[{"id":"ITEM-1","itemData":{"DOI":"10.1108/10662240410530835","ISSN":"10662243","abstract":"Addresses one of the fundamental issues of e-marketing: how to attract and win over the consumer in the highly competitive Internet marketplace. Analyses the factors affecting the online consumer's behavior and examines how e-marketers can influence the outcome of the virtual interaction and buying process by focusing their marketing efforts on elements shaping the customer's virtual experience, the Web experience. Identifying the Web experience components and understanding their role as inputs in the online customer's decision-making process are the first step in developing and delivering an attractive online presence likely to have the maximum impact on Internet users. Click-and-mortar firms delivering superior Web experience influence their physical clients’ perceptions and attitudes, driving additional traffic to traditional sales outlets. Provides a contribution to the theoretical debate around the factors influencing the online consumer's behavior and outlines some noticeable similarities and differences between the traditional and virtual consumers. © 2004, Emerald Group Publishing Limited","author":[{"dropping-particle":"","family":"Constantinides","given":"Efthymios","non-dropping-particle":"","parse-names":false,"suffix":""}],"container-title":"Internet Research","id":"ITEM-1","issue":"2","issued":{"date-parts":[["2004"]]},"page":"111-126","title":"Influencing the online consumer's behavior: The Web experience","type":"article","volume":"14"},"uris":["http://www.mendeley.com/documents/?uuid=434caae0-c7ee-4459-bb7c-e337306a2719"]},{"id":"ITEM-2","itemData":{"DOI":"10.1287/isre.1070.0157","ISSN":"15265536","abstract":"With the proliferation of e-commerce, there is growing evidence that online impulse buying is occurring, yet relatively few researchers have studied this phenomenon. This paper reports on two studies that examine how variations in a website influence online impulse buying. The results reveal some relevant insights about this phenomenon. Specifically, although many participants had the urge to buy impulsively, regardless of website quality, this behavior's likelihood and magnitude was directly influenced by varying the quality of taskrelevant and mood-relevant cues. Task-relevant cues include characteristics, such as navigability, that help in the attainment of the online consumer's shopping goal. Conversely, mood-relevant cues refer to the characteristics, such as visual appeal, that affect the degree to which a user enjoys browsing a website but that do not directly support a particular shopping goal. The implications of the results for both future research and the design of human-computer interfaces are discussed. © 2009 INFORMS.","author":[{"dropping-particle":"","family":"Parboteeah","given":"D. Veena","non-dropping-particle":"","parse-names":false,"suffix":""},{"dropping-particle":"","family":"Valacich","given":"Joseph S.","non-dropping-particle":"","parse-names":false,"suffix":""},{"dropping-particle":"","family":"Wells","given":"John D.","non-dropping-particle":"","parse-names":false,"suffix":""}],"container-title":"Information Systems Research","id":"ITEM-2","issue":"1","issued":{"date-parts":[["2009"]]},"page":"60-78","title":"The influence of website characteristics on a consumer's urge to buy impulsively","type":"article-journal","volume":"20"},"uris":["http://www.mendeley.com/documents/?uuid=da5270eb-e4ef-41f0-bb1b-4ba968c47639"]},{"id":"ITEM-3","itemData":{"DOI":"10.1016/j.jbusres.2009.01.023","ISSN":"01482963","abstract":"Prior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Research","id":"ITEM-3","issue":"9-10","issued":{"date-parts":[["2010"]]},"page":"1007-1014","title":"Website attributes that increase consumer purchase intention: A conjoint analysis","type":"article-journal","volume":"63"},"uris":["http://www.mendeley.com/documents/?uuid=b837e457-dbc6-4d03-b986-598e17c96db3"]},{"id":"ITEM-4","itemData":{"DOI":"10.1108/IntR-09-2016-0280","ISSN":"10662243","abstract":"Purpose: The purpose of this paper is to advance product appeal and website appeal as focal psychological mechanisms that can be invoked by business-to-consumer e-commerce sites to mitigate problems of information asymmetry via signaling to bolster consumers’ purchase intention under the influence of trust. Design/methodology/approach: Survey approach was employed to validate the research model. Findings: Website appeal partially mediates the positive effect of product appeal on consumers’ purchase intention. Trust in e-commerce sites not only increases purchase intention directly, but it also reinforces the positive relationship between website appeal and purchase intention while attenuating the positive relationship between product appeal and purchase intention. Service content quality, search delivery quality, and enjoyment are confirmed as positive antecedents of website appeal whereas diagnosticity and justifiability are established as positive antecedents of product appeal. Research limitations/implications: This study not only delineates product and website appeal as complementary drivers of consumer purchase on e-commerce sites, but it also derives five signals that aid in bolstering both product and website appeal. Trust is revealed to exert a moderating influence on the impact of product and website appeal on purchase intention. Practical implications: Practitioners should prioritize their resource allocation to enhance qualities most pertinent to product and website appeal. E-commerce sites should offer product-oriented functionalities to facilitate product diagnosticity and reassure consumers of their purchase decisions. Originality/value: This study distinguishes between product and website appeal as well as between their respective antecedents. It also uncovers how trust can alter the effects of both website and product appeal on consumers’ purchase intention.","author":[{"dropping-particle":"","family":"Liu","given":"Fei","non-dropping-particle":"","parse-names":false,"suffix":""},{"dropping-particle":"","family":"Xiao","given":"Bo","non-dropping-particle":"","parse-names":false,"suffix":""},{"dropping-particle":"","family":"Lim","given":"Eric T.K.","non-dropping-particle":"","parse-names":false,"suffix":""},{"dropping-particle":"","family":"Tan","given":"Chee Wee","non-dropping-particle":"","parse-names":false,"suffix":""}],"container-title":"Internet Research","id":"ITEM-4","issue":"4","issued":{"date-parts":[["2017"]]},"page":"752-771","title":"The art of appeal in electronic commerce: Understanding the impact of product and website quality on online purchases","type":"article-journal","volume":"27"},"uris":["http://www.mendeley.com/documents/?uuid=b8fcd79b-d0cd-4f57-a31d-c765b1172869"]}],"mendeley":{"formattedCitation":"[7; 12; 47; 60]","plainTextFormattedCitation":"[7; 12; 47; 60]","previouslyFormattedCitation":"[7; 12; 47; 60]"},"properties":{"noteIndex":0},"schema":"https://github.com/citation-style-language/schema/raw/master/csl-citation.json"}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12; 47; 60]</w:t>
      </w:r>
      <w:r w:rsidR="000A3492" w:rsidRPr="00B31BEB">
        <w:rPr>
          <w:rStyle w:val="FootnoteReference"/>
          <w:noProof/>
        </w:rPr>
        <w:fldChar w:fldCharType="end"/>
      </w:r>
      <w:r w:rsidRPr="00B31BEB">
        <w:rPr>
          <w:noProof/>
        </w:rPr>
        <w:t>. Other studies have explored the dynamics of choice-making</w:t>
      </w:r>
      <w:r w:rsidR="00F4391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{"citationItems":[{"id":"ITEM-1","itemData":{"DOI":"10.1007/s11129-006-6559-x","ISSN":"15707156","abstract":"We develop discrete choice models that account for parameter driven preference dynamics. Choice model parameters may change over time because of shifting market conditions or due to changes in attribute levels over time or because of consumer learning. In this paper we show how such preference evolution can be modeled using hierarchial Bayesian state space models of discrete choice. The main feature of our approach is that it allows for the simultaneous incorporation of multiple sources of preference and choice dynamics. We show how the state space approach can include state dependence, unobserved heterogeneity, and more importantly, temporal variability in preferences using a correlated sequence of population distributions. The proposed model is very general and nests commonly used choice models in the literature as special cases. We use Markov chain montecarlo methods for estimating model parameters and apply our methodology to a scanner data set containing household brand choices over an eight-year period. Our analysis indicates that preferences exhibit significant variation over the time-span of the data and that incorporating time-variation in parameters is crucial for appropriate inferences regarding the magnitude and evolution of choice elasticities. We also find that models that ignore time variation in parameters can yield misleading inferences about the impact of causal variables. © Springer Science + Business Media, LLC 2006.","author":[{"dropping-particle":"","family":"Lachaab","given":"Mohamed","non-dropping-particle":"","parse-names":false,"suffix":""},{"dropping-particle":"","family":"Ansari","given":"Asim","non-dropping-particle":"","parse-names":false,"suffix":""},{"dropping-particle":"","family":"Jedidi","given":"Kamel","non-dropping-particle":"","parse-names":false,"suffix":""},{"dropping-particle":"","family":"Trabelsi","given":"Abdelwahed","non-dropping-particle":"","parse-names":false,"suffix":""}],"container-title":"Quantitative Marketing and Economics","id":"ITEM-1","issue":"1","issued":{"date-parts":[["2006"]]},"page":"57-81","title":"Modeling preference evolution in discrete choice models: A Bayesian state-space approach","type":"article-journal","volume":"4"},"uris":["http://www.mendeley.com/documents/?uuid=12cef3d8-b994-491a-a554-f8a1825d9625"]},{"id":"ITEM-2","itemData":{"DOI":"10.1287/mksc.1070.0294","ISSN":"07322399","abstract":"This research models the dynamics of customer relationships using typical transaction data. Our proposed model permits not only capturing the dynamics of customer relationships, but also incorporating the effect of the sequence of customer-firm encounters on the dynamics of customer relationships and the subsequent buying behavior. Our approach to modeling relationship dynamics is structurally different from existing approaches. Specifically we construct and estimate a nonhomogeneous hidden Markov model to model the transitions among latent relationship states and effects on buying behavior. In the proposed model, the transitions between the states are a function of time-varying covariates such as customer-firm encounters that could have an enduring impact by shifting the customer to a different (unobservable) relationship state. The proposed model enables marketers to dynamically segment their customer base and to examine methods by which the firm can alter long-term buying behavior. We use a hierarchical Bayes approach to capture the unobserved heterogeneity across customers. We calibrate the model in the context of alumni relations using a longitudinal gift-giving data set. Using the proposed model, we probabilistically classify the alumni base into three relationship states and estimate the effect of alumni-university interactions, such as reunions, on the movement of alumni between these states. Additionally, we demonstrate improved prediction ability on a hold-out sample. © 2008 INFORMS.","author":[{"dropping-particle":"","family":"Netzer","given":"Oded","non-dropping-particle":"","parse-names":false,"suffix":""},{"dropping-particle":"","family":"Lattin","given":"James M.","non-dropping-particle":"","parse-names":false,"suffix":""},{"dropping-particle":"","family":"Srinivasan","given":"V.","non-dropping-particle":"","parse-names":false,"suffix":""}],"container-title":"Marketing Science","id":"ITEM-2","issue":"2","issued":{"date-parts":[["2008"]]},"page":"185-204","publisher":"INFORMS","title":"A hidden Markov model of customer relationship dynamics","type":"article-journal","volume":"27"},"uris":["http://www.mendeley.com/documents/?uuid=e440ac4b-a042-4ef9-aed6-7d3289649cf2"]},{"id":"ITEM-3","itemData":{"DOI":"10.1016/j.foodpol.2013.01.006","ISSN":"03069192","abstract":"We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Policy","id":"ITEM-3","issued":{"date-parts":[["2013"]]},"page":"31-43","title":"Green market expansion by reducing information asymmetries: Evidence for labeled organic food products","type":"article-journal","volume":"40"},"uris":["http://www.mendeley.com/documents/?uuid=65353283-cbff-49f5-970f-84f9820b38a2"]},{"id":"ITEM-4","itemData":{"DOI":"10.1007/978-3-319-53469-5_14","ISBN":"978-3-319-53469-5","author":[{"dropping-particle":"","family":"Netzer, Oded and Ebbes, Peter and Bijmolt","given":"Tammo HA","non-dropping-particle":"","parse-names":false,"suffix":""}],"chapter-number":"14","container-title":"Advanced methods for modeling markets","editor":[{"dropping-particle":"","family":"Leeflang, Peter S. H. and Wieringa, Jaap E. and Bijmolt, Tammo H.A and Pauwels","given":"Koen H.","non-dropping-particle":"","parse-names":false,"suffix":""}],"id":"ITEM-4","issued":{"date-parts":[["2017"]]},"page":"405--449","publisher":"Springer International Publishing","title":"Hidden Markov models in marketing","type":"chapter"},"uris":["http://www.mendeley.com/documents/?uuid=a2a96c8a-b957-4de8-a675-9f71ad85093e"]}],"mendeley":{"formattedCitation":"[39; 55; 56; 67]","plainTextFormattedCitation":"[39; 55; 56; 67]","previouslyFormattedCitation":"[39; 55; 56;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[39; 55; 56; 67]</w:t>
      </w:r>
      <w:r w:rsidR="000A3492" w:rsidRPr="00B31BEB">
        <w:rPr>
          <w:rStyle w:val="FootnoteReference"/>
          <w:noProof/>
        </w:rPr>
        <w:fldChar w:fldCharType="end"/>
      </w:r>
      <w:r w:rsidRPr="00B31BEB">
        <w:rPr>
          <w:noProof/>
        </w:rPr>
        <w:t xml:space="preserve"> and e-customers’ website preferences</w:t>
      </w:r>
      <w:r w:rsidR="00B87E5C"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{"citationItems":[{"id":"ITEM-1","itemData":{"DOI":"10.1287/isre.13.3.255.78","ISSN":"10477047","abstract":"The ability to retain and lock in customers in the face of competition is a major concern for online businesses, especially those that invest heavily in advertising and customer acquisition. In this paper, we develop and implement an approach for measuring the magnitudes of switching costs and brand loyalty for online service providers based on the random utility modeling framework. We then examine how systems usage, service design, and other firmand individual-level factors affect switching and retention. Using data on the online brokerage industry, we find significant variation (as much as a factor of two) in measured switching costs. We find that customer demographic characteristics have little effect on switching, but that systems usage measures and systems quality are associated with reduced switching. We also find that firm characteristics such as product line breadth and quality reduce switching and may also reduce customer attrition. Overall, we conclude that online brokerage firms appear to have different abilities in retaining customers and have considerable control over their switching costs.","author":[{"dropping-particle":"","family":"Chen","given":"Pei Yu","non-dropping-particle":"","parse-names":false,"suffix":""},{"dropping-particle":"","family":"Hitt","given":"Lorin M.","non-dropping-particle":"","parse-names":false,"suffix":""}],"container-title":"Information Systems Research","id":"ITEM-1","issue":"3","issued":{"date-parts":[["2002"]]},"page":"255-274","title":"Measuring switching costs and the determinants of customer retention in internet-enabled businesses: A study of the online brokerage industry","type":"article-journal","volume":"13"},"uris":["http://www.mendeley.com/documents/?uuid=5fd3fc66-6af8-4f5b-ba47-381f005a070a"]},{"id":"ITEM-2","itemData":{"DOI":"10.1080/10864415.2003.11044271","ISSN":"10864415","abstract":"This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Commerce","id":"ITEM-2","issue":"3","issued":{"date-parts":[["2003"]]},"page":"39-63","title":"A Study of consumer switching behavior across internet portal web sites","type":"article-journal","volume":"7"},"uris":["http://www.mendeley.com/documents/?uuid=1a039dcb-290c-446a-a510-7b3d3361f99d"]},{"id":"ITEM-3","itemData":{"DOI":"10.1016/j.jretai.2017.04.001","ISSN":"00224359","abstract":"Low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Retailing","id":"ITEM-3","issue":"3","issued":{"date-parts":[["2017"]]},"page":"253-265","publisher":"Elsevier Inc","title":"Online Purchase Paths and Conversion Dynamics across Multiple Websites","type":"article-journal","volume":"93"},"uris":["http://www.mendeley.com/documents/?uuid=3c7fb30d-0e34-4b90-9257-b376f40a8f9b"]}],"mendeley":{"formattedCitation":"[5; 41; 61]","plainTextFormattedCitation":"[5; 41; 61]","previouslyFormattedCitation":"[5; 41; 61]"},"properties":{"noteIndex":0},"schema":"https://github.com/citation-style-language/schema/raw/master/csl-citation.json"}</w:instrText>
      </w:r>
      <w:r w:rsidR="000A3492" w:rsidRPr="00B31BEB">
        <w:rPr>
          <w:rStyle w:val="FootnoteReference"/>
          <w:noProof/>
        </w:rPr>
        <w:fldChar w:fldCharType="separate"/>
      </w:r>
      <w:r w:rsidR="00F8005E" w:rsidRPr="00B31BEB">
        <w:rPr>
          <w:noProof/>
        </w:rPr>
        <w:t>[5; 41; 61]</w:t>
      </w:r>
      <w:r w:rsidR="000A3492" w:rsidRPr="00B31BEB">
        <w:rPr>
          <w:rStyle w:val="FootnoteReference"/>
          <w:noProof/>
        </w:rPr>
        <w:fldChar w:fldCharType="end"/>
      </w:r>
      <w:r w:rsidRPr="00B31BEB">
        <w:rPr>
          <w:noProof/>
        </w:rPr>
        <w:t>. Some other studies have focussed on the environmental</w:t>
      </w:r>
      <w:r w:rsidR="008259C1"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{"citationItems":[{"id":"ITEM-1","itemData":{"DOI":"10.1108/09600031011018055","ISSN":"09600035","abstract":"Purpose: The purpose of this paper is to focus on the carbon intensity of \"last mile\" deliveries (i.e. deliveries of goods from local depots to the home) and personal shopping trips. Design/methodology/approach: Several last mile scenarios are constructed for the purchase of small, non-food items, such as books, CDs, clothing, cameras and household items. Official government data, operational data from a large logistics service provider, face-to-face and telephone interviews with company managers and realistic assumptions derived from the literature form the basis of the calculations. Allowance has been made for home delivery failures, \"browsing\" trips to the shops and the return of unwanted goods. Findings: Overall, the research suggests that, while neither home delivery nor conventional shopping has an absolute CO2 advantage, on average, the home delivery operation is likely to generate less CO2 than the typical shopping trip. Nevertheless, CO2 emissions per item for intensive/infrequent shopping trips by bus could match online shopping/home delivery. Research limitations/implications: The number of items purchased per shopping trip, the choice of travel mode and the willingness to combine shopping with other activities and to group purchases into as few shopping trips or online transactions as possible are shown to be critical factors. Online retailers and home delivery companies could also apply measures (e.g. maximising drop densities and increasing the use of electric vehicles) to enhance the CO2 efficiency of their logistical operations and gain a clearer environmental advantage. Practical implications: Both consumers and suppliers need to be made more aware of the environmental implications of their respective purchasing behaviour and distribution methods so that potential CO2 savings can be made. Originality/value: The paper offers insights into the carbon footprints of conventional and online retailing from a \"last mile\" perspective. © Emerald Group Publishing Limited.","author":[{"dropping-particle":"","family":"Edwards","given":"Julia B.","non-dropping-particle":"","parse-names":false,"suffix":""},{"dropping-particle":"","family":"McKinnon","given":"Alan C.","non-dropping-particle":"","parse-names":false,"suffix":""},{"dropping-particle":"","family":"Cullinane","given":"Sharon L.","non-dropping-particle":"","parse-names":false,"suffix":""}],"container-title":"International Journal of Physical Distribution and Logistics Management","id":"ITEM-1","issue":"1-2","issued":{"date-parts":[["2010"]]},"page":"103-123","publisher":"Emerald Group Publishing Limited","title":"Comparative analysis of the carbon footprints of conventional and online retailing: A \"last mile\" perspective","type":"article-journal","volume":"40"},"uris":["http://www.mendeley.com/documents/?uuid=c511518a-2a92-4309-9338-3dc88ef30c3b"]},{"id":"ITEM-2","itemData":{"DOI":"10.1108/IJPDLM-06-2014-0133","ISSN":"09600035","abstract":"Purpose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Management","id":"ITEM-2","issue":"6","issued":{"date-parts":[["2015"]]},"page":"565-591","title":"A review of the environmental implications of B2C e-commerce: a logistics perspective","type":"article-journal","volume":"45"},"uris":["http://www.mendeley.com/documents/?uuid=0abe1a40-d50b-43aa-a7ed-6c050121d284"]}],"mendeley":{"formattedCitation":"[19; 49]","plainTextFormattedCitation":"[19; 49]","previouslyFormattedCitation":"[19; 49]"},"properties":{"noteIndex":0},"schema":"https://github.com/citation-style-language/schema/raw/master/csl-citation.json"}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[19; 49]</w:t>
      </w:r>
      <w:r w:rsidR="000A3492" w:rsidRPr="00B31BEB">
        <w:rPr>
          <w:rStyle w:val="FootnoteReference"/>
          <w:noProof/>
        </w:rPr>
        <w:fldChar w:fldCharType="end"/>
      </w:r>
      <w:r w:rsidRPr="00B31BEB">
        <w:rPr>
          <w:noProof/>
        </w:rPr>
        <w:t xml:space="preserve"> and socio-economic</w:t>
      </w:r>
      <w:r w:rsidR="003D638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{"citationItems":[{"id":"ITEM-1","itemData":{"DOI":"10.1108/10662240810912783","ISSN":"10662243","abstract":"Purpose - E-commerce is diffusing into developing countries (DCs), and is assumed to help deliver the international development agenda. But how can the connection between e-commerce and socio-economic development be conceptualised? The aim of this paper is to analyse that connection by drawing from the development studies discipline to take a broader perspective on e-commerce than that so far provided by firm-level research. Design/methodology/approach - The authors adopt a literature survey approach, drawing their conceptual foundations from development studies, and supplementing this from the e-commerce literature. Findings - The paper develops a new, integrated model that explains the way in which e-commerce can contribute to socio-economic development. Research limitations/implications - This new model can help provide a foundation for future research on e-commerce in DCs; research on e-commerce policy as well as impact assessment research. Practical implications - The discussion and model provide development agencies, governments, consultants and business people working in DCs with a clearer sense of the contribution e-commerce can make; assisting them in prioritization, planning, and evaluation of e-commerce projects. Originality/value - The paper provides the first integrated perspective on the broader contribution of e-commerce to the growth and development of DCs. © Emerald Group Publishing Limited.","author":[{"dropping-particle":"","family":"Boateng","given":"Richard","non-dropping-particle":"","parse-names":false,"suffix":""},{"dropping-particle":"","family":"Heeks","given":"Richard","non-dropping-particle":"","parse-names":false,"suffix":""},{"dropping-particle":"","family":"Molla","given":"Alemayehu","non-dropping-particle":"","parse-names":false,"suffix":""},{"dropping-particle":"","family":"Hinson","given":"Robert","non-dropping-particle":"","parse-names":false,"suffix":""}],"container-title":"Internet Research","id":"ITEM-1","issue":"5","issued":{"date-parts":[["2008"]]},"page":"562-594","title":"E-commerce and socio-economic development: Conceptualizing the link","type":"article","volume":"18"},"uris":["http://www.mendeley.com/documents/?uuid=6f609ac6-5466-4ea8-a1a2-a69a825806d4"]},{"id":"ITEM-2","itemData":{"DOI":"10.1016/j.sbspro.2011.09.010","ISSN":"18770428","abstract":"The purpose of the present study is to investigate the impact of e-commerce on international trade and employment. Electronic commerce offers economy-wide benefits to all countries. The gains are likely to be concentrated in developed countries in the short run but, developing countries will have more to benefit in the long run. The volume of international trade will increase via e-commerce. The countries open to imports from high-income economies will benefit from knowledge spillovers. In addition, electronic commerce is expected to create and destroy jobs. © 2011 Published by Elsevier Ltd. Selection and/or peer-review under responsibility of 7th International Strategic Management Conference.","author":[{"dropping-particle":"","family":"Terzi","given":"Nuray","non-dropping-particle":"","parse-names":false,"suffix":""}],"container-title":"Procedia - Social and Behavioral Sciences","id":"ITEM-2","issued":{"date-parts":[["2011","1","1"]]},"page":"745-753","publisher":"Elsevier","title":"The impact of e-commerce on international trade and employment","type":"article-journal","volume":"24"},"uris":["http://www.mendeley.com/documents/?uuid=e50f0eb9-15d9-3408-85b8-73c417f9a1a7"]}],"mendeley":{"formattedCitation":"[2; 76]","plainTextFormattedCitation":"[2; 76]","previouslyFormattedCitation":"[2; 76]"},"properties":{"noteIndex":0},"schema":"https://github.com/citation-style-language/schema/raw/master/csl-citation.json"}</w:instrText>
      </w:r>
      <w:r w:rsidR="000A3492" w:rsidRPr="00B31BEB">
        <w:rPr>
          <w:rStyle w:val="FootnoteReference"/>
          <w:noProof/>
        </w:rPr>
        <w:fldChar w:fldCharType="separate"/>
      </w:r>
      <w:r w:rsidR="00F8005E" w:rsidRPr="00B31BEB">
        <w:rPr>
          <w:noProof/>
        </w:rPr>
        <w:t>[2; 76]</w:t>
      </w:r>
      <w:r w:rsidR="000A3492" w:rsidRPr="00B31BEB">
        <w:rPr>
          <w:rStyle w:val="FootnoteReference"/>
          <w:noProof/>
        </w:rPr>
        <w:fldChar w:fldCharType="end"/>
      </w:r>
      <w:r w:rsidR="00102E98" w:rsidRPr="00B31BEB">
        <w:rPr>
          <w:noProof/>
        </w:rPr>
        <w:t xml:space="preserve"> </w:t>
      </w:r>
      <w:r w:rsidRPr="00B31BEB">
        <w:rPr>
          <w:noProof/>
        </w:rPr>
        <w:t xml:space="preserve">effects of e-commerce. A lesser researched, yet central, aspect of e-customers’ behavior is website choices. Closely associated with </w:t>
      </w:r>
      <w:r w:rsidRPr="00B31BEB">
        <w:rPr>
          <w:noProof/>
        </w:rPr>
        <w:lastRenderedPageBreak/>
        <w:t>website choices is customers’ attribute non-attendance (ANA) behavior</w:t>
      </w:r>
      <w:r w:rsidR="002A188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load","type":"article-journal","volume":"21"},"uris":["http://www.mendeley.com/documents/?uuid=b7423615-1ecd-4393-8411-84809f10fd5e"]},{"id":"ITEM-2","itemData":{"DOI":"10.1002/hec.1369","ISSN":"10579230","abstract":"Stated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responses","type":"article-journal","volume":"18"},"uris":["http://www.mendeley.com/documents/?uuid=65437a29-9a07-4887-a3c8-09ffb7ec08dc"]}],"mendeley":{"formattedCitation":"[26; 68]","plainTextFormattedCitation":"[26; 68]","previouslyFormattedCitation":"[26; 68]"},"properties":{"noteIndex":0},"schema":"https://github.com/citation-style-language/schema/raw/master/csl-citation.json"}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68]</w:t>
      </w:r>
      <w:r w:rsidR="000A3492" w:rsidRPr="00B31BEB">
        <w:rPr>
          <w:rStyle w:val="FootnoteReference"/>
          <w:noProof/>
        </w:rPr>
        <w:fldChar w:fldCharType="end"/>
      </w:r>
      <w:r w:rsidRPr="00B31BEB">
        <w:rPr>
          <w:noProof/>
        </w:rPr>
        <w:t xml:space="preserve">. While ANA has been extensively studied in choice experiments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load","type":"article-journal","volume":"21"},"uris":["http://www.mendeley.com/documents/?uuid=037b3f36-20c7-4572-981f-02d53b2bf709"]},{"id":"ITEM-2","itemData":{"DOI":"10.1002/hec.1369","ISSN":"10579230","abstract":"Stated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responses","type":"article-journal","volume":"18"},"uris":["http://www.mendeley.com/documents/?uuid=65437a29-9a07-4887-a3c8-09ffb7ec08dc"]},{"id":"ITEM-3","itemData":{"DOI":"10.1093/erae/jbp012","ISBN":"0165-1587","ISSN":"01651587","PMID":"20093261227","abstract":"Non-market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Economics","id":"ITEM-3","issue":"2","issued":{"date-parts":[["2009"]]},"page":"151-174","title":"Modelling attribute non-attendance in choice experiments for rural landscape valuation","type":"article-journal","volume":"36"},"uris":["http://www.mendeley.com/documents/?uuid=439f07bd-ddbc-47e0-aa99-5a776535bf11"]},{"id":"ITEM-4","itemData":{"DOI":"10.1016/j.econlet.2010.11.033","ISSN":"01651765","abstract":"This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Letters","id":"ITEM-4","issue":"3","issued":{"date-parts":[["2011"]]},"page":"203-205","title":"A discrete choice model with endogenous attribute attendance","type":"article-journal","volume":"110"},"uris":["http://www.mendeley.com/documents/?uuid=5662ee3c-a6f3-42b2-983b-10d425b6ed72"]},{"id":"ITEM-5","itemData":{"DOI":"10.1002/hec.2824","ISSN":"10579230","abstract":"A growing literature, mainly from transport and environment economics, has started to explore whether respondents violate some of the axioms about individuals' preferences in Discrete Choice Experiments (DCEs) and use simple strategies to make their choices. One of these strategies, termed attribute non-attendance (ANA), consists in ignoring one or more attributes. Using data from a DCE administered to healthcare providers in Ghana to evaluate their potential resistance to changes in clinical guidelines, this study illustrates how latent class models can be used in a step-wise approach to account for all possible ANA strategies used by respondents and explore the consequences of such behaviours. Results show that less than 3% of respondents considered all attributes when choosing between the two hypothetical scenarios proposed, with a majority looking at only one or two attributes. Accounting for ANA strategies improved the goodness-of-fit of the model and affected the magnitude of some of the coefficient and willingness-to-pay estimates. However, there was no difference in the predicted probabilities of the model taking into account ANA and the standard approach. Although the latter result is reassuring about the ability of DCEs to produce unbiased policy guidance, it should be confirmed by other studies. Copyright © 2012 John Wiley &amp; Sons, Ltd. Copyright © 2012 John Wiley &amp; Sons, Ltd.","author":[{"dropping-particle":"","family":"Lagarde","given":"Mylene","non-dropping-particle":"","parse-names":false,"suffix":""}],"container-title":"Health Economics (United Kingdom)","id":"ITEM-5","issue":"5","issued":{"date-parts":[["2013"]]},"page":"554-567","title":"Investigating attribute non-attendance and its consequences in choice experiments with latent class models","type":"article-journal","volume":"22"},"uris":["http://www.mendeley.com/documents/?uuid=f8b1c0e1-67f5-4381-9a28-67460e0d1b19"]},{"id":"ITEM-6","itemData":{"DOI":"10.1016/j.jocm.2016.09.003","ISSN":"17555345","abstract":"We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Modelling","id":"ITEM-6","issued":{"date-parts":[["2017"]]},"page":"36-50","title":"Disentangling the influence of knowledge on attribute non-attendance","type":"article-journal","volume":"24"},"uris":["http://www.mendeley.com/documents/?uuid=95a72572-5167-4e61-ab9d-44982c933405"]}],"mendeley":{"formattedCitation":"[26; 31; 40; 68; 70; 71]","plainTextFormattedCitation":"[26; 31; 40; 68; 70; 71]","previouslyFormattedCitation":"[26; 31; 40; 68; 70;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31; 40; 68; 70; 71]</w:t>
      </w:r>
      <w:r w:rsidR="000A3492" w:rsidRPr="00B31BEB">
        <w:rPr>
          <w:rStyle w:val="FootnoteReference"/>
          <w:noProof/>
        </w:rPr>
        <w:fldChar w:fldCharType="end"/>
      </w:r>
      <w:r w:rsidRPr="00B31BEB">
        <w:rPr>
          <w:noProof/>
        </w:rPr>
        <w:t>, there is a dearth in its application in e-commerce.</w:t>
      </w:r>
      <w:r w:rsidR="00E1545E" w:rsidRPr="00B31BEB">
        <w:rPr>
          <w:noProof/>
        </w:rPr>
        <w:t xml:space="preserve"> </w:t>
      </w:r>
    </w:p>
    <w:p w:rsidR="000C1015" w:rsidRPr="00B31BEB" w:rsidRDefault="00673F19" w:rsidP="00620A89">
      <w:pPr>
        <w:tabs>
          <w:tab w:val="center" w:pos="4800"/>
          <w:tab w:val="right" w:pos="9500"/>
        </w:tabs>
        <w:ind w:firstLine="720"/>
        <w:rPr>
          <w:noProof/>
        </w:rPr>
      </w:pPr>
      <w:r w:rsidRPr="00B31BEB">
        <w:rPr>
          <w:noProof/>
        </w:rPr>
        <w:t>Modeling</w:t>
      </w:r>
      <w:r w:rsidR="00E1545E" w:rsidRPr="00B31BEB">
        <w:rPr>
          <w:noProof/>
        </w:rPr>
        <w:t xml:space="preserve"> ANA in webs</w:t>
      </w:r>
      <w:r w:rsidRPr="00B31BEB">
        <w:rPr>
          <w:noProof/>
        </w:rPr>
        <w:t>ite choices is an important step</w:t>
      </w:r>
      <w:r w:rsidR="005D09A4" w:rsidRPr="00B31BEB">
        <w:rPr>
          <w:noProof/>
        </w:rPr>
        <w:t xml:space="preserve"> since </w:t>
      </w:r>
      <w:r w:rsidR="001A62EF" w:rsidRPr="00B31BEB">
        <w:rPr>
          <w:noProof/>
        </w:rPr>
        <w:t xml:space="preserve">ignoring </w:t>
      </w:r>
      <w:r w:rsidR="005D09A4" w:rsidRPr="00B31BEB">
        <w:rPr>
          <w:noProof/>
        </w:rPr>
        <w:t>its existe</w:t>
      </w:r>
      <w:r w:rsidR="00E220C5" w:rsidRPr="00B31BEB">
        <w:rPr>
          <w:noProof/>
        </w:rPr>
        <w:t>nce</w:t>
      </w:r>
      <w:r w:rsidRPr="00B31BEB">
        <w:rPr>
          <w:noProof/>
        </w:rPr>
        <w:t xml:space="preserve"> lead</w:t>
      </w:r>
      <w:r w:rsidR="00E220C5" w:rsidRPr="00B31BEB">
        <w:rPr>
          <w:noProof/>
        </w:rPr>
        <w:t>s</w:t>
      </w:r>
      <w:r w:rsidRPr="00B31BEB">
        <w:rPr>
          <w:noProof/>
        </w:rPr>
        <w:t xml:space="preserve"> to biased coefficients and thus biased policy decisions.</w:t>
      </w:r>
      <w:r w:rsidR="00F924A9" w:rsidRPr="00B31BEB">
        <w:rPr>
          <w:noProof/>
        </w:rPr>
        <w:t xml:space="preserve"> </w:t>
      </w:r>
      <w:r w:rsidR="00983659" w:rsidRPr="00B31BEB">
        <w:rPr>
          <w:noProof/>
        </w:rPr>
        <w:t xml:space="preserve">Available studies present ANA as a </w:t>
      </w:r>
      <w:r w:rsidR="00983659" w:rsidRPr="00B31BEB">
        <w:rPr>
          <w:i/>
          <w:noProof/>
        </w:rPr>
        <w:t xml:space="preserve">static </w:t>
      </w:r>
      <w:r w:rsidR="00983659" w:rsidRPr="00B31BEB">
        <w:rPr>
          <w:noProof/>
        </w:rPr>
        <w:t>process</w:t>
      </w:r>
      <w:r w:rsidR="00071DC0" w:rsidRPr="00B31BEB">
        <w:rPr>
          <w:noProof/>
        </w:rPr>
        <w:t xml:space="preserve">. This implies that choice-makers’ ANA behavior remains the same throughout the experiment. </w:t>
      </w:r>
      <w:r w:rsidR="00B11C92" w:rsidRPr="00B31BEB">
        <w:rPr>
          <w:noProof/>
        </w:rPr>
        <w:t xml:space="preserve">However, </w:t>
      </w:r>
      <w:r w:rsidR="00FB34F0" w:rsidRPr="00B31BEB">
        <w:rPr>
          <w:noProof/>
        </w:rPr>
        <w:t>considering</w:t>
      </w:r>
      <w:r w:rsidR="00B11C92" w:rsidRPr="00B31BEB">
        <w:rPr>
          <w:noProof/>
        </w:rPr>
        <w:t xml:space="preserve"> changes in choice-makers’ behavior when information on key attributes is provided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00B11C92" w:rsidRPr="00B31BEB">
        <w:rPr>
          <w:noProof/>
        </w:rPr>
        <w:t xml:space="preserve"> </w:t>
      </w:r>
      <w:r w:rsidR="00E95714" w:rsidRPr="00B31BEB">
        <w:rPr>
          <w:noProof/>
        </w:rPr>
        <w:t>and</w:t>
      </w:r>
      <w:r w:rsidR="00B11C92" w:rsidRPr="00B31BEB">
        <w:rPr>
          <w:noProof/>
        </w:rPr>
        <w:t xml:space="preserve"> e-consumers’ </w:t>
      </w:r>
      <w:r w:rsidR="00B11C92" w:rsidRPr="00B31BEB">
        <w:rPr>
          <w:i/>
          <w:noProof/>
        </w:rPr>
        <w:t xml:space="preserve">window-shopping </w:t>
      </w:r>
      <w:r w:rsidR="00B11C92" w:rsidRPr="00B31BEB">
        <w:rPr>
          <w:noProof/>
        </w:rPr>
        <w:t xml:space="preserve">for webshops that most satisfy their preferences </w:t>
      </w:r>
      <w:r w:rsidR="000A3492" w:rsidRPr="00B31BEB">
        <w:rPr>
          <w:rStyle w:val="FootnoteReference"/>
          <w:noProof/>
        </w:rPr>
        <w:fldChar w:fldCharType="begin" w:fldLock="1"/>
      </w:r>
      <w:r w:rsidR="00E23587" w:rsidRPr="00B31BEB">
        <w:rPr>
          <w:noProof/>
        </w:rPr>
        <w:instrText>ADDIN CSL_CITATION {"citationItems":[{"id":"ITEM-1","itemData":{"DOI":"10.1080/10864415.2003.11044271","ISSN":"10864415","abstract":"This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Commerce","id":"ITEM-1","issue":"3","issued":{"date-parts":[["2003"]]},"page":"39-63","title":"A Study of consumer switching behavior across internet portal web sites","type":"article-journal","volume":"7"},"uris":["http://www.mendeley.com/documents/?uuid=1a039dcb-290c-446a-a510-7b3d3361f99d"]},{"id":"ITEM-2","itemData":{"DOI":"10.1016/j.jretai.2017.04.001","ISSN":"00224359","abstract":"Low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Retailing","id":"ITEM-2","issue":"3","issued":{"date-parts":[["2017"]]},"page":"253-265","publisher":"Elsevier Inc","title":"Online Purchase Paths and Conversion Dynamics across Multiple Websites","type":"article-journal","volume":"93"},"uris":["http://www.mendeley.com/documents/?uuid=3c7fb30d-0e34-4b90-9257-b376f40a8f9b"]}],"mendeley":{"formattedCitation":"[41; 61]","plainTextFormattedCitation":"[41; 61]","previouslyFormattedCitation":"[41; 61]"},"properties":{"noteIndex":0},"schema":"https://github.com/citation-style-language/schema/raw/master/csl-citation.json"}</w:instrText>
      </w:r>
      <w:r w:rsidR="000A3492" w:rsidRPr="00B31BEB">
        <w:rPr>
          <w:rStyle w:val="FootnoteReference"/>
          <w:noProof/>
        </w:rPr>
        <w:fldChar w:fldCharType="separate"/>
      </w:r>
      <w:r w:rsidR="00F8005E" w:rsidRPr="00B31BEB">
        <w:rPr>
          <w:noProof/>
        </w:rPr>
        <w:t>[41; 61]</w:t>
      </w:r>
      <w:r w:rsidR="000A3492" w:rsidRPr="00B31BEB">
        <w:rPr>
          <w:rStyle w:val="FootnoteReference"/>
          <w:noProof/>
        </w:rPr>
        <w:fldChar w:fldCharType="end"/>
      </w:r>
      <w:r w:rsidR="00B11C92" w:rsidRPr="00B31BEB">
        <w:rPr>
          <w:noProof/>
        </w:rPr>
        <w:t xml:space="preserve">, it is </w:t>
      </w:r>
      <w:r w:rsidR="00C24E50" w:rsidRPr="00B31BEB">
        <w:rPr>
          <w:noProof/>
        </w:rPr>
        <w:t>p</w:t>
      </w:r>
      <w:r w:rsidR="00EE6363" w:rsidRPr="00B31BEB">
        <w:rPr>
          <w:noProof/>
        </w:rPr>
        <w:t>ossible</w:t>
      </w:r>
      <w:r w:rsidR="00371359" w:rsidRPr="00B31BEB">
        <w:rPr>
          <w:noProof/>
        </w:rPr>
        <w:t xml:space="preserve"> </w:t>
      </w:r>
      <w:r w:rsidR="00B11C92" w:rsidRPr="00B31BEB">
        <w:rPr>
          <w:noProof/>
        </w:rPr>
        <w:t>that these behavioral dynamics are accompanied by changes in attention towards key attributes (</w:t>
      </w:r>
      <w:r w:rsidR="00130B76" w:rsidRPr="00B31BEB">
        <w:rPr>
          <w:noProof/>
        </w:rPr>
        <w:t xml:space="preserve">i.e. </w:t>
      </w:r>
      <w:r w:rsidR="00B11C92" w:rsidRPr="00B31BEB">
        <w:rPr>
          <w:noProof/>
        </w:rPr>
        <w:t>changes in ANA</w:t>
      </w:r>
      <w:r w:rsidR="00FD642C" w:rsidRPr="00B31BEB">
        <w:rPr>
          <w:noProof/>
        </w:rPr>
        <w:t xml:space="preserve"> behavior</w:t>
      </w:r>
      <w:r w:rsidR="00B11C92" w:rsidRPr="00B31BEB">
        <w:rPr>
          <w:noProof/>
        </w:rPr>
        <w:t xml:space="preserve">). </w:t>
      </w:r>
      <w:r w:rsidR="0046298E" w:rsidRPr="00B31BEB">
        <w:rPr>
          <w:noProof/>
        </w:rPr>
        <w:t>We explore and model this extension of e-consumers’ ANA behavior when information on key attributes is provided.</w:t>
      </w:r>
    </w:p>
    <w:p w:rsidR="008669FD" w:rsidRPr="00B31BEB" w:rsidRDefault="001D6DA8" w:rsidP="00620A89">
      <w:pPr>
        <w:tabs>
          <w:tab w:val="center" w:pos="4800"/>
          <w:tab w:val="right" w:pos="9500"/>
        </w:tabs>
        <w:ind w:firstLine="720"/>
        <w:rPr>
          <w:noProof/>
        </w:rPr>
      </w:pPr>
      <w:r w:rsidRPr="00B31BEB">
        <w:rPr>
          <w:noProof/>
        </w:rPr>
        <w:t xml:space="preserve">Another </w:t>
      </w:r>
      <w:r w:rsidR="001014E1" w:rsidRPr="00B31BEB">
        <w:rPr>
          <w:noProof/>
        </w:rPr>
        <w:t xml:space="preserve">aspect </w:t>
      </w:r>
      <w:r w:rsidR="00DF798E" w:rsidRPr="00B31BEB">
        <w:rPr>
          <w:noProof/>
        </w:rPr>
        <w:t xml:space="preserve">related </w:t>
      </w:r>
      <w:r w:rsidRPr="00B31BEB">
        <w:rPr>
          <w:noProof/>
        </w:rPr>
        <w:t>to website choices is c</w:t>
      </w:r>
      <w:r w:rsidR="00F924A9" w:rsidRPr="00B31BEB">
        <w:rPr>
          <w:noProof/>
        </w:rPr>
        <w:t>onsumers’ information</w:t>
      </w:r>
      <w:r w:rsidR="00E61DD5" w:rsidRPr="00B31BEB">
        <w:rPr>
          <w:noProof/>
        </w:rPr>
        <w:t xml:space="preserve">. </w:t>
      </w:r>
      <w:r w:rsidR="00354211" w:rsidRPr="00B31BEB">
        <w:rPr>
          <w:noProof/>
        </w:rPr>
        <w:t xml:space="preserve">Information is vital in website choices since many prospective customers are not yet comfortable </w:t>
      </w:r>
      <w:r w:rsidR="006E7622" w:rsidRPr="00B31BEB">
        <w:rPr>
          <w:noProof/>
        </w:rPr>
        <w:t>engaging in</w:t>
      </w:r>
      <w:r w:rsidR="00354211" w:rsidRPr="00B31BEB">
        <w:rPr>
          <w:noProof/>
        </w:rPr>
        <w:t xml:space="preserve"> online</w:t>
      </w:r>
      <w:r w:rsidR="006E7622" w:rsidRPr="00B31BEB">
        <w:rPr>
          <w:noProof/>
        </w:rPr>
        <w:t xml:space="preserve"> purchases</w:t>
      </w:r>
      <w:r w:rsidR="00354211" w:rsidRPr="00B31BEB">
        <w:rPr>
          <w:noProof/>
        </w:rPr>
        <w:t>.</w:t>
      </w:r>
      <w:r w:rsidR="00B73CE4" w:rsidRPr="00B31BEB">
        <w:rPr>
          <w:noProof/>
        </w:rPr>
        <w:t xml:space="preserve"> The discomfort </w:t>
      </w:r>
      <w:r w:rsidR="00354211" w:rsidRPr="00B31BEB">
        <w:rPr>
          <w:noProof/>
        </w:rPr>
        <w:t>is mainly due to safety</w:t>
      </w:r>
      <w:r w:rsidR="001C3F41" w:rsidRPr="00B31BEB">
        <w:rPr>
          <w:noProof/>
        </w:rPr>
        <w:t>, reliability</w:t>
      </w:r>
      <w:r w:rsidR="00354211" w:rsidRPr="00B31BEB">
        <w:rPr>
          <w:noProof/>
        </w:rPr>
        <w:t xml:space="preserve"> and</w:t>
      </w:r>
      <w:r w:rsidR="00F924A9" w:rsidRPr="00B31BEB">
        <w:rPr>
          <w:noProof/>
        </w:rPr>
        <w:t xml:space="preserve"> </w:t>
      </w:r>
      <w:r w:rsidR="00354211" w:rsidRPr="00B31BEB">
        <w:rPr>
          <w:noProof/>
        </w:rPr>
        <w:t>privacy</w:t>
      </w:r>
      <w:r w:rsidR="007E27E6" w:rsidRPr="00B31BEB">
        <w:rPr>
          <w:noProof/>
        </w:rPr>
        <w:t xml:space="preserve"> concerns</w:t>
      </w:r>
      <w:r w:rsidR="00354211" w:rsidRPr="00B31BEB">
        <w:rPr>
          <w:noProof/>
        </w:rPr>
        <w:t xml:space="preserve"> when buying online. </w:t>
      </w:r>
      <w:r w:rsidR="00B73CE4" w:rsidRPr="00B31BEB">
        <w:rPr>
          <w:noProof/>
        </w:rPr>
        <w:t>Some of these</w:t>
      </w:r>
      <w:r w:rsidR="00B23328" w:rsidRPr="00B31BEB">
        <w:rPr>
          <w:noProof/>
        </w:rPr>
        <w:t xml:space="preserve"> uncertaint</w:t>
      </w:r>
      <w:r w:rsidR="00B73CE4" w:rsidRPr="00B31BEB">
        <w:rPr>
          <w:noProof/>
        </w:rPr>
        <w:t xml:space="preserve">ies result from </w:t>
      </w:r>
      <w:r w:rsidR="00B60509" w:rsidRPr="00B31BEB">
        <w:rPr>
          <w:noProof/>
        </w:rPr>
        <w:t>limited</w:t>
      </w:r>
      <w:r w:rsidR="00B23328" w:rsidRPr="00B31BEB">
        <w:rPr>
          <w:noProof/>
        </w:rPr>
        <w:t xml:space="preserve"> understanding of how the e-market operates</w:t>
      </w:r>
      <w:r w:rsidR="00B60509" w:rsidRPr="00B31BEB">
        <w:rPr>
          <w:noProof/>
        </w:rPr>
        <w:t xml:space="preserve"> and unawareness of e-retailers</w:t>
      </w:r>
      <w:r w:rsidR="00382364" w:rsidRPr="00B31BEB">
        <w:rPr>
          <w:noProof/>
        </w:rPr>
        <w:t>’</w:t>
      </w:r>
      <w:r w:rsidR="00B60509" w:rsidRPr="00B31BEB">
        <w:rPr>
          <w:noProof/>
        </w:rPr>
        <w:t xml:space="preserve"> efforts to ensure safety and privacy</w:t>
      </w:r>
      <w:r w:rsidR="007D3412" w:rsidRPr="00B31BEB">
        <w:rPr>
          <w:noProof/>
        </w:rPr>
        <w:t xml:space="preserve"> when shopping on their websites</w:t>
      </w:r>
      <w:r w:rsidR="00B23328" w:rsidRPr="00B31BEB">
        <w:rPr>
          <w:noProof/>
        </w:rPr>
        <w:t xml:space="preserve">. </w:t>
      </w:r>
      <w:r w:rsidR="004073AE" w:rsidRPr="00B31BEB">
        <w:rPr>
          <w:noProof/>
        </w:rPr>
        <w:t xml:space="preserve">Information </w:t>
      </w:r>
      <w:r w:rsidR="00F924A9" w:rsidRPr="00B31BEB">
        <w:rPr>
          <w:noProof/>
        </w:rPr>
        <w:t>can</w:t>
      </w:r>
      <w:r w:rsidR="000F1B81" w:rsidRPr="00B31BEB">
        <w:rPr>
          <w:noProof/>
        </w:rPr>
        <w:t xml:space="preserve"> also</w:t>
      </w:r>
      <w:r w:rsidR="00F924A9" w:rsidRPr="00B31BEB">
        <w:rPr>
          <w:noProof/>
        </w:rPr>
        <w:t xml:space="preserve"> </w:t>
      </w:r>
      <w:r w:rsidR="005561D0" w:rsidRPr="00B31BEB">
        <w:rPr>
          <w:noProof/>
        </w:rPr>
        <w:t xml:space="preserve">influence </w:t>
      </w:r>
      <w:r w:rsidR="00F452DA" w:rsidRPr="00B31BEB">
        <w:rPr>
          <w:noProof/>
        </w:rPr>
        <w:t>e-</w:t>
      </w:r>
      <w:r w:rsidR="004073AE" w:rsidRPr="00B31BEB">
        <w:rPr>
          <w:noProof/>
        </w:rPr>
        <w:t xml:space="preserve">consumers’ </w:t>
      </w:r>
      <w:r w:rsidR="00F924A9" w:rsidRPr="00B31BEB">
        <w:rPr>
          <w:noProof/>
        </w:rPr>
        <w:t xml:space="preserve">behavior </w:t>
      </w:r>
      <w:r w:rsidR="00E63FF6" w:rsidRPr="00B31BEB">
        <w:rPr>
          <w:noProof/>
        </w:rPr>
        <w:t xml:space="preserve">in </w:t>
      </w:r>
      <w:r w:rsidR="00240BCD" w:rsidRPr="00B31BEB">
        <w:rPr>
          <w:noProof/>
        </w:rPr>
        <w:t>other</w:t>
      </w:r>
      <w:r w:rsidR="00E63FF6" w:rsidRPr="00B31BEB">
        <w:rPr>
          <w:noProof/>
        </w:rPr>
        <w:t xml:space="preserve"> ways</w:t>
      </w:r>
      <w:r w:rsidR="00F924A9" w:rsidRPr="00B31BEB">
        <w:rPr>
          <w:noProof/>
        </w:rPr>
        <w:t xml:space="preserve">. </w:t>
      </w:r>
      <w:r w:rsidR="008E3EE9" w:rsidRPr="00B31BEB">
        <w:rPr>
          <w:noProof/>
        </w:rPr>
        <w:t>For example</w:t>
      </w:r>
      <w:r w:rsidR="00262F45" w:rsidRPr="00B31BEB">
        <w:rPr>
          <w:noProof/>
        </w:rPr>
        <w:t xml:space="preserve">, </w:t>
      </w:r>
      <w:r w:rsidR="00B51F2E" w:rsidRPr="00B31BEB">
        <w:rPr>
          <w:noProof/>
        </w:rPr>
        <w:t>consumers’</w:t>
      </w:r>
      <w:r w:rsidR="00353604" w:rsidRPr="00B31BEB">
        <w:rPr>
          <w:noProof/>
        </w:rPr>
        <w:t xml:space="preserve"> </w:t>
      </w:r>
      <w:r w:rsidR="0077452F" w:rsidRPr="00B31BEB">
        <w:rPr>
          <w:noProof/>
        </w:rPr>
        <w:t>willingness to accept online merchants</w:t>
      </w:r>
      <w:r w:rsidR="00F16731" w:rsidRPr="00B31BEB">
        <w:rPr>
          <w:noProof/>
        </w:rPr>
        <w:t xml:space="preserve"> </w:t>
      </w:r>
      <w:r w:rsidR="002435F5" w:rsidRPr="00B31BEB">
        <w:rPr>
          <w:noProof/>
        </w:rPr>
        <w:t>has been</w:t>
      </w:r>
      <w:r w:rsidR="00262F45" w:rsidRPr="00B31BEB">
        <w:rPr>
          <w:noProof/>
        </w:rPr>
        <w:t xml:space="preserve"> reported to be </w:t>
      </w:r>
      <w:r w:rsidR="00F16731" w:rsidRPr="00B31BEB">
        <w:rPr>
          <w:noProof/>
        </w:rPr>
        <w:t>determined by</w:t>
      </w:r>
      <w:r w:rsidR="00003E61" w:rsidRPr="00B31BEB">
        <w:rPr>
          <w:noProof/>
        </w:rPr>
        <w:t xml:space="preserve"> </w:t>
      </w:r>
      <w:r w:rsidR="00AC693B" w:rsidRPr="00B31BEB">
        <w:rPr>
          <w:noProof/>
        </w:rPr>
        <w:t>their</w:t>
      </w:r>
      <w:r w:rsidR="00F16731" w:rsidRPr="00B31BEB">
        <w:rPr>
          <w:noProof/>
        </w:rPr>
        <w:t xml:space="preserve"> </w:t>
      </w:r>
      <w:r w:rsidR="009274E9" w:rsidRPr="00B31BEB">
        <w:rPr>
          <w:noProof/>
        </w:rPr>
        <w:t xml:space="preserve">information </w:t>
      </w:r>
      <w:r w:rsidR="00D25634" w:rsidRPr="00B31BEB">
        <w:rPr>
          <w:noProof/>
        </w:rPr>
        <w:t>about</w:t>
      </w:r>
      <w:r w:rsidR="00F16731" w:rsidRPr="00B31BEB">
        <w:rPr>
          <w:noProof/>
        </w:rPr>
        <w:t xml:space="preserve"> </w:t>
      </w:r>
      <w:r w:rsidR="006716C3" w:rsidRPr="00B31BEB">
        <w:rPr>
          <w:noProof/>
        </w:rPr>
        <w:t xml:space="preserve">the </w:t>
      </w:r>
      <w:r w:rsidR="00F16731" w:rsidRPr="00B31BEB">
        <w:rPr>
          <w:noProof/>
        </w:rPr>
        <w:t>online shopping activities</w:t>
      </w:r>
      <w:r w:rsidR="009327E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{"citationItems":[{"id":"ITEM-1","itemData":{"DOI":"10.4304/jcp.4.1.11-18","ISSN":"1796203X","abstract":"Lack of consumer trust is a critical obstacle to the success of online retailing. Knowledge is one important factor influencing the level of trust. However, there is no consensus on the relationship between knowledge and trust. Some studies argued a negative relationship between knowledge and trust while the others argued positive. This study discussed the relationship among knowledge, trust in online shopping, and the intention to go shopping online. The results revealed that knowledge is positively associated with trust and online shopping activities. In other words, people who know more about online shopping will trust and go shopping more online. Online retailing practice should make the public knowledgeable about online transaction security mechanisms to build users' trust in online shopping. © 2009 Academy Publisher.","author":[{"dropping-particle":"","family":"Wang","given":"Chih Chien","non-dropping-particle":"","parse-names":false,"suffix":""},{"dropping-particle":"","family":"Chen","given":"Chun An","non-dropping-particle":"","parse-names":false,"suffix":""},{"dropping-particle":"","family":"Jiang","given":"Jui Chin","non-dropping-particle":"","parse-names":false,"suffix":""}],"container-title":"Journal of Computers","id":"ITEM-1","issue":"1","issued":{"date-parts":[["2009"]]},"page":"11-18","title":"The impact of knowledge and trust on E-consumers' online shopping activities: An empirical study","type":"article-journal","volume":"4"},"uris":["http://www.mendeley.com/documents/?uuid=d35520cc-bf3c-4cc2-ac7e-786e88548a94"]},{"id":"ITEM-2","itemData":{"DOI":"10.1016/j.jbusres.2009.01.023","ISSN":"01482963","abstract":"Prior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Research","id":"ITEM-2","issue":"9-10","issued":{"date-parts":[["2010"]]},"page":"1007-1014","title":"Website attributes that increase consumer purchase intention: A conjoint analysis","type":"article-journal","volume":"63"},"uris":["http://www.mendeley.com/documents/?uuid=b837e457-dbc6-4d03-b986-598e17c96db3"]},{"id":"ITEM-3","itemData":{"DOI":"10.1016/j.compag.2018.05.032","ISSN":"01681699","abstract":"The internet is playing an increasing role in the development of rural areas. Farmers in particular, can benefit from new opportunities concerning farm management decisions. Hence, the goal of this study was to investigate German farmers’ willingness to accept (WTA) e-commerce. Primary data of 165 farmers was collected by conducting a discrete choice experiment about the purchase of crop protection products. WTA estimates show that farmers are willing to switch to an online merchant if they are offered a significantly lower price. However, word-of-mouth-reputation and consultation offered via traditional media do not influence farmers’ WTA for an online merchant. In contrast, delivery time significantly affects farmers’ WTA for inputs purchased online. We also show that farmers’ risk attitudes, prior online shopping experiences, and education are influential factors for the WTA for an online merchant. Surprisingly, age and farm size do not impact farmers’ WTA. Since e-commerce has not been widely established in agriculture yet, these results are of great practical importance. The findings of this study demonstrate that online merchants of agricultural inputs should focus on trust, service quality and timely delivery. Furthermore, it might be useful to introduce farmers to e-commerce during their education.","author":[{"dropping-particle":"","family":"Fecke","given":"Wilm","non-dropping-particle":"","parse-names":false,"suffix":""},{"dropping-particle":"","family":"Danne","given":"Michael","non-dropping-particle":"","parse-names":false,"suffix":""},{"dropping-particle":"","family":"Musshoff","given":"Oliver","non-dropping-particle":"","parse-names":false,"suffix":""}],"container-title":"Computers and Electronics in Agriculture","id":"ITEM-3","issue":"C","issued":{"date-parts":[["2018"]]},"page":"126-135","publisher":"Elsevier B.V","title":"E-commerce in agriculture – The case of crop protection product purchases in a discrete choice experiment","type":"article-journal","volume":"151"},"uris":["http://www.mendeley.com/documents/?uuid=fc9eec15-8c0f-4bac-95a1-d9760c35c0ae"]}],"mendeley":{"formattedCitation":"[7; 22; 83]","plainTextFormattedCitation":"[7; 22; 83]","previouslyFormattedCitation":"[7; 22; 83]"},"properties":{"noteIndex":0},"schema":"https://github.com/citation-style-language/schema/raw/master/csl-citation.json"}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22; 83]</w:t>
      </w:r>
      <w:r w:rsidR="000A3492" w:rsidRPr="00B31BEB">
        <w:rPr>
          <w:rStyle w:val="FootnoteReference"/>
          <w:noProof/>
        </w:rPr>
        <w:fldChar w:fldCharType="end"/>
      </w:r>
      <w:r w:rsidR="00F16731" w:rsidRPr="00B31BEB">
        <w:rPr>
          <w:noProof/>
        </w:rPr>
        <w:t>.</w:t>
      </w:r>
      <w:r w:rsidR="0077452F" w:rsidRPr="00B31BEB">
        <w:rPr>
          <w:noProof/>
        </w:rPr>
        <w:t xml:space="preserve"> </w:t>
      </w:r>
      <w:r w:rsidR="00A8157D" w:rsidRPr="00B31BEB">
        <w:rPr>
          <w:noProof/>
        </w:rPr>
        <w:t xml:space="preserve">Studies </w:t>
      </w:r>
      <w:r w:rsidR="00D60FE0" w:rsidRPr="00B31BEB">
        <w:rPr>
          <w:noProof/>
        </w:rPr>
        <w:t xml:space="preserve">in other choice making contexts </w:t>
      </w:r>
      <w:r w:rsidR="00A8157D" w:rsidRPr="00B31BEB">
        <w:rPr>
          <w:noProof/>
        </w:rPr>
        <w:t xml:space="preserve">also </w:t>
      </w:r>
      <w:r w:rsidR="00D60FE0" w:rsidRPr="00B31BEB">
        <w:rPr>
          <w:noProof/>
        </w:rPr>
        <w:t>found</w:t>
      </w:r>
      <w:r w:rsidR="00A8157D" w:rsidRPr="00B31BEB">
        <w:rPr>
          <w:noProof/>
        </w:rPr>
        <w:t xml:space="preserve"> significant effects of information on choices</w:t>
      </w:r>
      <w:r w:rsidR="000A47AC" w:rsidRPr="00B31BEB">
        <w:rPr>
          <w:noProof/>
        </w:rPr>
        <w:t xml:space="preserve"> through changes in their preferences</w:t>
      </w:r>
      <w:r w:rsidR="0022037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products","type":"article-journal","volume":"40"},"uris":["http://www.mendeley.com/documents/?uuid=65353283-cbff-49f5-970f-84f9820b38a2"]},{"id":"ITEM-2","itemData":{"DOI":"10.1287/isre.2014.0521","ISSN":"15265536","abstract":"Consumer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Research","id":"ITEM-2","issue":"2","issued":{"date-parts":[["2014"]]},"page":"345-363","title":"Consumer informedness and firm information strategy","type":"article-journal","volume":"25"},"uris":["http://www.mendeley.com/documents/?uuid=ac86c383-b144-4c72-ab96-c66418fd198e"]}],"mendeley":{"formattedCitation":"[43; 67]","plainTextFormattedCitation":"[43; 67]","previouslyFormattedCitation":"[43;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[43; 67]</w:t>
      </w:r>
      <w:r w:rsidR="000A3492" w:rsidRPr="00B31BEB">
        <w:rPr>
          <w:rStyle w:val="FootnoteReference"/>
          <w:noProof/>
        </w:rPr>
        <w:fldChar w:fldCharType="end"/>
      </w:r>
      <w:r w:rsidR="00A8157D" w:rsidRPr="00B31BEB">
        <w:rPr>
          <w:noProof/>
        </w:rPr>
        <w:t xml:space="preserve">, </w:t>
      </w:r>
      <w:r w:rsidR="00612A4A" w:rsidRPr="00B31BEB">
        <w:rPr>
          <w:noProof/>
        </w:rPr>
        <w:t>and in</w:t>
      </w:r>
      <w:r w:rsidR="004A4B8F" w:rsidRPr="00B31BEB">
        <w:rPr>
          <w:noProof/>
        </w:rPr>
        <w:t xml:space="preserve"> </w:t>
      </w:r>
      <w:r w:rsidR="00A21738" w:rsidRPr="00B31BEB">
        <w:rPr>
          <w:noProof/>
        </w:rPr>
        <w:t xml:space="preserve">their attribute attendance behavior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00A8157D" w:rsidRPr="00B31BEB">
        <w:rPr>
          <w:noProof/>
        </w:rPr>
        <w:t>.</w:t>
      </w:r>
      <w:r w:rsidR="00042EBB" w:rsidRPr="00B31BEB">
        <w:rPr>
          <w:noProof/>
        </w:rPr>
        <w:t xml:space="preserve"> </w:t>
      </w:r>
    </w:p>
    <w:p w:rsidR="00A8157D" w:rsidRPr="00B31BEB" w:rsidRDefault="00042EBB" w:rsidP="00620A89">
      <w:pPr>
        <w:tabs>
          <w:tab w:val="center" w:pos="4800"/>
          <w:tab w:val="right" w:pos="9500"/>
        </w:tabs>
        <w:ind w:firstLine="720"/>
        <w:rPr>
          <w:noProof/>
        </w:rPr>
      </w:pPr>
      <w:r w:rsidRPr="00B31BEB">
        <w:rPr>
          <w:noProof/>
        </w:rPr>
        <w:t>When information</w:t>
      </w:r>
      <w:r w:rsidR="00793B55" w:rsidRPr="00B31BEB">
        <w:rPr>
          <w:noProof/>
        </w:rPr>
        <w:t xml:space="preserve"> on attributes</w:t>
      </w:r>
      <w:r w:rsidRPr="00B31BEB">
        <w:rPr>
          <w:noProof/>
        </w:rPr>
        <w:t xml:space="preserve"> is pr</w:t>
      </w:r>
      <w:r w:rsidR="00DB0D2B" w:rsidRPr="00B31BEB">
        <w:rPr>
          <w:noProof/>
        </w:rPr>
        <w:t xml:space="preserve">ovided, </w:t>
      </w:r>
      <w:r w:rsidRPr="00B31BEB">
        <w:rPr>
          <w:noProof/>
        </w:rPr>
        <w:t>the</w:t>
      </w:r>
      <w:r w:rsidR="00810553" w:rsidRPr="00B31BEB">
        <w:rPr>
          <w:noProof/>
        </w:rPr>
        <w:t xml:space="preserve"> primary target </w:t>
      </w:r>
      <w:r w:rsidRPr="00B31BEB">
        <w:rPr>
          <w:noProof/>
        </w:rPr>
        <w:t>is</w:t>
      </w:r>
      <w:r w:rsidR="00810553" w:rsidRPr="00B31BEB">
        <w:rPr>
          <w:noProof/>
        </w:rPr>
        <w:t xml:space="preserve"> often to </w:t>
      </w:r>
      <w:r w:rsidR="00E839BB" w:rsidRPr="00B31BEB">
        <w:rPr>
          <w:noProof/>
        </w:rPr>
        <w:t>seek</w:t>
      </w:r>
      <w:r w:rsidRPr="00B31BEB">
        <w:rPr>
          <w:noProof/>
        </w:rPr>
        <w:t xml:space="preserve"> consumers’ attention towards </w:t>
      </w:r>
      <w:r w:rsidR="00704CF6" w:rsidRPr="00B31BEB">
        <w:rPr>
          <w:noProof/>
        </w:rPr>
        <w:t>the</w:t>
      </w:r>
      <w:r w:rsidRPr="00B31BEB">
        <w:rPr>
          <w:noProof/>
        </w:rPr>
        <w:t xml:space="preserve"> attribute</w:t>
      </w:r>
      <w:r w:rsidR="00704CF6" w:rsidRPr="00B31BEB">
        <w:rPr>
          <w:noProof/>
        </w:rPr>
        <w:t>s</w:t>
      </w:r>
      <w:r w:rsidR="00626D77" w:rsidRPr="00B31BEB">
        <w:rPr>
          <w:noProof/>
        </w:rPr>
        <w:t xml:space="preserve"> or the</w:t>
      </w:r>
      <w:r w:rsidRPr="00B31BEB">
        <w:rPr>
          <w:noProof/>
        </w:rPr>
        <w:t xml:space="preserve"> product as a whole.</w:t>
      </w:r>
      <w:r w:rsidR="00210AC7" w:rsidRPr="00B31BEB">
        <w:rPr>
          <w:noProof/>
        </w:rPr>
        <w:t xml:space="preserve"> C</w:t>
      </w:r>
      <w:r w:rsidR="00CE0D4B" w:rsidRPr="00B31BEB">
        <w:rPr>
          <w:noProof/>
        </w:rPr>
        <w:t>onsumers</w:t>
      </w:r>
      <w:r w:rsidR="00210AC7" w:rsidRPr="00B31BEB">
        <w:rPr>
          <w:noProof/>
        </w:rPr>
        <w:t xml:space="preserve"> who </w:t>
      </w:r>
      <w:r w:rsidR="003161BA" w:rsidRPr="00B31BEB">
        <w:rPr>
          <w:noProof/>
        </w:rPr>
        <w:lastRenderedPageBreak/>
        <w:t>concretely</w:t>
      </w:r>
      <w:r w:rsidR="00CE0D4B" w:rsidRPr="00B31BEB">
        <w:rPr>
          <w:noProof/>
        </w:rPr>
        <w:t xml:space="preserve"> understand and attend to the key </w:t>
      </w:r>
      <w:r w:rsidR="00336170" w:rsidRPr="00B31BEB">
        <w:rPr>
          <w:noProof/>
        </w:rPr>
        <w:t>attributes of a</w:t>
      </w:r>
      <w:r w:rsidR="00CE0D4B" w:rsidRPr="00B31BEB">
        <w:rPr>
          <w:noProof/>
        </w:rPr>
        <w:t xml:space="preserve"> produ</w:t>
      </w:r>
      <w:r w:rsidR="003161BA" w:rsidRPr="00B31BEB">
        <w:rPr>
          <w:noProof/>
        </w:rPr>
        <w:t>ct</w:t>
      </w:r>
      <w:r w:rsidR="00336170" w:rsidRPr="00B31BEB">
        <w:rPr>
          <w:noProof/>
        </w:rPr>
        <w:t xml:space="preserve"> are </w:t>
      </w:r>
      <w:r w:rsidR="00A403A3" w:rsidRPr="00B31BEB">
        <w:rPr>
          <w:noProof/>
        </w:rPr>
        <w:t xml:space="preserve">understood </w:t>
      </w:r>
      <w:r w:rsidR="00336170" w:rsidRPr="00B31BEB">
        <w:rPr>
          <w:noProof/>
        </w:rPr>
        <w:t>to</w:t>
      </w:r>
      <w:r w:rsidR="00A403A3" w:rsidRPr="00B31BEB">
        <w:rPr>
          <w:noProof/>
        </w:rPr>
        <w:t xml:space="preserve"> make more informed</w:t>
      </w:r>
      <w:r w:rsidR="00CE0D4B" w:rsidRPr="00B31BEB">
        <w:rPr>
          <w:noProof/>
        </w:rPr>
        <w:t xml:space="preserve"> decision</w:t>
      </w:r>
      <w:r w:rsidR="00A403A3" w:rsidRPr="00B31BEB">
        <w:rPr>
          <w:noProof/>
        </w:rPr>
        <w:t>s</w:t>
      </w:r>
      <w:r w:rsidR="00CE0D4B" w:rsidRPr="00B31BEB">
        <w:rPr>
          <w:noProof/>
        </w:rPr>
        <w:t>.</w:t>
      </w:r>
      <w:r w:rsidR="00793B55" w:rsidRPr="00B31BEB">
        <w:rPr>
          <w:noProof/>
        </w:rPr>
        <w:t xml:space="preserve"> While this flow of events seems </w:t>
      </w:r>
      <w:r w:rsidR="00F8332D" w:rsidRPr="00B31BEB">
        <w:rPr>
          <w:noProof/>
        </w:rPr>
        <w:t>natural</w:t>
      </w:r>
      <w:r w:rsidR="00793B55" w:rsidRPr="00B31BEB">
        <w:rPr>
          <w:noProof/>
        </w:rPr>
        <w:t>,</w:t>
      </w:r>
      <w:r w:rsidR="00C15C05" w:rsidRPr="00B31BEB">
        <w:rPr>
          <w:noProof/>
        </w:rPr>
        <w:t xml:space="preserve"> prior studies</w:t>
      </w:r>
      <w:r w:rsidR="00793B55" w:rsidRPr="00B31BEB">
        <w:rPr>
          <w:noProof/>
        </w:rPr>
        <w:t xml:space="preserve"> modeling the effects of information</w:t>
      </w:r>
      <w:r w:rsidR="00AA1356" w:rsidRPr="00B31BEB">
        <w:rPr>
          <w:noProof/>
        </w:rPr>
        <w:t xml:space="preserve"> </w:t>
      </w:r>
      <w:r w:rsidR="00E21980" w:rsidRPr="00B31BEB">
        <w:rPr>
          <w:noProof/>
        </w:rPr>
        <w:t>often overlooked its effect</w:t>
      </w:r>
      <w:r w:rsidR="00AA1356" w:rsidRPr="00B31BEB">
        <w:rPr>
          <w:noProof/>
        </w:rPr>
        <w:t xml:space="preserve"> on changes in consumers’ attribute attendance behavior.</w:t>
      </w:r>
      <w:r w:rsidRPr="00B31BEB">
        <w:rPr>
          <w:noProof/>
        </w:rPr>
        <w:t xml:space="preserve"> </w:t>
      </w:r>
      <w:r w:rsidR="00A8157D" w:rsidRPr="00B31BEB">
        <w:rPr>
          <w:noProof/>
        </w:rPr>
        <w:t xml:space="preserve"> We suggest that providing information on attributes affects website choices via changes in customers’ attention to the attributes. To support this suggestion, we analyze a stated preference Discrete Choice Experiment (DCE) on website choices. First, we </w:t>
      </w:r>
      <w:r w:rsidR="007178B1" w:rsidRPr="00B31BEB">
        <w:rPr>
          <w:noProof/>
        </w:rPr>
        <w:t xml:space="preserve">apply </w:t>
      </w:r>
      <w:r w:rsidR="00A8157D" w:rsidRPr="00B31BEB">
        <w:rPr>
          <w:noProof/>
        </w:rPr>
        <w:t>attribute non-attendance behavior in e-commerce using an existing inferential approach</w:t>
      </w:r>
      <w:r w:rsidR="00E573C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Letters","id":"ITEM-1","issue":"3","issued":{"date-parts":[["2011"]]},"page":"203-205","title":"A discrete choice model with endogenous attribute attendance","type":"article-journal","volume":"110"},"uris":["http://www.mendeley.com/documents/?uuid=5662ee3c-a6f3-42b2-983b-10d425b6ed72"]}],"mendeley":{"formattedCitation":"[31]","plainTextFormattedCitation":"[31]","previouslyFormattedCitation":"[31]"},"properties":{"noteIndex":0},"schema":"https://github.com/citation-style-language/schema/raw/master/csl-citation.json"}</w:instrText>
      </w:r>
      <w:r w:rsidR="000A3492" w:rsidRPr="00B31BEB">
        <w:rPr>
          <w:rStyle w:val="FootnoteReference"/>
          <w:noProof/>
        </w:rPr>
        <w:fldChar w:fldCharType="separate"/>
      </w:r>
      <w:r w:rsidR="00F8005E" w:rsidRPr="00B31BEB">
        <w:rPr>
          <w:noProof/>
        </w:rPr>
        <w:t>[31]</w:t>
      </w:r>
      <w:r w:rsidR="000A3492" w:rsidRPr="00B31BEB">
        <w:rPr>
          <w:rStyle w:val="FootnoteReference"/>
          <w:noProof/>
        </w:rPr>
        <w:fldChar w:fldCharType="end"/>
      </w:r>
      <w:r w:rsidR="00A8157D" w:rsidRPr="00B31BEB">
        <w:rPr>
          <w:noProof/>
        </w:rPr>
        <w:t>. Then, we propose an extension that models attributes’ attendance probabilities post-information conditional on attendance (or non-attendance) pre-information. Lastly, we explore how customer characteristics influence their ANA behavior changes when information is provided.</w:t>
      </w:r>
      <w:r w:rsidR="00A93204" w:rsidRPr="00B31BEB">
        <w:rPr>
          <w:noProof/>
        </w:rPr>
        <w:t xml:space="preserve"> </w:t>
      </w:r>
      <w:r w:rsidR="00644F4B" w:rsidRPr="00B31BEB">
        <w:rPr>
          <w:noProof/>
        </w:rPr>
        <w:t>P</w:t>
      </w:r>
      <w:r w:rsidR="00A93204" w:rsidRPr="00B31BEB">
        <w:rPr>
          <w:noProof/>
        </w:rPr>
        <w:t>articular</w:t>
      </w:r>
      <w:r w:rsidR="00644F4B" w:rsidRPr="00B31BEB">
        <w:rPr>
          <w:noProof/>
        </w:rPr>
        <w:t>ly</w:t>
      </w:r>
      <w:r w:rsidR="00A93204" w:rsidRPr="00B31BEB">
        <w:rPr>
          <w:noProof/>
        </w:rPr>
        <w:t>, we investigate how consumer</w:t>
      </w:r>
      <w:r w:rsidR="00644F4B" w:rsidRPr="00B31BEB">
        <w:rPr>
          <w:noProof/>
        </w:rPr>
        <w:t xml:space="preserve">s’ </w:t>
      </w:r>
      <w:r w:rsidR="00A93204" w:rsidRPr="00B31BEB">
        <w:rPr>
          <w:noProof/>
        </w:rPr>
        <w:t>environment</w:t>
      </w:r>
      <w:r w:rsidR="00644F4B" w:rsidRPr="00B31BEB">
        <w:rPr>
          <w:noProof/>
        </w:rPr>
        <w:t xml:space="preserve">al </w:t>
      </w:r>
      <w:r w:rsidR="000A3492" w:rsidRPr="00B31BEB">
        <w:rPr>
          <w:rStyle w:val="FootnoteReference"/>
          <w:noProof/>
        </w:rPr>
        <w:fldChar w:fldCharType="begin" w:fldLock="1"/>
      </w:r>
      <w:r w:rsidR="00B8448F" w:rsidRPr="00B31BEB">
        <w:rPr>
          <w:noProof/>
        </w:rPr>
        <w:instrText>ADDIN CSL_CITATION {"citationItems":[{"id":"ITEM-1","itemData":{"DOI":"10.1111/0022-4537.00176","ISSN":"0022-4537","abstract":"Dunlap and Van Liere’s New Environmental Paradigm (NEP) Scale, published in 1978, has become a widely used measure of proenvironmental orientation. This article develops a revised NEP Scale designed to improve upon the original one in several respects: (1) It taps a wider range of facets of an ecological worldview, (2) It offers a balanced set of pro- and anti-NEP items, and (3) It avoids outmoded terminology. The new scale, termed the New Ecological Paradigm Scale, consists of 15 items. Results of a 1990 Washington State survey suggest that the items can be treated as an internally consistent summated rating scale and also indicate a modest growth in pro-NEP responses among Washington residents over the 14 years since the original study.","author":[{"dropping-particle":"","family":"Dunlap","given":"Riley E.","non-dropping-particle":"","parse-names":false,"suffix":""},{"dropping-particle":"","family":"Liere","given":"Kent D.","non-dropping-particle":"Van","parse-names":false,"suffix":""},{"dropping-particle":"","family":"Mertig","given":"Angela G.","non-dropping-particle":"","parse-names":false,"suffix":""},{"dropping-particle":"","family":"Jones","given":"Robert Emmet","non-dropping-particle":"","parse-names":false,"suffix":""}],"container-title":"Journal of Social Issues","id":"ITEM-1","issue":"3","issued":{"date-parts":[["2000"]]},"page":"425-442","title":"New Trends in Measuring Environmental Attitudes: Measuring Endorsement of the New Ecological Paradigm: A Revised NEP Scale","type":"article-journal","volume":"56"},"uris":["http://www.mendeley.com/documents/?uuid=c415bfe0-d786-49be-bede-475016a8ca1a"]}],"mendeley":{"formattedCitation":"[18]","plainTextFormattedCitation":"[18]","previouslyFormattedCitation":"[18]"},"properties":{"noteIndex":0},"schema":"https://github.com/citation-style-language/schema/raw/master/csl-citation.json"}</w:instrText>
      </w:r>
      <w:r w:rsidR="000A3492" w:rsidRPr="00B31BEB">
        <w:rPr>
          <w:rStyle w:val="FootnoteReference"/>
          <w:noProof/>
        </w:rPr>
        <w:fldChar w:fldCharType="separate"/>
      </w:r>
      <w:r w:rsidR="00102417" w:rsidRPr="00B31BEB">
        <w:rPr>
          <w:noProof/>
        </w:rPr>
        <w:t>[18]</w:t>
      </w:r>
      <w:r w:rsidR="000A3492" w:rsidRPr="00B31BEB">
        <w:rPr>
          <w:rStyle w:val="FootnoteReference"/>
          <w:noProof/>
        </w:rPr>
        <w:fldChar w:fldCharType="end"/>
      </w:r>
      <w:r w:rsidR="00644F4B" w:rsidRPr="00B31BEB">
        <w:rPr>
          <w:noProof/>
        </w:rPr>
        <w:t xml:space="preserve"> and nationalistic </w:t>
      </w:r>
      <w:r w:rsidR="000A3492" w:rsidRPr="00B31BEB">
        <w:rPr>
          <w:rStyle w:val="FootnoteReference"/>
          <w:noProof/>
        </w:rPr>
        <w:fldChar w:fldCharType="begin" w:fldLock="1"/>
      </w:r>
      <w:r w:rsidR="00E23587" w:rsidRPr="00B31BEB">
        <w:rPr>
          <w:noProof/>
        </w:rPr>
        <w:instrText>ADDIN CSL_CITATION {"citationItems":[{"id":"ITEM-1","itemData":{"DOI":"10.1162/ISEC_a_00265","ISSN":"15314804","author":[{"dropping-particle":"","family":"Johnston","given":"Alastair Iain","non-dropping-particle":"","parse-names":false,"suffix":""}],"container-title":"International Security","id":"ITEM-1","issue":"3","issued":{"date-parts":[["2017"]]},"page":"7-43","title":"Is Chinese nationalism rising? Evidence from Beijing","type":"article-journal","volume":"41"},"uris":["http://www.mendeley.com/documents/?uuid=7a88ffc8-4afe-4583-8485-71d6616b2ef1"]}],"mendeley":{"formattedCitation":"[34]","plainTextFormattedCitation":"[34]","previouslyFormattedCitation":"[34]"},"properties":{"noteIndex":0},"schema":"https://github.com/citation-style-language/schema/raw/master/csl-citation.json"}</w:instrText>
      </w:r>
      <w:r w:rsidR="000A3492" w:rsidRPr="00B31BEB">
        <w:rPr>
          <w:rStyle w:val="FootnoteReference"/>
          <w:noProof/>
        </w:rPr>
        <w:fldChar w:fldCharType="separate"/>
      </w:r>
      <w:r w:rsidR="00F8005E" w:rsidRPr="00B31BEB">
        <w:rPr>
          <w:noProof/>
        </w:rPr>
        <w:t>[34]</w:t>
      </w:r>
      <w:r w:rsidR="000A3492" w:rsidRPr="00B31BEB">
        <w:rPr>
          <w:rStyle w:val="FootnoteReference"/>
          <w:noProof/>
        </w:rPr>
        <w:fldChar w:fldCharType="end"/>
      </w:r>
      <w:r w:rsidR="00A93204" w:rsidRPr="00B31BEB">
        <w:rPr>
          <w:noProof/>
        </w:rPr>
        <w:t xml:space="preserve"> </w:t>
      </w:r>
      <w:r w:rsidR="00644F4B" w:rsidRPr="00B31BEB">
        <w:rPr>
          <w:noProof/>
        </w:rPr>
        <w:t xml:space="preserve">attitudes </w:t>
      </w:r>
      <w:r w:rsidR="00015D10" w:rsidRPr="00B31BEB">
        <w:rPr>
          <w:noProof/>
        </w:rPr>
        <w:t>inform their website choices</w:t>
      </w:r>
      <w:r w:rsidR="00644F4B" w:rsidRPr="00B31BEB">
        <w:rPr>
          <w:noProof/>
        </w:rPr>
        <w:t xml:space="preserve">. The former attitude </w:t>
      </w:r>
      <w:r w:rsidR="00474DD1" w:rsidRPr="00B31BEB">
        <w:rPr>
          <w:noProof/>
        </w:rPr>
        <w:t>points towards</w:t>
      </w:r>
      <w:r w:rsidR="00644F4B" w:rsidRPr="00B31BEB">
        <w:rPr>
          <w:noProof/>
        </w:rPr>
        <w:t xml:space="preserve"> environmental effects of e-commerce </w:t>
      </w:r>
      <w:r w:rsidR="000A3492" w:rsidRPr="00B31BEB">
        <w:rPr>
          <w:rStyle w:val="FootnoteReference"/>
          <w:noProof/>
        </w:rPr>
        <w:fldChar w:fldCharType="begin" w:fldLock="1"/>
      </w:r>
      <w:r w:rsidR="00E23587" w:rsidRPr="00B31BEB">
        <w:rPr>
          <w:noProof/>
        </w:rPr>
        <w:instrText>ADDIN CSL_CITATION {"citationItems":[{"id":"ITEM-1","itemData":{"DOI":"10.1108/09600031011018055","ISSN":"09600035","abstract":"Purpose: The purpose of this paper is to focus on the carbon intensity of \"last mile\" deliveries (i.e. deliveries of goods from local depots to the home) and personal shopping trips. Design/methodology/approach: Several last mile scenarios are constructed for the purchase of small, non-food items, such as books, CDs, clothing, cameras and household items. Official government data, operational data from a large logistics service provider, face-to-face and telephone interviews with company managers and realistic assumptions derived from the literature form the basis of the calculations. Allowance has been made for home delivery failures, \"browsing\" trips to the shops and the return of unwanted goods. Findings: Overall, the research suggests that, while neither home delivery nor conventional shopping has an absolute CO2 advantage, on average, the home delivery operation is likely to generate less CO2 than the typical shopping trip. Nevertheless, CO2 emissions per item for intensive/infrequent shopping trips by bus could match online shopping/home delivery. Research limitations/implications: The number of items purchased per shopping trip, the choice of travel mode and the willingness to combine shopping with other activities and to group purchases into as few shopping trips or online transactions as possible are shown to be critical factors. Online retailers and home delivery companies could also apply measures (e.g. maximising drop densities and increasing the use of electric vehicles) to enhance the CO2 efficiency of their logistical operations and gain a clearer environmental advantage. Practical implications: Both consumers and suppliers need to be made more aware of the environmental implications of their respective purchasing behaviour and distribution methods so that potential CO2 savings can be made. Originality/value: The paper offers insights into the carbon footprints of conventional and online retailing from a \"last mile\" perspective. © Emerald Group Publishing Limited.","author":[{"dropping-particle":"","family":"Edwards","given":"Julia B.","non-dropping-particle":"","parse-names":false,"suffix":""},{"dropping-particle":"","family":"McKinnon","given":"Alan C.","non-dropping-particle":"","parse-names":false,"suffix":""},{"dropping-particle":"","family":"Cullinane","given":"Sharon L.","non-dropping-particle":"","parse-names":false,"suffix":""}],"container-title":"International Journal of Physical Distribution and Logistics Management","id":"ITEM-1","issue":"1-2","issued":{"date-parts":[["2010"]]},"page":"103-123","publisher":"Emerald Group Publishing Limited","title":"Comparative analysis of the carbon footprints of conventional and online retailing: A \"last mile\" perspective","type":"article-journal","volume":"40"},"uris":["http://www.mendeley.com/documents/?uuid=c511518a-2a92-4309-9338-3dc88ef30c3b"]},{"id":"ITEM-2","itemData":{"DOI":"10.1108/IJPDLM-06-2014-0133","ISSN":"09600035","abstract":"Purpose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Management","id":"ITEM-2","issue":"6","issued":{"date-parts":[["2015"]]},"page":"565-591","title":"A review of the environmental implications of B2C e-commerce: a logistics perspective","type":"article-journal","volume":"45"},"uris":["http://www.mendeley.com/documents/?uuid=0abe1a40-d50b-43aa-a7ed-6c050121d284"]}],"mendeley":{"formattedCitation":"[19; 49]","plainTextFormattedCitation":"[19; 49]","previouslyFormattedCitation":"[19; 49]"},"properties":{"noteIndex":0},"schema":"https://github.com/citation-style-language/schema/raw/master/csl-citation.json"}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[19; 49]</w:t>
      </w:r>
      <w:r w:rsidR="000A3492" w:rsidRPr="00B31BEB">
        <w:rPr>
          <w:rStyle w:val="FootnoteReference"/>
          <w:noProof/>
        </w:rPr>
        <w:fldChar w:fldCharType="end"/>
      </w:r>
      <w:r w:rsidR="00644F4B" w:rsidRPr="00B31BEB">
        <w:rPr>
          <w:noProof/>
        </w:rPr>
        <w:t xml:space="preserve"> while the latter explores socio-economic advantages of ordering from domestic webshops </w:t>
      </w:r>
      <w:r w:rsidR="000A3492" w:rsidRPr="00B31BEB">
        <w:rPr>
          <w:rStyle w:val="FootnoteReference"/>
          <w:noProof/>
        </w:rPr>
        <w:fldChar w:fldCharType="begin" w:fldLock="1"/>
      </w:r>
      <w:r w:rsidR="00E23587" w:rsidRPr="00B31BEB">
        <w:rPr>
          <w:noProof/>
        </w:rPr>
        <w:instrText>ADDIN CSL_CITATION {"citationItems":[{"id":"ITEM-1","itemData":{"DOI":"10.1108/10662240810912783","ISSN":"10662243","abstract":"Purpose - E-commerce is diffusing into developing countries (DCs), and is assumed to help deliver the international development agenda. But how can the connection between e-commerce and socio-economic development be conceptualised? The aim of this paper is to analyse that connection by drawing from the development studies discipline to take a broader perspective on e-commerce than that so far provided by firm-level research. Design/methodology/approach - The authors adopt a literature survey approach, drawing their conceptual foundations from development studies, and supplementing this from the e-commerce literature. Findings - The paper develops a new, integrated model that explains the way in which e-commerce can contribute to socio-economic development. Research limitations/implications - This new model can help provide a foundation for future research on e-commerce in DCs; research on e-commerce policy as well as impact assessment research. Practical implications - The discussion and model provide development agencies, governments, consultants and business people working in DCs with a clearer sense of the contribution e-commerce can make; assisting them in prioritization, planning, and evaluation of e-commerce projects. Originality/value - The paper provides the first integrated perspective on the broader contribution of e-commerce to the growth and development of DCs. © Emerald Group Publishing Limited.","author":[{"dropping-particle":"","family":"Boateng","given":"Richard","non-dropping-particle":"","parse-names":false,"suffix":""},{"dropping-particle":"","family":"Heeks","given":"Richard","non-dropping-particle":"","parse-names":false,"suffix":""},{"dropping-particle":"","family":"Molla","given":"Alemayehu","non-dropping-particle":"","parse-names":false,"suffix":""},{"dropping-particle":"","family":"Hinson","given":"Robert","non-dropping-particle":"","parse-names":false,"suffix":""}],"container-title":"Internet Research","id":"ITEM-1","issue":"5","issued":{"date-parts":[["2008"]]},"page":"562-594","title":"E-commerce and socio-economic development: Conceptualizing the link","type":"article","volume":"18"},"uris":["http://www.mendeley.com/documents/?uuid=6f609ac6-5466-4ea8-a1a2-a69a825806d4"]},{"id":"ITEM-2","itemData":{"DOI":"10.1016/j.sbspro.2011.09.010","ISSN":"18770428","abstract":"The purpose of the present study is to investigate the impact of e-commerce on international trade and employment. Electronic commerce offers economy-wide benefits to all countries. The gains are likely to be concentrated in developed countries in the short run but, developing countries will have more to benefit in the long run. The volume of international trade will increase via e-commerce. The countries open to imports from high-income economies will benefit from knowledge spillovers. In addition, electronic commerce is expected to create and destroy jobs. © 2011 Published by Elsevier Ltd. Selection and/or peer-review under responsibility of 7th International Strategic Management Conference.","author":[{"dropping-particle":"","family":"Terzi","given":"Nuray","non-dropping-particle":"","parse-names":false,"suffix":""}],"container-title":"Procedia - Social and Behavioral Sciences","id":"ITEM-2","issued":{"date-parts":[["2011","1","1"]]},"page":"745-753","publisher":"Elsevier","title":"The impact of e-commerce on international trade and employment","type":"article-journal","volume":"24"},"uris":["http://www.mendeley.com/documents/?uuid=e50f0eb9-15d9-3408-85b8-73c417f9a1a7"]}],"mendeley":{"formattedCitation":"[2; 76]","plainTextFormattedCitation":"[2; 76]","previouslyFormattedCitation":"[2; 76]"},"properties":{"noteIndex":0},"schema":"https://github.com/citation-style-language/schema/raw/master/csl-citation.json"}</w:instrText>
      </w:r>
      <w:r w:rsidR="000A3492" w:rsidRPr="00B31BEB">
        <w:rPr>
          <w:rStyle w:val="FootnoteReference"/>
          <w:noProof/>
        </w:rPr>
        <w:fldChar w:fldCharType="separate"/>
      </w:r>
      <w:r w:rsidR="00F8005E" w:rsidRPr="00B31BEB">
        <w:rPr>
          <w:noProof/>
        </w:rPr>
        <w:t>[2; 76]</w:t>
      </w:r>
      <w:r w:rsidR="000A3492" w:rsidRPr="00B31BEB">
        <w:rPr>
          <w:rStyle w:val="FootnoteReference"/>
          <w:noProof/>
        </w:rPr>
        <w:fldChar w:fldCharType="end"/>
      </w:r>
      <w:r w:rsidR="00644F4B" w:rsidRPr="00B31BEB">
        <w:rPr>
          <w:noProof/>
        </w:rPr>
        <w:t>.</w:t>
      </w:r>
    </w:p>
    <w:p w:rsidR="00243867" w:rsidRPr="00B31BEB" w:rsidRDefault="002A2954" w:rsidP="00620A89">
      <w:pPr>
        <w:pStyle w:val="Heading2"/>
      </w:pPr>
      <w:r w:rsidRPr="00B31BEB">
        <w:t>Discrete choice experiments and attribute non-attendance behavior</w:t>
      </w:r>
    </w:p>
    <w:p w:rsidR="004A7A44" w:rsidRPr="00B31BEB" w:rsidRDefault="004A7A44" w:rsidP="00620A89">
      <w:pPr>
        <w:tabs>
          <w:tab w:val="center" w:pos="4800"/>
          <w:tab w:val="right" w:pos="9500"/>
        </w:tabs>
        <w:ind w:firstLine="720"/>
        <w:rPr>
          <w:noProof/>
        </w:rPr>
      </w:pPr>
      <w:r w:rsidRPr="00B31BEB">
        <w:rPr>
          <w:noProof/>
        </w:rPr>
        <w:t>Discrete choice experiments (DCEs) are quantitative techniques used to investigate customers’ preferences when making choices</w:t>
      </w:r>
      <w:r w:rsidR="0082540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{"citationItems":[{"id":"ITEM-1","itemData":{"DOI":"10.1017/CBO9780511805271","ISBN":"9780511805271","ISSN":"00222437","abstract":"This book describes the new generation of discrete choice methods, focusing on the many advances that are made possible by simulation. Researchers use these statistical methods to examine the choices that consumers, households, firms, and other agents make. Each of the major models is covered: logit, generalized extreme value, or GEV (including nested and cross-nested logits), probit, and mixed logit, plus a variety of specifications that build on these basics. Recent advances in Bayesian procedures are explored, including the use of the Metropolis-Hastings algorithm and its variant Gibbs sampling. This second edition adds chapters on endogeneity and expectation-maximization (EM) algorithms. No other book incorporates all these fields, which have arisen in the past 25 years. The procedures are applicable in many fields, including energy, transportation, environmental studies, health, labor, and marketing.","author":[{"dropping-particle":"","family":"Train","given":"Kenneth E.","non-dropping-particle":"","parse-names":false,"suffix":""}],"container-title":"Discrete Choice Methods with Simulation, Second Edition","id":"ITEM-1","issue":"3","issued":{"date-parts":[["2009","8"]]},"number-of-pages":"1-388","publisher":"Cambridge University Press","publisher-place":"Cambridge","title":"Discrete choice methods with simulation, second edition","type":"book","volume":"9780521766"},"uris":["http://www.mendeley.com/documents/?uuid=3b7308b9-5d63-4241-ad7d-3bd66f51eaf2"]}],"mendeley":{"formattedCitation":"[77]","plainTextFormattedCitation":"[77]","previouslyFormattedCitation":"[77]"},"properties":{"noteIndex":0},"schema":"https://github.com/citation-style-language/schema/raw/master/csl-citation.json"}</w:instrText>
      </w:r>
      <w:r w:rsidR="000A3492" w:rsidRPr="00B31BEB">
        <w:rPr>
          <w:rStyle w:val="FootnoteReference"/>
          <w:noProof/>
        </w:rPr>
        <w:fldChar w:fldCharType="separate"/>
      </w:r>
      <w:r w:rsidR="00F8005E" w:rsidRPr="00B31BEB">
        <w:rPr>
          <w:noProof/>
        </w:rPr>
        <w:t>[77]</w:t>
      </w:r>
      <w:r w:rsidR="000A3492" w:rsidRPr="00B31BEB">
        <w:rPr>
          <w:rStyle w:val="FootnoteReference"/>
          <w:noProof/>
        </w:rPr>
        <w:fldChar w:fldCharType="end"/>
      </w:r>
      <w:r w:rsidRPr="00B31BEB">
        <w:rPr>
          <w:noProof/>
        </w:rPr>
        <w:t>. DCEs are based on the random utility theory framework</w:t>
      </w:r>
      <w:r w:rsidR="003A352C" w:rsidRPr="00B31BEB">
        <w:rPr>
          <w:noProof/>
        </w:rPr>
        <w:t xml:space="preserve"> </w:t>
      </w:r>
      <w:r w:rsidR="000A3492" w:rsidRPr="00B31BEB">
        <w:rPr>
          <w:rStyle w:val="FootnoteReference"/>
          <w:noProof/>
        </w:rPr>
        <w:fldChar w:fldCharType="begin" w:fldLock="1"/>
      </w:r>
      <w:r w:rsidR="009F4564" w:rsidRPr="00B31BEB">
        <w:rPr>
          <w:noProof/>
        </w:rPr>
        <w:instrText>ADDIN CSL_CITATION {"citationItems":[{"id":"ITEM-1","itemData":{"abstract":"106 DANIEL MCFADDEN because the econometrician cannot observe or control all the factors influencing behavior , and because the process of observation itself influences acts of the decision-maker through the vehicle of experience. It becomes necessary to make ...","author":[{"dropping-particle":"","family":"McFadden","given":"D","non-dropping-particle":"","parse-names":false,"suffix":""}],"container-title":"Frontiers in Econometrics","id":"ITEM-1","issue":"4","issued":{"date-parts":[["1973"]]},"page":"105-141","publisher":"Academic Press","title":"Conditional Logit Analysis of Qualitative Choice Behavior","type":"chapter"},"uris":["http://www.mendeley.com/documents/?uuid=ecaf4b8c-a7b2-4060-8126-6611f4d734af"]}],"mendeley":{"formattedCitation":"[52]","plainTextFormattedCitation":"[52]","previouslyFormattedCitation":"[52]"},"properties":{"noteIndex":0},"schema":"https://github.com/citation-style-language/schema/raw/master/csl-citation.json"}</w:instrText>
      </w:r>
      <w:r w:rsidR="000A3492" w:rsidRPr="00B31BEB">
        <w:rPr>
          <w:rStyle w:val="FootnoteReference"/>
          <w:noProof/>
        </w:rPr>
        <w:fldChar w:fldCharType="separate"/>
      </w:r>
      <w:r w:rsidR="00F8005E" w:rsidRPr="00B31BEB">
        <w:rPr>
          <w:noProof/>
        </w:rPr>
        <w:t>[52]</w:t>
      </w:r>
      <w:r w:rsidR="000A3492" w:rsidRPr="00B31BEB">
        <w:rPr>
          <w:rStyle w:val="FootnoteReference"/>
          <w:noProof/>
        </w:rPr>
        <w:fldChar w:fldCharType="end"/>
      </w:r>
      <w:r w:rsidRPr="00B31BEB">
        <w:rPr>
          <w:noProof/>
        </w:rPr>
        <w:t xml:space="preserve">. In a stated preference DCE, alternatives (websites in this case) are hypothesised using unique combinations of attribute levels. Respondents (e-customers) are then presented with several scenarios (choice sets) of hypothesised websites to choose from. Underlying a website choice is a latent utility. This utility is known to a customer but unknown to researchers. To model customers’ choice behavior, modelers construct a utility where every website attribute is assumed to have a quantifiable contribution. It is assumed that in every choice set, customers </w:t>
      </w:r>
      <w:r w:rsidRPr="00B31BEB">
        <w:rPr>
          <w:noProof/>
        </w:rPr>
        <w:lastRenderedPageBreak/>
        <w:t xml:space="preserve">select websites that maximize their utilities.  Details on modeling consumers’ choices are provided in </w:t>
      </w:r>
      <w:r w:rsidR="009C04A2" w:rsidRPr="00B31BEB">
        <w:rPr>
          <w:noProof/>
        </w:rPr>
        <w:t>the statistical modelling subsection</w:t>
      </w:r>
      <w:r w:rsidRPr="00B31BEB">
        <w:rPr>
          <w:noProof/>
        </w:rPr>
        <w:t xml:space="preserve">. </w:t>
      </w:r>
    </w:p>
    <w:p w:rsidR="004A7A44" w:rsidRPr="00B31BEB" w:rsidRDefault="004A7A44" w:rsidP="00620A89">
      <w:pPr>
        <w:tabs>
          <w:tab w:val="center" w:pos="4800"/>
          <w:tab w:val="right" w:pos="9500"/>
        </w:tabs>
        <w:ind w:firstLine="720"/>
        <w:rPr>
          <w:noProof/>
        </w:rPr>
      </w:pPr>
      <w:r w:rsidRPr="00B31BEB">
        <w:rPr>
          <w:noProof/>
        </w:rPr>
        <w:t>Originally, the choice experiments literature assumed that consumers use every attribute when selecting their preferred alternatives. However, recent evidence suggests that consumers often simplify their choice tasks by ignoring some attributes</w:t>
      </w:r>
      <w:r w:rsidR="000E23A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load","type":"article-journal","volume":"21"},"uris":["http://www.mendeley.com/documents/?uuid=b7423615-1ecd-4393-8411-84809f10fd5e"]},{"id":"ITEM-2","itemData":{"DOI":"10.1002/hec.1369","ISSN":"10579230","abstract":"Stated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responses","type":"article-journal","volume":"18"},"uris":["http://www.mendeley.com/documents/?uuid=65437a29-9a07-4887-a3c8-09ffb7ec08dc"]}],"mendeley":{"formattedCitation":"[26; 68]","plainTextFormattedCitation":"[26; 68]","previouslyFormattedCitation":"[26; 68]"},"properties":{"noteIndex":0},"schema":"https://github.com/citation-style-language/schema/raw/master/csl-citation.json"}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68]</w:t>
      </w:r>
      <w:r w:rsidR="000A3492" w:rsidRPr="00B31BEB">
        <w:rPr>
          <w:rStyle w:val="FootnoteReference"/>
          <w:noProof/>
        </w:rPr>
        <w:fldChar w:fldCharType="end"/>
      </w:r>
      <w:r w:rsidR="000E23AB" w:rsidRPr="00B31BEB">
        <w:rPr>
          <w:noProof/>
        </w:rPr>
        <w:t>.</w:t>
      </w:r>
      <w:r w:rsidRPr="00B31BEB">
        <w:rPr>
          <w:noProof/>
        </w:rPr>
        <w:t xml:space="preserve"> Thus, some attributes play a role in a consumer’s utility (when they are not ignored) while others do not. The tendency to ignore some attributes when making decisions is often referred to as attribute non-attendance/ANA. Details on and modifications to choice models to account for consumers’ ANA behavior are provided in </w:t>
      </w:r>
      <w:r w:rsidR="00A93AA0" w:rsidRPr="00B31BEB">
        <w:rPr>
          <w:noProof/>
        </w:rPr>
        <w:t xml:space="preserve">the </w:t>
      </w:r>
      <w:r w:rsidR="009C04A2" w:rsidRPr="00B31BEB">
        <w:rPr>
          <w:noProof/>
        </w:rPr>
        <w:t>statistical modelling subsection</w:t>
      </w:r>
      <w:r w:rsidRPr="00B31BEB">
        <w:rPr>
          <w:noProof/>
        </w:rPr>
        <w:t xml:space="preserve">. </w:t>
      </w:r>
    </w:p>
    <w:p w:rsidR="00134AC8" w:rsidRPr="00B31BEB" w:rsidRDefault="00134AC8" w:rsidP="00620A89">
      <w:pPr>
        <w:pStyle w:val="Heading2"/>
      </w:pPr>
      <w:r w:rsidRPr="00B31BEB">
        <w:t>Study background and literature review</w:t>
      </w:r>
    </w:p>
    <w:p w:rsidR="00C93475" w:rsidRPr="00B31BEB" w:rsidRDefault="00C93475" w:rsidP="00620A89">
      <w:pPr>
        <w:pStyle w:val="Heading3"/>
      </w:pPr>
      <w:r w:rsidRPr="00B31BEB">
        <w:t>Information and choice making</w:t>
      </w:r>
    </w:p>
    <w:p w:rsidR="00494FA3" w:rsidRPr="00B31BEB" w:rsidRDefault="00077056" w:rsidP="00620A89">
      <w:pPr>
        <w:tabs>
          <w:tab w:val="center" w:pos="4800"/>
          <w:tab w:val="right" w:pos="9500"/>
        </w:tabs>
        <w:ind w:firstLine="720"/>
        <w:rPr>
          <w:noProof/>
        </w:rPr>
      </w:pPr>
      <w:r w:rsidRPr="00B31BEB">
        <w:rPr>
          <w:noProof/>
        </w:rPr>
        <w:t>Information plays an important role in choices made by decision-makers</w:t>
      </w:r>
      <w:r w:rsidR="00D312D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products","type":"article-journal","volume":"40"},"uris":["http://www.mendeley.com/documents/?uuid=65353283-cbff-49f5-970f-84f9820b38a2"]},{"id":"ITEM-2","itemData":{"DOI":"10.1287/isre.2014.0521","ISSN":"15265536","abstract":"Consumer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Research","id":"ITEM-2","issue":"2","issued":{"date-parts":[["2014"]]},"page":"345-363","title":"Consumer informedness and firm information strategy","type":"article-journal","volume":"25"},"uris":["http://www.mendeley.com/documents/?uuid=ac86c383-b144-4c72-ab96-c66418fd198e"]},{"id":"ITEM-3","itemData":{"DOI":"10.1016/j.elerap.2007.10.001","ISSN":"15674223","abstract":"As truly informed consumers are increasingly able to find exactly what they want and willing to pay premium prices to obtain products with perfect fit for them, companies have responded with new product portfolio strategies and new pricing strategies, based on the concepts of resonance marketing and hyperdifferentiation. This is not just consumers' pursuit of products that are better, but rather better for them. It is not trading up, but rather trading out. In this paper we offer a more complete explanation of changes in consumer behavior, based on consumers' new-found informedness, and an understanding of consumers' pursuit of products that truly meet their individual wants and needs, cravings and longings. This paper also contributes to a deeper understanding of how online reviews are linked to sales. Recent empirical studies suggest that consumers use information in different ways in different shopping experiences, and that consumers' purchasing behavior varies across different online shopping experiences; consequently, the best predictors of the success of different online products will therefore vary depending on what consumers are buying and why and how they are buying it. © 2007 Elsevier B.V. All rights reserved.","author":[{"dropping-particle":"","family":"Clemons","given":"Eric K.","non-dropping-particle":"","parse-names":false,"suffix":""},{"dropping-particle":"","family":"Gao","given":"Guodong (Gordon)","non-dropping-particle":"","parse-names":false,"suffix":""}],"container-title":"Electronic Commerce Research and Applications","id":"ITEM-3","issue":"1","issued":{"date-parts":[["2008"]]},"page":"3-17","title":"Consumer informedness and diverse consumer purchasing behaviors: Traditional mass-market, trading down, and trading out into the long tail","type":"article-journal","volume":"7"},"uris":["http://www.mendeley.com/documents/?uuid=9f46818b-0e34-4232-895c-1055c3bc0433"]}],"mendeley":{"formattedCitation":"[10; 43; 67]","plainTextFormattedCitation":"[10; 43; 67]","previouslyFormattedCitation":"[10; 43;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[10; 43; 67]</w:t>
      </w:r>
      <w:r w:rsidR="000A3492" w:rsidRPr="00B31BEB">
        <w:rPr>
          <w:rStyle w:val="FootnoteReference"/>
          <w:noProof/>
        </w:rPr>
        <w:fldChar w:fldCharType="end"/>
      </w:r>
      <w:r w:rsidR="00B359EC" w:rsidRPr="00B31BEB">
        <w:rPr>
          <w:noProof/>
        </w:rPr>
        <w:t>. A better</w:t>
      </w:r>
      <w:r w:rsidR="009B2127" w:rsidRPr="00B31BEB">
        <w:rPr>
          <w:noProof/>
        </w:rPr>
        <w:t xml:space="preserve"> informed</w:t>
      </w:r>
      <w:r w:rsidR="00B359EC" w:rsidRPr="00B31BEB">
        <w:rPr>
          <w:noProof/>
        </w:rPr>
        <w:t xml:space="preserve"> decision-maker</w:t>
      </w:r>
      <w:r w:rsidR="0038444B" w:rsidRPr="00B31BEB">
        <w:rPr>
          <w:noProof/>
        </w:rPr>
        <w:t xml:space="preserve"> is more likely to look out for a perfectly fitting item</w:t>
      </w:r>
      <w:r w:rsidR="00AF7143" w:rsidRPr="00B31BEB">
        <w:rPr>
          <w:noProof/>
        </w:rPr>
        <w:t>. Informed customers are also more willing to pay a premium for products that they like</w:t>
      </w:r>
      <w:r w:rsidR="007B0EA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Research","id":"ITEM-1","issue":"2","issued":{"date-parts":[["2014"]]},"page":"345-363","title":"Consumer informedness and firm information strategy","type":"article-journal","volume":"25"},"uris":["http://www.mendeley.com/documents/?uuid=ac86c383-b144-4c72-ab96-c66418fd198e"]}],"mendeley":{"formattedCitation":"[43]","plainTextFormattedCitation":"[43]","previouslyFormattedCitation":"[43]"},"properties":{"noteIndex":0},"schema":"https://github.com/citation-style-language/schema/raw/master/csl-citation.json"}</w:instrText>
      </w:r>
      <w:r w:rsidR="000A3492" w:rsidRPr="00B31BEB">
        <w:rPr>
          <w:rStyle w:val="FootnoteReference"/>
          <w:noProof/>
        </w:rPr>
        <w:fldChar w:fldCharType="separate"/>
      </w:r>
      <w:r w:rsidR="00F8005E" w:rsidRPr="00B31BEB">
        <w:rPr>
          <w:noProof/>
        </w:rPr>
        <w:t>[43]</w:t>
      </w:r>
      <w:r w:rsidR="000A3492" w:rsidRPr="00B31BEB">
        <w:rPr>
          <w:rStyle w:val="FootnoteReference"/>
          <w:noProof/>
        </w:rPr>
        <w:fldChar w:fldCharType="end"/>
      </w:r>
      <w:r w:rsidRPr="00B31BEB">
        <w:rPr>
          <w:noProof/>
        </w:rPr>
        <w:t>. In random utility frameworks, attributes provide the first source of information on alternatives. Attributes such as sustainability labels and trustmarks are often displayed on websites to reduce the information asymmetries with users</w:t>
      </w:r>
      <w:r w:rsidR="00DB1A1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products","type":"article-journal","volume":"40"},"uris":["http://www.mendeley.com/documents/?uuid=65353283-cbff-49f5-970f-84f9820b38a2"]},{"id":"ITEM-2","itemData":{"DOI":"10.1287/isre.2013.0489","ISSN":"15265536","abstract":"Third-party quality assurance seals have emerged as a prominent mechanism to reduce uncertainty and increase purchase conversion in online markets. However, systematic studies of the effectiveness of these seals are scarce. In this study, we exploit a unique data set of 9,098 shopping sessions at an online retailer's website to empirically measure the value and effectiveness of assurance seals on the likelihood of purchase by shoppers. The data set is collected from a randomized field experiment conducted by a large seal provider, which enables us to infer the causal impacts of the presence of an assurance seal. We find strong evidence that the presence of the assurance seal increases the likelihood of purchase conversion. We discuss the implications of our findings for online retailers, third-party certifiers, policymakers, and researchers. © 2013, INFORMS.","author":[{"dropping-particle":"","family":"Özpolat","given":"Koray","non-dropping-particle":"","parse-names":false,"suffix":""},{"dropping-particle":"","family":"Gao","given":"Guodong Gordon","non-dropping-particle":"","parse-names":false,"suffix":""},{"dropping-particle":"","family":"Jank","given":"Wolfgang","non-dropping-particle":"","parse-names":false,"suffix":""},{"dropping-particle":"","family":"Viswanathan","given":"Siva","non-dropping-particle":"","parse-names":false,"suffix":""}],"container-title":"Information Systems Research","id":"ITEM-2","issue":"4","issued":{"date-parts":[["2013"]]},"page":"1100-1111","title":"The value of third-party assurance seals in online retailing: An empirical investigation","type":"article-journal","volume":"24"},"uris":["http://www.mendeley.com/documents/?uuid=92a959dc-1c11-4c03-b320-1e12ecf64571"]},{"id":"ITEM-3","itemData":{"DOI":"10.1080/07421222.2016.1267531","ISSN":"1557928X","abstract":"Trust underlies much of the online shopping behavior. We compare trust in online shopping in four countries: (1) the United States, a mature online market; (2) Germany; (3) China, the fastest growing online market, where consumers are plagued by counterfeits, forgeries, and spoiled or defective items; and (4) Singapore. We performed laboratory experiments in all four countries. We used three experimental treatments: (1) no assurances; (2) promises of product quality and authenticity; and (3) promises backed up by third-party assurances. We examined subjects’ perceived risk associated with different treatments across different vendor types. The impact of treatments and of vendor reputation on consumers’ trust varied across countries in ways that we did not expect. In mature online markets like the United States, online shopping appears to be treated as just another form of shopping. In China, if an online vendor can establish a reputation for quality, consumers appear to treat those merchants much as Americans do their own favorite online vendors, despite problems with Chinese shopping more generally.","author":[{"dropping-particle":"","family":"Clemons","given":"Eric K.","non-dropping-particle":"","parse-names":false,"suffix":""},{"dropping-particle":"","family":"Wilson","given":"Josh","non-dropping-particle":"","parse-names":false,"suffix":""},{"dropping-particle":"","family":"Matt","given":"Christian","non-dropping-particle":"","parse-names":false,"suffix":""},{"dropping-particle":"","family":"Hess","given":"Thomas","non-dropping-particle":"","parse-names":false,"suffix":""},{"dropping-particle":"","family":"Ren","given":"Fei","non-dropping-particle":"","parse-names":false,"suffix":""},{"dropping-particle":"","family":"Jin","given":"Fujie","non-dropping-particle":"","parse-names":false,"suffix":""},{"dropping-particle":"","family":"Koh","given":"Noi Sian","non-dropping-particle":"","parse-names":false,"suffix":""}],"container-title":"Journal of Management Information Systems","id":"ITEM-3","issue":"4","issued":{"date-parts":[["2016"]]},"page":"1117-1148","title":"Global Differences in Online Shopping Behavior: Understanding Factors Leading to Trust","type":"article-journal","volume":"33"},"uris":["http://www.mendeley.com/documents/?uuid=83f23a00-9bba-476b-8d6b-9d0a29f8a088"]}],"mendeley":{"formattedCitation":"[11; 59; 67]","plainTextFormattedCitation":"[11; 59; 67]","previouslyFormattedCitation":"[11; 59;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[11; 59; 67]</w:t>
      </w:r>
      <w:r w:rsidR="000A3492" w:rsidRPr="00B31BEB">
        <w:rPr>
          <w:rStyle w:val="FootnoteReference"/>
          <w:noProof/>
        </w:rPr>
        <w:fldChar w:fldCharType="end"/>
      </w:r>
      <w:r w:rsidR="00DB1A12" w:rsidRPr="00B31BEB">
        <w:rPr>
          <w:noProof/>
        </w:rPr>
        <w:t xml:space="preserve">. </w:t>
      </w:r>
      <w:r w:rsidRPr="00B31BEB">
        <w:rPr>
          <w:noProof/>
        </w:rPr>
        <w:t>Respondents are assumed to trade all the attributes so that they select an option that maximizes their utility. However, respondents sometimes ignore these information signals when making choices</w:t>
      </w:r>
      <w:r w:rsidR="00240286"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load","type":"article-journal","volume":"21"},"uris":["http://www.mendeley.com/documents/?uuid=b7423615-1ecd-4393-8411-84809f10fd5e"]},{"id":"ITEM-2","itemData":{"DOI":"10.1002/hec.1369","ISSN":"10579230","abstract":"Stated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responses","type":"article-journal","volume":"18"},"uris":["http://www.mendeley.com/documents/?uuid=65437a29-9a07-4887-a3c8-09ffb7ec08dc"]},{"id":"ITEM-3","itemData":{"DOI":"10.1287/isre.1090.0260","ISSN":"15265536","abstract":"Although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Research","id":"ITEM-3","issue":"2","issued":{"date-parts":[["2011"]]},"page":"254-268","title":"The effect of online privacy information on purchasing behavior: An experimental study","type":"article-journal","volume":"22"},"uris":["http://www.mendeley.com/documents/?uuid=42c2b602-9bd4-4b3b-a109-9e1df943ed87"]}],"mendeley":{"formattedCitation":"[26; 68; 78]","plainTextFormattedCitation":"[26; 68; 78]","previouslyFormattedCitation":"[26; 68; 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68; 78]</w:t>
      </w:r>
      <w:r w:rsidR="000A3492" w:rsidRPr="00B31BEB">
        <w:rPr>
          <w:rStyle w:val="FootnoteReference"/>
          <w:noProof/>
        </w:rPr>
        <w:fldChar w:fldCharType="end"/>
      </w:r>
      <w:r w:rsidRPr="00B31BEB">
        <w:rPr>
          <w:noProof/>
        </w:rPr>
        <w:t xml:space="preserve">. The non-use of some attributes in choices could stem from misunderstanding their significance. For instance, Sandorf et al.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xml:space="preserve"> found that respondents’ attributes’ attendance depended on knowledge of the choice context. This evidence (i.e.</w:t>
      </w:r>
      <w:r w:rsidR="009C18B1"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xml:space="preserve">) suggests that unawareness of the e-commerce context </w:t>
      </w:r>
      <w:r w:rsidRPr="00B31BEB">
        <w:rPr>
          <w:noProof/>
        </w:rPr>
        <w:lastRenderedPageBreak/>
        <w:t>could be associated with consumers’ non-attendance to crucial website attributes. Indeed, whereas e-retailers often detail their privacy practices in their online privacy policies, customers rarely read and understand the policies</w:t>
      </w:r>
      <w:r w:rsidR="00304B4D"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Research","id":"ITEM-1","issue":"2","issued":{"date-parts":[["2011"]]},"page":"254-268","title":"The effect of online privacy information on purchasing behavior: An experimental study","type":"article-journal","volume":"22"},"uris":["http://www.mendeley.com/documents/?uuid=42c2b602-9bd4-4b3b-a109-9e1df943ed87"]}],"mendeley":{"formattedCitation":"[78]","plainTextFormattedCitation":"[78]","previouslyFormattedCitation":"[78]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[78]</w:t>
      </w:r>
      <w:r w:rsidR="000A3492" w:rsidRPr="00B31BEB">
        <w:rPr>
          <w:rStyle w:val="FootnoteReference"/>
          <w:noProof/>
        </w:rPr>
        <w:fldChar w:fldCharType="end"/>
      </w:r>
      <w:r w:rsidRPr="00B31BEB">
        <w:rPr>
          <w:noProof/>
        </w:rPr>
        <w:t>. Therefore, strategies to mitigate consumers’ non-use of information should be prioritized</w:t>
      </w:r>
      <w:r w:rsidR="00A940A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{"citationItems":[{"id":"ITEM-1","itemData":{"DOI":"10.2753/MIS0742-1222250202","ISSN":"07421222","abstract":"Information availability has increased consumers' informedness, the degree to which they know what is available in the marketplace, with precisely which attributes and at precisely what price. This informedness has altered the demand side of market behavior: customers now discount more heavily when comparable products are available from competitors and when products do not meet their wants, needs, cravings, and longings, but they no longer discount as heavily when purchasing unfamiliar products. Changes in the demand side are producing comparable changes in the supply side: firms earn less than their expectations when competing in traditional mass-market fat spots, while earning far more than previously when entering newly created resonance marketing sweet spots. We trace the impact of hyperdifferentiation and resonance marketing on strategy, with a clear progression from a limited number of fat spots, through reliance on line extensions, and ultimately to fully differentiated market sweet spots. © 2008 M.E. Sharpe, Inc.","author":[{"dropping-particle":"","family":"Clemons","given":"Eric K.","non-dropping-particle":"","parse-names":false,"suffix":""}],"container-title":"Journal of Management Information Systems","id":"ITEM-1","issue":"2","issued":{"date-parts":[["2008"]]},"page":"13-40","title":"How information changes consumer behavior and how consumer behavior determines corporate strategy","type":"article-journal","volume":"25"},"uris":["http://www.mendeley.com/documents/?uuid=3b6772c6-2418-4f92-927e-228a535f35fd"]},{"id":"ITEM-2","itemData":{"DOI":"10.1016/j.dss.2007.07.001","ISSN":"01679236","abstract":"Are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Systems","id":"ITEM-2","issue":"2","issued":{"date-parts":[["2008"]]},"page":"544-564","title":"A trust-based consumer decision-making model in electronic commerce: The role of trust, perceived risk, and their antecedents","type":"article-journal","volume":"44"},"uris":["http://www.mendeley.com/documents/?uuid=c45299bb-942c-4541-b4de-ed3fbe356d97"]},{"id":"ITEM-3","itemData":{"DOI":"10.2753/MIS0742-1222270206","ISSN":"07421222","abstract":"Privacy is a significant concern of customers in the business-to-consumer online environment. Several technical, economic, and regulatory mechanisms have been proposed to address online privacy. A current market-based mechanism is the privacy seal, under which a third party assures adherence by a vendor to its posted privacy policy. In this paper, we present empirical evidence of the effect of displaying a privacy seal on the product prices of online vendors of electronic books, download-able audiobooks, and textbooks. Using data collected on these relatively homogeneous products sold by online vendors, we find that while controlling for vendor-specific characteristics, vendors bearing privacy seals charge a premium for such products compared to vendors not bearing a seal. The paper provides empirical evidence of the economic value of privacy assurance from the customers' perspective as measured by the price premium charged for products. The research has implications for researchers and policymakers by providing evidence that privacy is another factor that creates friction in e-commerce, and that prices on the Internet for homogeneous products need not converge. © 2010 M.E. Sharpe, Inc.","author":[{"dropping-particle":"","family":"Mai","given":"Bin","non-dropping-particle":"","parse-names":false,"suffix":""},{"dropping-particle":"","family":"Menon","given":"Nirup","non-dropping-particle":"","parse-names":false,"suffix":""},{"dropping-particle":"","family":"Sarkar","given":"Sumit","non-dropping-particle":"","parse-names":false,"suffix":""}],"container-title":"Journal of Management Information Systems","id":"ITEM-3","issue":"2","issued":{"date-parts":[["2010"]]},"page":"189-212","title":"No free lunch: Price premium for privacy seal-bearing vendors","type":"article-journal","volume":"27"},"uris":["http://www.mendeley.com/documents/?uuid=3a62ac5d-54f9-4328-bd5c-03bb9fe9975b"]},{"id":"ITEM-4","itemData":{"DOI":"10.1287/isre.1090.0260","ISSN":"15265536","abstract":"Although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Research","id":"ITEM-4","issue":"2","issued":{"date-parts":[["2011"]]},"page":"254-268","title":"The effect of online privacy information on purchasing behavior: An experimental study","type":"article-journal","volume":"22"},"uris":["http://www.mendeley.com/documents/?uuid=42c2b602-9bd4-4b3b-a109-9e1df943ed87"]}],"mendeley":{"formattedCitation":"[9; 36; 48; 78]","plainTextFormattedCitation":"[9; 36; 48; 78]","previouslyFormattedCitation":"[9; 36; 48; 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[9; 36; 48; 78]</w:t>
      </w:r>
      <w:r w:rsidR="000A3492" w:rsidRPr="00B31BEB">
        <w:rPr>
          <w:rStyle w:val="FootnoteReference"/>
          <w:noProof/>
        </w:rPr>
        <w:fldChar w:fldCharType="end"/>
      </w:r>
      <w:r w:rsidRPr="00B31BEB">
        <w:rPr>
          <w:noProof/>
        </w:rPr>
        <w:t>. Strategies like provision of information on attributes, which has been linked with positive and significant effects on consumers’ preferences</w:t>
      </w:r>
      <w:r w:rsidR="003F759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Pr="00B31BEB">
        <w:rPr>
          <w:noProof/>
        </w:rPr>
        <w:t>, should be explored. For e-retailers, providing information on their websites and e-commerce</w:t>
      </w:r>
      <w:r w:rsidR="00494FA3" w:rsidRPr="00B31BEB">
        <w:rPr>
          <w:noProof/>
        </w:rPr>
        <w:t xml:space="preserve"> could have several effects. First, information can reduce asymmetries by increasing customers’ awareness of key website attributes</w:t>
      </w:r>
      <w:r w:rsidR="008C493C"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Systems","id":"ITEM-1","issue":"2","issued":{"date-parts":[["2008"]]},"page":"544-564","title":"A trust-based consumer decision-making model in electronic commerce: The role of trust, perceived risk, and their antecedents","type":"article-journal","volume":"44"},"uris":["http://www.mendeley.com/documents/?uuid=c45299bb-942c-4541-b4de-ed3fbe356d97"]},{"id":"ITEM-2","itemData":{"DOI":"10.2753/MIS0742-1222270206","ISSN":"07421222","abstract":"Privacy is a significant concern of customers in the business-to-consumer online environment. Several technical, economic, and regulatory mechanisms have been proposed to address online privacy. A current market-based mechanism is the privacy seal, under which a third party assures adherence by a vendor to its posted privacy policy. In this paper, we present empirical evidence of the effect of displaying a privacy seal on the product prices of online vendors of electronic books, download-able audiobooks, and textbooks. Using data collected on these relatively homogeneous products sold by online vendors, we find that while controlling for vendor-specific characteristics, vendors bearing privacy seals charge a premium for such products compared to vendors not bearing a seal. The paper provides empirical evidence of the economic value of privacy assurance from the customers' perspective as measured by the price premium charged for products. The research has implications for researchers and policymakers by providing evidence that privacy is another factor that creates friction in e-commerce, and that prices on the Internet for homogeneous products need not converge. © 2010 M.E. Sharpe, Inc.","author":[{"dropping-particle":"","family":"Mai","given":"Bin","non-dropping-particle":"","parse-names":false,"suffix":""},{"dropping-particle":"","family":"Menon","given":"Nirup","non-dropping-particle":"","parse-names":false,"suffix":""},{"dropping-particle":"","family":"Sarkar","given":"Sumit","non-dropping-particle":"","parse-names":false,"suffix":""}],"container-title":"Journal of Management Information Systems","id":"ITEM-2","issue":"2","issued":{"date-parts":[["2010"]]},"page":"189-212","title":"No free lunch: Price premium for privacy seal-bearing vendors","type":"article-journal","volume":"27"},"uris":["http://www.mendeley.com/documents/?uuid=3a62ac5d-54f9-4328-bd5c-03bb9fe9975b"]},{"id":"ITEM-3","itemData":{"DOI":"10.1080/07421222.2016.1267531","ISSN":"1557928X","abstract":"Trust underlies much of the online shopping behavior. We compare trust in online shopping in four countries: (1) the United States, a mature online market; (2) Germany; (3) China, the fastest growing online market, where consumers are plagued by counterfeits, forgeries, and spoiled or defective items; and (4) Singapore. We performed laboratory experiments in all four countries. We used three experimental treatments: (1) no assurances; (2) promises of product quality and authenticity; and (3) promises backed up by third-party assurances. We examined subjects’ perceived risk associated with different treatments across different vendor types. The impact of treatments and of vendor reputation on consumers’ trust varied across countries in ways that we did not expect. In mature online markets like the United States, online shopping appears to be treated as just another form of shopping. In China, if an online vendor can establish a reputation for quality, consumers appear to treat those merchants much as Americans do their own favorite online vendors, despite problems with Chinese shopping more generally.","author":[{"dropping-particle":"","family":"Clemons","given":"Eric K.","non-dropping-particle":"","parse-names":false,"suffix":""},{"dropping-particle":"","family":"Wilson","given":"Josh","non-dropping-particle":"","parse-names":false,"suffix":""},{"dropping-particle":"","family":"Matt","given":"Christian","non-dropping-particle":"","parse-names":false,"suffix":""},{"dropping-particle":"","family":"Hess","given":"Thomas","non-dropping-particle":"","parse-names":false,"suffix":""},{"dropping-particle":"","family":"Ren","given":"Fei","non-dropping-particle":"","parse-names":false,"suffix":""},{"dropping-particle":"","family":"Jin","given":"Fujie","non-dropping-particle":"","parse-names":false,"suffix":""},{"dropping-particle":"","family":"Koh","given":"Noi Sian","non-dropping-particle":"","parse-names":false,"suffix":""}],"container-title":"Journal of Management Information Systems","id":"ITEM-3","issue":"4","issued":{"date-parts":[["2016"]]},"page":"1117-1148","title":"Global Differences in Online Shopping Behavior: Understanding Factors Leading to Trust","type":"article-journal","volume":"33"},"uris":["http://www.mendeley.com/documents/?uuid=83f23a00-9bba-476b-8d6b-9d0a29f8a088"]}],"mendeley":{"formattedCitation":"[11; 36; 48]","plainTextFormattedCitation":"[11; 36; 48]","previouslyFormattedCitation":"[11; 36; 48]"},"properties":{"noteIndex":0},"schema":"https://github.com/citation-style-language/schema/raw/master/csl-citation.json"}</w:instrText>
      </w:r>
      <w:r w:rsidR="000A3492" w:rsidRPr="00B31BEB">
        <w:rPr>
          <w:rStyle w:val="FootnoteReference"/>
          <w:noProof/>
        </w:rPr>
        <w:fldChar w:fldCharType="separate"/>
      </w:r>
      <w:r w:rsidR="00F8005E" w:rsidRPr="00B31BEB">
        <w:rPr>
          <w:noProof/>
        </w:rPr>
        <w:t>[11; 36; 48]</w:t>
      </w:r>
      <w:r w:rsidR="000A3492" w:rsidRPr="00B31BEB">
        <w:rPr>
          <w:rStyle w:val="FootnoteReference"/>
          <w:noProof/>
        </w:rPr>
        <w:fldChar w:fldCharType="end"/>
      </w:r>
      <w:r w:rsidR="00494FA3" w:rsidRPr="00B31BEB">
        <w:rPr>
          <w:noProof/>
        </w:rPr>
        <w:t>. Second, information can bridge the long-standing trust issues that consumers have with e-commerce</w:t>
      </w:r>
      <w:r w:rsidR="00A33576"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{"citationItems":[{"id":"ITEM-1","itemData":{"DOI":"10.1287/isre.13.3.334.81","ISSN":"10477047","abstract":"Evidence suggests that consumers often hesitate to transact with Web-based vendors because of uncertainty about vendor behavior or the perceived risk of having personal information stolen by hackers. Trust plays a central role in helping consumers overcome perceptions of risk and insecurity. Trust makes consumers comfortable sharing personal information, making purchases, and acting on Web vendor advice - behaviors essential to widespread adoption of e-commerce. Therefore, trust is critical to both researchers and practitioners. Prior research on e-commerce trust has used diverse, incomplete, and inconsistent definitions of trust, making it difficult to compare results across studies. This paper contributes by proposing and validating measures for a multidisciplinary, multidimensional model of trust in e-commerce. The model includes four high-level constructs - disposition to trust, institution-based trust, trusting beliefs, and trusting intentions - which are further delineated into 16 measurable, literature-grounded subconstructs. The psychometric properties of the measures are demonstrated through use of a hypothetical, legal advice Web site. The results show that trust is indeed a multidimensional concept. Proposed relationships among the trust constructs are tested (for internal nomological validity), as are relationships between the trust constructs and three other e-commerce constructs (for external nomological validity) - Web experience, personal innovativeness, and Web site quality. Suggestions for future research as well as implications for practice are discussed.","author":[{"dropping-particle":"","family":"McKnight","given":"D. Harrison","non-dropping-particle":"","parse-names":false,"suffix":""},{"dropping-particle":"","family":"Choudhury","given":"Vivek","non-dropping-particle":"","parse-names":false,"suffix":""},{"dropping-particle":"","family":"Kacmar","given":"Charles","non-dropping-particle":"","parse-names":false,"suffix":""}],"container-title":"Information Systems Research","id":"ITEM-1","issue":"3","issued":{"date-parts":[["2002"]]},"page":"334-359","title":"Developing and validating trust measures for e-commerce: An integrative typology","type":"article-journal","volume":"13"},"uris":["http://www.mendeley.com/documents/?uuid=c47430c1-2d7d-4e97-868d-5ddcb3e40ad8"]},{"id":"ITEM-2","itemData":{"DOI":"10.4304/jcp.4.1.11-18","ISSN":"1796203X","abstract":"Lack of consumer trust is a critical obstacle to the success of online retailing. Knowledge is one important factor influencing the level of trust. However, there is no consensus on the relationship between knowledge and trust. Some studies argued a negative relationship between knowledge and trust while the others argued positive. This study discussed the relationship among knowledge, trust in online shopping, and the intention to go shopping online. The results revealed that knowledge is positively associated with trust and online shopping activities. In other words, people who know more about online shopping will trust and go shopping more online. Online retailing practice should make the public knowledgeable about online transaction security mechanisms to build users' trust in online shopping. © 2009 Academy Publisher.","author":[{"dropping-particle":"","family":"Wang","given":"Chih Chien","non-dropping-particle":"","parse-names":false,"suffix":""},{"dropping-particle":"","family":"Chen","given":"Chun An","non-dropping-particle":"","parse-names":false,"suffix":""},{"dropping-particle":"","family":"Jiang","given":"Jui Chin","non-dropping-particle":"","parse-names":false,"suffix":""}],"container-title":"Journal of Computers","id":"ITEM-2","issue":"1","issued":{"date-parts":[["2009"]]},"page":"11-18","title":"The impact of knowledge and trust on E-consumers' online shopping activities: An empirical study","type":"article-journal","volume":"4"},"uris":["http://www.mendeley.com/documents/?uuid=d35520cc-bf3c-4cc2-ac7e-786e88548a94"]},{"id":"ITEM-3","itemData":{"DOI":"10.1111/j.1468-2370.2011.00311.x","ISSN":"14608545","abstract":"This paper systematically reviews previous studies of trust from social, economic and technological perspectives and develops a holistic framework for trust, which can be used to analyse the establishment and maintenance of trust in online transactions, and identify the mechanisms that can be used to increase trust. Trust plays a crucial role in the formation of dependent relationships represented by online transactions, and a holistic treatment of trust is necessary because of the gap that exists between the developments in information systems and our understanding of their social and economic implications, and the impact on the perceived trust of the transacting parties. This review enables us to depict an online transaction through its attributes and context, and systematically map these to identified trust antecedents. The key components and processes of the framework are outlined, and three strands of empirical work are discussed to develop it further. The framework highlights the critical role of institutions in the establishment and maintenance of trust in online transactions, which informs the development of e-commerce and e-business platforms and the underpinning information systems, and facilitates the establishment of mechanisms to induce additional institutions to increase trust in online transactions. © 2011 The Authors. International Journal of Management Reviews © 2011 British Academy of Management and Blackwell Publishing Ltd.","author":[{"dropping-particle":"","family":"Li","given":"Feng","non-dropping-particle":"","parse-names":false,"suffix":""},{"dropping-particle":"","family":"Pieńkowski","given":"Dariusz","non-dropping-particle":"","parse-names":false,"suffix":""},{"dropping-particle":"","family":"Moorsel","given":"Aad","non-dropping-particle":"Van","parse-names":false,"suffix":""},{"dropping-particle":"","family":"Smith","given":"Chris","non-dropping-particle":"","parse-names":false,"suffix":""}],"container-title":"International Journal of Management Reviews","id":"ITEM-3","issue":"1","issued":{"date-parts":[["2012"]]},"page":"85-103","title":"A Holistic Framework for Trust in Online Transactions","type":"article","volume":"14"},"uris":["http://www.mendeley.com/documents/?uuid=caa287c4-632e-41bd-97d9-3a9833ea2393"]},{"id":"ITEM-4","itemData":{"DOI":"10.1080/07421222.2014.995538","ISSN":"1557928X","abstract":"Previous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Systems","id":"ITEM-4","issue":"3","issued":{"date-parts":[["2014"]]},"page":"138-171","title":"Digital Natives or Digital Immigrants? The Impact of User Characteristics on Online Trust","type":"article-journal","volume":"31"},"uris":["http://www.mendeley.com/documents/?uuid=0a9db95f-897f-4e67-ab94-9dd892278960"]},{"id":"ITEM-5","itemData":{"DOI":"10.1108/IntR-03-2017-0135","ISSN":"10662243","abstract":"Purpose: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Research","id":"ITEM-5","issue":"4","issued":{"date-parts":[["2019"]]},"page":"799-817","title":"Tell me your age and I tell you what you trust: the moderating effect of generations","type":"article-journal","volume":"29"},"uris":["http://www.mendeley.com/documents/?uuid=b82cdbb5-4533-48e7-8b9e-b4a057f087aa"]}],"mendeley":{"formattedCitation":"[28; 30; 42; 54; 83]","plainTextFormattedCitation":"[28; 30; 42; 54; 83]","previouslyFormattedCitation":"[28; 30; 42; 54; 83]"},"properties":{"noteIndex":0},"schema":"https://github.com/citation-style-language/schema/raw/master/csl-citation.json"}</w:instrText>
      </w:r>
      <w:r w:rsidR="000A3492" w:rsidRPr="00B31BEB">
        <w:rPr>
          <w:rStyle w:val="FootnoteReference"/>
          <w:noProof/>
        </w:rPr>
        <w:fldChar w:fldCharType="separate"/>
      </w:r>
      <w:r w:rsidR="00F8005E" w:rsidRPr="00B31BEB">
        <w:rPr>
          <w:noProof/>
        </w:rPr>
        <w:t>[28; 30; 42; 54; 83]</w:t>
      </w:r>
      <w:r w:rsidR="000A3492" w:rsidRPr="00B31BEB">
        <w:rPr>
          <w:rStyle w:val="FootnoteReference"/>
          <w:noProof/>
        </w:rPr>
        <w:fldChar w:fldCharType="end"/>
      </w:r>
      <w:r w:rsidR="00A33576" w:rsidRPr="00B31BEB">
        <w:rPr>
          <w:noProof/>
        </w:rPr>
        <w:t xml:space="preserve">. </w:t>
      </w:r>
      <w:r w:rsidR="00494FA3" w:rsidRPr="00B31BEB">
        <w:rPr>
          <w:noProof/>
        </w:rPr>
        <w:t>Third, explaining the important attributes can lead to the retailers’ website being chosen more often for (repeat) e-purchases</w:t>
      </w:r>
      <w:r w:rsidR="000C036C"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Research","id":"ITEM-1","issue":"2","issued":{"date-parts":[["2011"]]},"page":"254-268","title":"The effect of online privacy information on purchasing behavior: An experimental study","type":"article-journal","volume":"22"},"uris":["http://www.mendeley.com/documents/?uuid=42c2b602-9bd4-4b3b-a109-9e1df943ed87"]},{"id":"ITEM-2","itemData":{"DOI":"10.1080/10864415.2016.1121762","ISSN":"15579301","abstract":"An online retailers website acts as a focal point for a companys online identity, not only encompassing the products and services offered but also presenting the aesthetic image and values of the company. Cultivating a strong company online identity helps differentiate one online retailer from another, attracts and retains customers to strengthen competitive advantage, and enhances brand, product, or service distinctions. Our study proposes that an online retailers website cultivates a particular identity that consumers may identify with to varying degrees. This identification with an online retailers web presence may generate repeat purchases from committed consumers, or even extra-role behaviors such as the creation and distribution of written, audio, and video content online. Website identification is proposed to be a representation of a consumers identification with his/her perception of an online retailers identity. Website identification is theorized to act as a mediating factor that unifies online purchase research streams with information systems, consumer behavior, and marketing, presenting new strategies for online retailers to assess and build a strong customer base. This study demonstrates that website identification provides a new theoretical perspective to understand online shopping behavior of committed customers. We recommend that online retailers promote website identification to attract and retain repeat customers by focusing on the attractiveness of the website and product offerings while maintaining a high degree of trust.","author":[{"dropping-particle":"","family":"King","given":"Ruth C.","non-dropping-particle":"","parse-names":false,"suffix":""},{"dropping-particle":"","family":"Schilhavy","given":"Richard A.M.","non-dropping-particle":"","parse-names":false,"suffix":""},{"dropping-particle":"","family":"Chowa","given":"Charles","non-dropping-particle":"","parse-names":false,"suffix":""},{"dropping-particle":"","family":"Chin","given":"Wynne W.","non-dropping-particle":"","parse-names":false,"suffix":""}],"container-title":"International Journal of Electronic Commerce","id":"ITEM-2","issue":"3","issued":{"date-parts":[["2016"]]},"page":"319-354","title":"Do customers identify with our website? The effects of website identification on repeat purchase intention","type":"article-journal","volume":"20"},"uris":["http://www.mendeley.com/documents/?uuid=be34fd9d-5963-456f-b3fb-864622edf86d"]},{"id":"ITEM-3","itemData":{"DOI":"10.1016/j.ijinfomgt.2017.12.008","ISSN":"02684012","abstract":"This study enhances the existing literature on online trust by integrating the consumers’ product evaluations model and technology adoption model in e-commerce environments. In this study, we investigate how perceived value influences the perceptions of online trust among online buyers and their willingness to repurchase from the same website. This study proposes a research model that compares the relative importance of perceived value and online trust to perceived usefulness in influencing consumers’ repurchase intention. The proposed model is tested using data collected from online consumers of e-commerce. The findings show that although trust and e-commerce adoption components are critical in influencing repurchase intention, product evaluation factors are also important in determining repurchase intention. Perceived quality is influenced by the perceptions of competitive price and website reputation, which in turn influences perceived value; and perceived value, website reputation, and perceived risk influence online trust, which in turn influence repurchase intention. The findings also indicate that the effect of perceived usefulness on repurchase intention is not significant whereas perceived value and online trust are the major determinants of repurchase intention. Major theoretical contributions and practical implications are discussed.","author":[{"dropping-particle":"","family":"Sullivan","given":"Yulia W.","non-dropping-particle":"","parse-names":false,"suffix":""},{"dropping-particle":"","family":"Kim","given":"Dan J.","non-dropping-particle":"","parse-names":false,"suffix":""}],"container-title":"International Journal of Information Management","id":"ITEM-3","issued":{"date-parts":[["2018"]]},"page":"199-219","title":"Assessing the effects of consumers’ product evaluations and trust on repurchase intention in e-commerce environments","type":"article-journal","volume":"39"},"uris":["http://www.mendeley.com/documents/?uuid=504de468-5e5e-4679-a08b-26e4095c31c6"]}],"mendeley":{"formattedCitation":"[38; 75; 78]","plainTextFormattedCitation":"[38; 75; 78]","previouslyFormattedCitation":"[38; 75; 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[38; 75; 78]</w:t>
      </w:r>
      <w:r w:rsidR="000A3492" w:rsidRPr="00B31BEB">
        <w:rPr>
          <w:rStyle w:val="FootnoteReference"/>
          <w:noProof/>
        </w:rPr>
        <w:fldChar w:fldCharType="end"/>
      </w:r>
      <w:r w:rsidR="00494FA3" w:rsidRPr="00B31BEB">
        <w:rPr>
          <w:noProof/>
        </w:rPr>
        <w:t>.</w:t>
      </w:r>
    </w:p>
    <w:p w:rsidR="00D054AB" w:rsidRPr="00B31BEB" w:rsidRDefault="00494FA3" w:rsidP="00620A89">
      <w:pPr>
        <w:tabs>
          <w:tab w:val="center" w:pos="4800"/>
          <w:tab w:val="right" w:pos="9500"/>
        </w:tabs>
        <w:ind w:firstLine="720"/>
        <w:rPr>
          <w:noProof/>
        </w:rPr>
      </w:pPr>
      <w:r w:rsidRPr="00B31BEB">
        <w:rPr>
          <w:noProof/>
        </w:rPr>
        <w:t>The question for this study is: when information on attributes is provided, how should researchers model its impact? Should the influence be assessed through changes in preference parameters (as done in</w:t>
      </w:r>
      <w:r w:rsidR="00D72C37"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Pr="00B31BEB">
        <w:rPr>
          <w:noProof/>
        </w:rPr>
        <w:t xml:space="preserve">)? Or can the effect(s) be modeled via changes in ANA behavior? Which way of modeling information impact (preference parameter versus ANA changes) would describe the behavioral changes better? Our work draws parallels with Sandorf et al.,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xml:space="preserve"> who modeled the knowledge effect on ANA in environmental choices. Sandorf et al.,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xml:space="preserve"> found a link between respondents’ ANA behavior and their knowledge level. In this study, unlike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xml:space="preserve">, we provide information on attributes to reinforce customers’ existing knowledge on website characteristics. For website choices, providing information in the study may be more effective since respondents’ familiarity with technical website attributes can be low. We contrast this finding with modeling the information impact via changes in preference parameters. </w:t>
      </w:r>
    </w:p>
    <w:p w:rsidR="00D054AB" w:rsidRPr="00B31BEB" w:rsidRDefault="00D054AB" w:rsidP="00620A89">
      <w:pPr>
        <w:pStyle w:val="Heading3"/>
      </w:pPr>
      <w:r w:rsidRPr="00B31BEB">
        <w:lastRenderedPageBreak/>
        <w:t>Behavior</w:t>
      </w:r>
      <w:r w:rsidR="00825271" w:rsidRPr="00B31BEB">
        <w:t>al</w:t>
      </w:r>
      <w:r w:rsidRPr="00B31BEB">
        <w:t xml:space="preserve"> changes and attribute non-attendance</w:t>
      </w:r>
    </w:p>
    <w:p w:rsidR="009E5473" w:rsidRPr="00B31BEB" w:rsidRDefault="00AA4F6D" w:rsidP="00620A89">
      <w:pPr>
        <w:tabs>
          <w:tab w:val="center" w:pos="4800"/>
          <w:tab w:val="right" w:pos="9500"/>
        </w:tabs>
        <w:ind w:firstLine="720"/>
        <w:rPr>
          <w:noProof/>
        </w:rPr>
      </w:pPr>
      <w:r w:rsidRPr="00B31BEB">
        <w:rPr>
          <w:noProof/>
        </w:rPr>
        <w:t>In the recent past, there has been a rise in choice experiments modeling changes in consumers’ preferences (e.g.,</w:t>
      </w:r>
      <w:r w:rsidR="001F0DD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Research","id":"ITEM-1","issue":"2","issued":{"date-parts":[["2014"]]},"page":"345-363","title":"Consumer informedness and firm information strategy","type":"article-journal","volume":"25"},"uris":["http://www.mendeley.com/documents/?uuid=ac86c383-b144-4c72-ab96-c66418fd198e"]},{"id":"ITEM-2","itemData":{"DOI":"10.1287/isre.13.3.255.78","ISSN":"10477047","abstract":"The ability to retain and lock in customers in the face of competition is a major concern for online businesses, especially those that invest heavily in advertising and customer acquisition. In this paper, we develop and implement an approach for measuring the magnitudes of switching costs and brand loyalty for online service providers based on the random utility modeling framework. We then examine how systems usage, service design, and other firmand individual-level factors affect switching and retention. Using data on the online brokerage industry, we find significant variation (as much as a factor of two) in measured switching costs. We find that customer demographic characteristics have little effect on switching, but that systems usage measures and systems quality are associated with reduced switching. We also find that firm characteristics such as product line breadth and quality reduce switching and may also reduce customer attrition. Overall, we conclude that online brokerage firms appear to have different abilities in retaining customers and have considerable control over their switching costs.","author":[{"dropping-particle":"","family":"Chen","given":"Pei Yu","non-dropping-particle":"","parse-names":false,"suffix":""},{"dropping-particle":"","family":"Hitt","given":"Lorin M.","non-dropping-particle":"","parse-names":false,"suffix":""}],"container-title":"Information Systems Research","id":"ITEM-2","issue":"3","issued":{"date-parts":[["2002"]]},"page":"255-274","title":"Measuring switching costs and the determinants of customer retention in internet-enabled businesses: A study of the online brokerage industry","type":"article-journal","volume":"13"},"uris":["http://www.mendeley.com/documents/?uuid=5fd3fc66-6af8-4f5b-ba47-381f005a070a"]},{"id":"ITEM-3","itemData":{"DOI":"10.1080/10864415.2003.11044271","ISSN":"10864415","abstract":"This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Commerce","id":"ITEM-3","issue":"3","issued":{"date-parts":[["2003"]]},"page":"39-63","title":"A Study of consumer switching behavior across internet portal web sites","type":"article-journal","volume":"7"},"uris":["http://www.mendeley.com/documents/?uuid=1a039dcb-290c-446a-a510-7b3d3361f99d"]},{"id":"ITEM-4","itemData":{"DOI":"10.1007/s11129-006-6559-x","ISSN":"15707156","abstract":"We develop discrete choice models that account for parameter driven preference dynamics. Choice model parameters may change over time because of shifting market conditions or due to changes in attribute levels over time or because of consumer learning. In this paper we show how such preference evolution can be modeled using hierarchial Bayesian state space models of discrete choice. The main feature of our approach is that it allows for the simultaneous incorporation of multiple sources of preference and choice dynamics. We show how the state space approach can include state dependence, unobserved heterogeneity, and more importantly, temporal variability in preferences using a correlated sequence of population distributions. The proposed model is very general and nests commonly used choice models in the literature as special cases. We use Markov chain montecarlo methods for estimating model parameters and apply our methodology to a scanner data set containing household brand choices over an eight-year period. Our analysis indicates that preferences exhibit significant variation over the time-span of the data and that incorporating time-variation in parameters is crucial for appropriate inferences regarding the magnitude and evolution of choice elasticities. We also find that models that ignore time variation in parameters can yield misleading inferences about the impact of causal variables. © Springer Science + Business Media, LLC 2006.","author":[{"dropping-particle":"","family":"Lachaab","given":"Mohamed","non-dropping-particle":"","parse-names":false,"suffix":""},{"dropping-particle":"","family":"Ansari","given":"Asim","non-dropping-particle":"","parse-names":false,"suffix":""},{"dropping-particle":"","family":"Jedidi","given":"Kamel","non-dropping-particle":"","parse-names":false,"suffix":""},{"dropping-particle":"","family":"Trabelsi","given":"Abdelwahed","non-dropping-particle":"","parse-names":false,"suffix":""}],"container-title":"Quantitative Marketing and Economics","id":"ITEM-4","issue":"1","issued":{"date-parts":[["2006"]]},"page":"57-81","title":"Modeling preference evolution in discrete choice models: A Bayesian state-space approach","type":"article-journal","volume":"4"},"uris":["http://www.mendeley.com/documents/?uuid=12cef3d8-b994-491a-a554-f8a1825d9625"]},{"id":"ITEM-5","itemData":{"DOI":"10.1287/mksc.1070.0294","ISSN":"07322399","abstract":"This research models the dynamics of customer relationships using typical transaction data. Our proposed model permits not only capturing the dynamics of customer relationships, but also incorporating the effect of the sequence of customer-firm encounters on the dynamics of customer relationships and the subsequent buying behavior. Our approach to modeling relationship dynamics is structurally different from existing approaches. Specifically we construct and estimate a nonhomogeneous hidden Markov model to model the transitions among latent relationship states and effects on buying behavior. In the proposed model, the transitions between the states are a function of time-varying covariates such as customer-firm encounters that could have an enduring impact by shifting the customer to a different (unobservable) relationship state. The proposed model enables marketers to dynamically segment their customer base and to examine methods by which the firm can alter long-term buying behavior. We use a hierarchical Bayes approach to capture the unobserved heterogeneity across customers. We calibrate the model in the context of alumni relations using a longitudinal gift-giving data set. Using the proposed model, we probabilistically classify the alumni base into three relationship states and estimate the effect of alumni-university interactions, such as reunions, on the movement of alumni between these states. Additionally, we demonstrate improved prediction ability on a hold-out sample. © 2008 INFORMS.","author":[{"dropping-particle":"","family":"Netzer","given":"Oded","non-dropping-particle":"","parse-names":false,"suffix":""},{"dropping-particle":"","family":"Lattin","given":"James M.","non-dropping-particle":"","parse-names":false,"suffix":""},{"dropping-particle":"","family":"Srinivasan","given":"V.","non-dropping-particle":"","parse-names":false,"suffix":""}],"container-title":"Marketing Science","id":"ITEM-5","issue":"2","issued":{"date-parts":[["2008"]]},"page":"185-204","publisher":"INFORMS","title":"A hidden Markov model of customer relationship dynamics","type":"article-journal","volume":"27"},"uris":["http://www.mendeley.com/documents/?uuid=e440ac4b-a042-4ef9-aed6-7d3289649cf2"]},{"id":"ITEM-6","itemData":{"DOI":"10.1007/978-3-319-53469-5_14","ISBN":"978-3-319-53469-5","author":[{"dropping-particle":"","family":"Netzer, Oded and Ebbes, Peter and Bijmolt","given":"Tammo HA","non-dropping-particle":"","parse-names":false,"suffix":""}],"chapter-number":"14","container-title":"Advanced methods for modeling markets","editor":[{"dropping-particle":"","family":"Leeflang, Peter S. H. and Wieringa, Jaap E. and Bijmolt, Tammo H.A and Pauwels","given":"Koen H.","non-dropping-particle":"","parse-names":false,"suffix":""}],"id":"ITEM-6","issued":{"date-parts":[["2017"]]},"page":"405--449","publisher":"Springer International Publishing","title":"Hidden Markov models in marketing","type":"chapter"},"uris":["http://www.mendeley.com/documents/?uuid=a2a96c8a-b957-4de8-a675-9f71ad85093e"]},{"id":"ITEM-7","itemData":{"DOI":"10.1016/j.jretai.2017.04.001","ISSN":"00224359","abstract":"Low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Retailing","id":"ITEM-7","issue":"3","issued":{"date-parts":[["2017"]]},"page":"253-265","publisher":"Elsevier Inc","title":"Online Purchase Paths and Conversion Dynamics across Multiple Websites","type":"article-journal","volume":"93"},"uris":["http://www.mendeley.com/documents/?uuid=3c7fb30d-0e34-4b90-9257-b376f40a8f9b"]},{"id":"ITEM-8","itemData":{"DOI":"10.1016/j.foodpol.2013.01.006","ISSN":"03069192","abstract":"We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Policy","id":"ITEM-8","issued":{"date-parts":[["2013"]]},"page":"31-43","title":"Green market expansion by reducing information asymmetries: Evidence for labeled organic food products","type":"article-journal","volume":"40"},"uris":["http://www.mendeley.com/documents/?uuid=65353283-cbff-49f5-970f-84f9820b38a2"]},{"id":"ITEM-9","itemData":{"DOI":"10.2753/JEC1086-4415190101","ISSN":"10864415","abstract":"Trust in e-commerce is a multilevel construct (intrapersonal, system, and interpersonal), and trust building is a dynamic evolutionary process that can be adjusted over time when additional evidence of new interactions becomes available. From a consumer's perspective in a business-to-consumer e-commerce context, there are at least two trustees: the Internet as a shopping channel (the e-channel - system level) and an Internet selling party or Internet vendor (the e-vendor - interpersonal level) as a business partner. Understanding the multilevel and dynamic nature of trust in e-commerce is important because it not only provides practical insights that can be used to further enhance the online experiences for both online managers and consumers but also extends our conceptual foundations of trust. Although the multilevel and dynamic nature of trust is a crucial characteristic of trust in e-commerce, there is little empirical research. To fill this knowledge gap, this study proposes a multilevel model of e-channel and e-vendor trust, including trust propensity (intrapersonal level) from a cross-stage (pre- and postpurchase) perspective. This study also proposes a relatively new construct, the consumer's perceived delivery fulfillment in e-commerce. Implications of the findings for theory and practice as well as limitations and avenues for future study are discussed.","author":[{"dropping-particle":"","family":"Kim","given":"Dan J.","non-dropping-particle":"","parse-names":false,"suffix":""}],"container-title":"International Journal of Electronic Commerce","id":"ITEM-9","issue":"1","issued":{"date-parts":[["2014"]]},"page":"11-64","title":"A study of the multilevel and dynamic nature of trust in E-commerce from a cross-stage perspective","type":"article","volume":"19"},"uris":["http://www.mendeley.com/documents/?uuid=2568b4d5-6901-4f26-895e-a59f05b91165"]},{"id":"ITEM-10","itemData":{"DOI":"10.3368/le.90.2.324","ISSN":"00237639","abstract":"Using multiple choice tasks per respondent in discrete choice experiment studies increases the amount of available information. However, respondents' learning and fatigue may lead to changes in observed utility function preference (taste) parameters, as well as the variance in its error term (scale); they need to be controlled to avoid potential bias. A sizable body of empirical research offers mixed evidence in terms of whether these ordering effects are observed. We point to a significant component in explaining these differences; we show how accounting for unobservable preference and scale heterogeneity can influence the magnitude of observed ordering effects. © 2014 by the Board of Regents of the University of Wisconsin System.","author":[{"dropping-particle":"","family":"Czajkowski","given":"Mikolaj","non-dropping-particle":"","parse-names":false,"suffix":""},{"dropping-particle":"","family":"Giergiczny","given":"Marek","non-dropping-particle":"","parse-names":false,"suffix":""},{"dropping-particle":"","family":"Greene","given":"William H.","non-dropping-particle":"","parse-names":false,"suffix":""}],"container-title":"Land Economics","id":"ITEM-10","issue":"2","issued":{"date-parts":[["2014"]]},"page":"324-351","title":"Learning and fatigue effects revisited: Investigating the effects of accounting for unobservable preference and scale heterogeneity","type":"article-journal","volume":"90"},"uris":["http://www.mendeley.com/documents/?uuid=efba2ac6-e545-4cc5-b847-49b085755a3a"]}],"mendeley":{"formattedCitation":"[5; 15; 35; 39; 41; 43; 55; 56; 61; 67]","plainTextFormattedCitation":"[5; 15; 35; 39; 41; 43; 55; 56; 61; 67]","previouslyFormattedCitation":"[5; 15; 35; 39; 41; 43; 55; 56; 61;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[5; 15; 35; 39; 41; 43; 55; 56; 61; 67]</w:t>
      </w:r>
      <w:r w:rsidR="000A3492" w:rsidRPr="00B31BEB">
        <w:rPr>
          <w:rStyle w:val="FootnoteReference"/>
          <w:noProof/>
        </w:rPr>
        <w:fldChar w:fldCharType="end"/>
      </w:r>
      <w:r w:rsidRPr="00B31BEB">
        <w:rPr>
          <w:noProof/>
        </w:rPr>
        <w:t>). Similarly, save for e-commerce, choice studies investigating ANA behavior ha</w:t>
      </w:r>
      <w:r w:rsidR="006217AF" w:rsidRPr="00B31BEB">
        <w:rPr>
          <w:noProof/>
        </w:rPr>
        <w:t>ve</w:t>
      </w:r>
      <w:r w:rsidRPr="00B31BEB">
        <w:rPr>
          <w:noProof/>
        </w:rPr>
        <w:t xml:space="preserve"> been on the rise</w:t>
      </w:r>
      <w:r w:rsidR="00C651C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load","type":"article-journal","volume":"21"},"uris":["http://www.mendeley.com/documents/?uuid=b7423615-1ecd-4393-8411-84809f10fd5e"]},{"id":"ITEM-2","itemData":{"DOI":"10.1002/hec.1369","ISSN":"10579230","abstract":"Stated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responses","type":"article-journal","volume":"18"},"uris":["http://www.mendeley.com/documents/?uuid=65437a29-9a07-4887-a3c8-09ffb7ec08dc"]},{"id":"ITEM-3","itemData":{"DOI":"10.1093/erae/jbp012","ISBN":"0165-1587","ISSN":"01651587","PMID":"20093261227","abstract":"Non-market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Economics","id":"ITEM-3","issue":"2","issued":{"date-parts":[["2009"]]},"page":"151-174","title":"Modelling attribute non-attendance in choice experiments for rural landscape valuation","type":"article-journal","volume":"36"},"uris":["http://www.mendeley.com/documents/?uuid=439f07bd-ddbc-47e0-aa99-5a776535bf11"]},{"id":"ITEM-4","itemData":{"DOI":"10.1016/j.econlet.2010.11.033","ISSN":"01651765","abstract":"This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Letters","id":"ITEM-4","issue":"3","issued":{"date-parts":[["2011"]]},"page":"203-205","title":"A discrete choice model with endogenous attribute attendance","type":"article-journal","volume":"110"},"uris":["http://www.mendeley.com/documents/?uuid=5662ee3c-a6f3-42b2-983b-10d425b6ed72"]},{"id":"ITEM-5","itemData":{"DOI":"10.1002/hec.2824","ISSN":"10579230","abstract":"A growing literature, mainly from transport and environment economics, has started to explore whether respondents violate some of the axioms about individuals' preferences in Discrete Choice Experiments (DCEs) and use simple strategies to make their choices. One of these strategies, termed attribute non-attendance (ANA), consists in ignoring one or more attributes. Using data from a DCE administered to healthcare providers in Ghana to evaluate their potential resistance to changes in clinical guidelines, this study illustrates how latent class models can be used in a step-wise approach to account for all possible ANA strategies used by respondents and explore the consequences of such behaviours. Results show that less than 3% of respondents considered all attributes when choosing between the two hypothetical scenarios proposed, with a majority looking at only one or two attributes. Accounting for ANA strategies improved the goodness-of-fit of the model and affected the magnitude of some of the coefficient and willingness-to-pay estimates. However, there was no difference in the predicted probabilities of the model taking into account ANA and the standard approach. Although the latter result is reassuring about the ability of DCEs to produce unbiased policy guidance, it should be confirmed by other studies. Copyright © 2012 John Wiley &amp; Sons, Ltd. Copyright © 2012 John Wiley &amp; Sons, Ltd.","author":[{"dropping-particle":"","family":"Lagarde","given":"Mylene","non-dropping-particle":"","parse-names":false,"suffix":""}],"container-title":"Health Economics (United Kingdom)","id":"ITEM-5","issue":"5","issued":{"date-parts":[["2013"]]},"page":"554-567","title":"Investigating attribute non-attendance and its consequences in choice experiments with latent class models","type":"article-journal","volume":"22"},"uris":["http://www.mendeley.com/documents/?uuid=f8b1c0e1-67f5-4381-9a28-67460e0d1b19"]},{"id":"ITEM-6","itemData":{"DOI":"10.1016/j.jocm.2016.09.003","ISSN":"17555345","abstract":"We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Modelling","id":"ITEM-6","issued":{"date-parts":[["2017"]]},"page":"36-50","title":"Disentangling the influence of knowledge on attribute non-attendance","type":"article-journal","volume":"24"},"uris":["http://www.mendeley.com/documents/?uuid=95a72572-5167-4e61-ab9d-44982c933405"]}],"mendeley":{"formattedCitation":"[26; 31; 40; 68; 70; 71]","plainTextFormattedCitation":"[26; 31; 40; 68; 70; 71]","previouslyFormattedCitation":"[26; 31; 40; 68; 70;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31; 40; 68; 70; 71]</w:t>
      </w:r>
      <w:r w:rsidR="000A3492" w:rsidRPr="00B31BEB">
        <w:rPr>
          <w:rStyle w:val="FootnoteReference"/>
          <w:noProof/>
        </w:rPr>
        <w:fldChar w:fldCharType="end"/>
      </w:r>
      <w:r w:rsidRPr="00B31BEB">
        <w:rPr>
          <w:noProof/>
        </w:rPr>
        <w:t>. While modeling changes in preferences on the one hand and modeling ANA on the other have become commonplace, modeling changes in consumers’ ANA behavior has not. Consequently, changes in attributes’ attention and factors that influence ANA behavior changes are rarely reported. Yet, consumer behavior regarding which attribute is important when decision-making is highly dynamic. Attribute relevance may depend on consumers’ knowledge of the attribute, economic and policy conditions or learning/fatigue effects in a study. The dynamism in attribute relevance is especially important for websites and e-commerce. This is because websites/e-commerce operate in an ever-evolving technological and policy system. For example, the policies governing user-privacy and online security before and after the introduction of the General Data Protection Regulation (GDPR) in the EU are different. This implies that attention to a website attribute on data privacy post-GDPR was bound to change. Such changes in attention can similarly occur to other attributes that are important in influencing website choices</w:t>
      </w:r>
      <w:r w:rsidR="00C22126"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Systems","id":"ITEM-1","issue":"2","issued":{"date-parts":[["2008"]]},"page":"544-564","title":"A trust-based consumer decision-making model in electronic commerce: The role of trust, perceived risk, and their antecedents","type":"article-journal","volume":"44"},"uris":["http://www.mendeley.com/documents/?uuid=c45299bb-942c-4541-b4de-ed3fbe356d97"]},{"id":"ITEM-2","itemData":{"DOI":"10.1287/isre.1070.0157","ISSN":"15265536","abstract":"With the proliferation of e-commerce, there is growing evidence that online impulse buying is occurring, yet relatively few researchers have studied this phenomenon. This paper reports on two studies that examine how variations in a website influence online impulse buying. The results reveal some relevant insights about this phenomenon. Specifically, although many participants had the urge to buy impulsively, regardless of website quality, this behavior's likelihood and magnitude was directly influenced by varying the quality of taskrelevant and mood-relevant cues. Task-relevant cues include characteristics, such as navigability, that help in the attainment of the online consumer's shopping goal. Conversely, mood-relevant cues refer to the characteristics, such as visual appeal, that affect the degree to which a user enjoys browsing a website but that do not directly support a particular shopping goal. The implications of the results for both future research and the design of human-computer interfaces are discussed. © 2009 INFORMS.","author":[{"dropping-particle":"","family":"Parboteeah","given":"D. Veena","non-dropping-particle":"","parse-names":false,"suffix":""},{"dropping-particle":"","family":"Valacich","given":"Joseph S.","non-dropping-particle":"","parse-names":false,"suffix":""},{"dropping-particle":"","family":"Wells","given":"John D.","non-dropping-particle":"","parse-names":false,"suffix":""}],"container-title":"Information Systems Research","id":"ITEM-2","issue":"1","issued":{"date-parts":[["2009"]]},"page":"60-78","title":"The influence of website characteristics on a consumer's urge to buy impulsively","type":"article-journal","volume":"20"},"uris":["http://www.mendeley.com/documents/?uuid=da5270eb-e4ef-41f0-bb1b-4ba968c47639"]},{"id":"ITEM-3","itemData":{"DOI":"10.1016/j.jbusres.2009.02.025","ISSN":"01482963","abstract":"The research examines the relationships between three common trust considerations (vendor, Internet and third parties) and attitudes towards online purchasing. The study incorporates privacy and security concerns as a moderating variable and finds that these relationships vary depending on the level of concerns a consumer has when purchasing online. The study suggests that \"fears\" surrounding the Internet as a place to do business still hinder the use of it for e-commerce purposes, but that the presence of a reputable agent might in some manner mitigate this risk. In the context of business to consumer relationships trust in the vendor is important for the consumer to accept any risk associated with a transaction. Theoretical implications for online customer behavior theory are also discussed. © 2009 Elsevier Inc.","author":[{"dropping-particle":"","family":"McCole","given":"Patrick","non-dropping-particle":"","parse-names":false,"suffix":""},{"dropping-particle":"","family":"Ramsey","given":"Elaine","non-dropping-particle":"","parse-names":false,"suffix":""},{"dropping-particle":"","family":"Williams","given":"John","non-dropping-particle":"","parse-names":false,"suffix":""}],"container-title":"Journal of Business Research","id":"ITEM-3","issue":"9-10","issued":{"date-parts":[["2010"]]},"page":"1018-1024","publisher":"Elsevier","title":"Trust considerations on attitudes towards online purchasing: The moderating effect of privacy and security concerns","type":"article-journal","volume":"63"},"uris":["http://www.mendeley.com/documents/?uuid=fdd8488a-1c1e-42f8-9633-0ed9944f5569"]},{"id":"ITEM-4","itemData":{"DOI":"10.1016/j.jbusres.2009.01.023","ISSN":"01482963","abstract":"Prior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Research","id":"ITEM-4","issue":"9-10","issued":{"date-parts":[["2010"]]},"page":"1007-1014","title":"Website attributes that increase consumer purchase intention: A conjoint analysis","type":"article-journal","volume":"63"},"uris":["http://www.mendeley.com/documents/?uuid=b837e457-dbc6-4d03-b986-598e17c96db3"]},{"id":"ITEM-5","itemData":{"DOI":"10.1016/j.ijinfomgt.2011.02.001","ISSN":"02684012","abstract":"The online merchant of an e-marketplace consists of an intermediary, providing the market infrastructure, and the community of sellers conducting business within that infrastructure. Typically, consumers willingly buy from unknown sellers within an e-marketplace, despite the apparent risk, since they trust the institutional mechanisms furnished by the relatively well-known intermediary. Consumers' trust in one component of the e-marketplace merchant may not only affect their trust in the other, but also influence the way consumers make online purchases. This paper explores the impact of trust on consumer behavior in e-marketplaces. An empirical study has been conducted to accomplish our research objectives, using a questionnaire survey of 222 active e-marketplace shoppers in Korea. The results reveal that consumer trust in an intermediary has a strong influence upon both attitudinal loyalty and purchase intentions, although consumer trust in the community of sellers has no significant effect on the two constructs representing consumer behavior. In addition, it was found that trust is transferred from an intermediary to the community of sellers, implying that the trustworthiness of the intermediary plays a critical role in determining the extent to which consumers trust and accept the sellers in the e-marketplace. This paper offers some implications from the findings of the research. © 2011 Elsevier Ltd. All rights reserved.","author":[{"dropping-particle":"","family":"Hong","given":"Ilyoo B.","non-dropping-particle":"","parse-names":false,"suffix":""},{"dropping-particle":"","family":"Cho","given":"Hwihyung","non-dropping-particle":"","parse-names":false,"suffix":""}],"container-title":"International Journal of Information Management","id":"ITEM-5","issue":"5","issued":{"date-parts":[["2011"]]},"page":"469-479","title":"The impact of consumer trust on attitudinal loyalty and purchase intentions in B2C e-marketplaces: Intermediary trust vs. seller trust","type":"article-journal","volume":"31"},"uris":["http://www.mendeley.com/documents/?uuid=980e3f17-a12f-4cc6-b774-5ca212ccf777"]},{"id":"ITEM-6","itemData":{"DOI":"10.1108/IJPDLM-06-2014-0133","ISSN":"09600035","abstract":"Purpose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Management","id":"ITEM-6","issue":"6","issued":{"date-parts":[["2015"]]},"page":"565-591","title":"A review of the environmental implications of B2C e-commerce: a logistics perspective","type":"article-journal","volume":"45"},"uris":["http://www.mendeley.com/documents/?uuid=0abe1a40-d50b-43aa-a7ed-6c050121d284"]}],"mendeley":{"formattedCitation":"[7; 33; 36; 49; 51; 60]","plainTextFormattedCitation":"[7; 33; 36; 49; 51; 60]","previouslyFormattedCitation":"[7; 33; 36; 49; 51; 60]"},"properties":{"noteIndex":0},"schema":"https://github.com/citation-style-language/schema/raw/master/csl-citation.json"}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33; 36; 49; 51; 60]</w:t>
      </w:r>
      <w:r w:rsidR="000A3492" w:rsidRPr="00B31BEB">
        <w:rPr>
          <w:rStyle w:val="FootnoteReference"/>
          <w:noProof/>
        </w:rPr>
        <w:fldChar w:fldCharType="end"/>
      </w:r>
      <w:r w:rsidRPr="00B31BEB">
        <w:rPr>
          <w:noProof/>
        </w:rPr>
        <w:t>. Modeling changes in web-users’ attention to attributes affected by such changes when making choices is a useful but unresearched question. This paper fills this</w:t>
      </w:r>
      <w:r w:rsidR="00731AE5" w:rsidRPr="00B31BEB">
        <w:rPr>
          <w:noProof/>
        </w:rPr>
        <w:t xml:space="preserve"> modeling gap by analyzing</w:t>
      </w:r>
      <w:r w:rsidR="0017755A" w:rsidRPr="00B31BEB">
        <w:rPr>
          <w:noProof/>
        </w:rPr>
        <w:t xml:space="preserve"> </w:t>
      </w:r>
      <w:r w:rsidR="009E5473" w:rsidRPr="00B31BEB">
        <w:rPr>
          <w:noProof/>
        </w:rPr>
        <w:t>webshop choice data and investigating changes in (and drivers of) the ANA behavior among e-customers.</w:t>
      </w:r>
    </w:p>
    <w:p w:rsidR="009E5473" w:rsidRPr="00B31BEB" w:rsidRDefault="009E5473" w:rsidP="00620A89">
      <w:pPr>
        <w:tabs>
          <w:tab w:val="center" w:pos="4800"/>
          <w:tab w:val="right" w:pos="9500"/>
        </w:tabs>
        <w:ind w:firstLine="720"/>
        <w:rPr>
          <w:noProof/>
        </w:rPr>
      </w:pPr>
      <w:r w:rsidRPr="00B31BEB">
        <w:rPr>
          <w:noProof/>
        </w:rPr>
        <w:t>Changes in ANA behavior can also be seen in many real-life choices. Consider ill-informed consumers on website characteristics like presence of trustmarks. Websites with trustmarks seek to inform customers that they have been independently certified for quality, reliability and security</w:t>
      </w:r>
      <w:r w:rsidR="00C01ED7"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{"citationItems":[{"id":"ITEM-1","itemData":{"DOI":"10.2753/JEC1086-4415140302","ISSN":"10864415","abstract":"This study explores how third-party assurance seals, a privacy service provided by vendors to mitigate customers' fears, has an impact on on-line customer satisfaction and repeat-purchase intention. It asks the following research questions: Do assurance seals influence on-line service experience? If so, how do they affect consumers' satisfaction and repeat-purchase intention? The study shows, first, that seals provide a frame such that a consumer's overall satisfaction and repeat-purchase intention would be higher when vendors provide assurance seals than when they do not. Second, applying the concept of diminishing sensitivity, it shows that consumers would be subjectively less sensitive to service performance of vendors who provide seals than vendors who do not provide seals. The hypotheses are tested on data obtained from Bizrate.com. The empirical analysis supports the hypotheses. © 2010 M.E. Sharpe, Inc. All rights reserved.","author":[{"dropping-particle":"","family":"Park","given":"Insu","non-dropping-particle":"","parse-names":false,"suffix":""},{"dropping-particle":"","family":"Bhatnagar","given":"Amit","non-dropping-particle":"","parse-names":false,"suffix":""},{"dropping-particle":"","family":"Rao","given":"H. Raghav","non-dropping-particle":"","parse-names":false,"suffix":""}],"container-title":"International Journal of Electronic Commerce","id":"ITEM-1","issue":"3","issued":{"date-parts":[["2010","4","1"]]},"page":"11-34","title":"Assurance seals, on-line customer satisfaction, and repurchase intention","type":"article-journal","volume":"14"},"uris":["http://www.mendeley.com/documents/?uuid=c4fd183b-ab90-3b2c-b80b-9d86c11badf3"]},{"id":"ITEM-2","itemData":{"DOI":"10.2753/MIS0742-1222270206","ISSN":"07421222","abstract":"Privacy is a significant concern of customers in the business-to-consumer online environment. Several technical, economic, and regulatory mechanisms have been proposed to address online privacy. A current market-based mechanism is the privacy seal, under which a third party assures adherence by a vendor to its posted privacy policy. In this paper, we present empirical evidence of the effect of displaying a privacy seal on the product prices of online vendors of electronic books, download-able audiobooks, and textbooks. Using data collected on these relatively homogeneous products sold by online vendors, we find that while controlling for vendor-specific characteristics, vendors bearing privacy seals charge a premium for such products compared to vendors not bearing a seal. The paper provides empirical evidence of the economic value of privacy assurance from the customers' perspective as measured by the price premium charged for products. The research has implications for researchers and policymakers by providing evidence that privacy is another factor that creates friction in e-commerce, and that prices on the Internet for homogeneous products need not converge. © 2010 M.E. Sharpe, Inc.","author":[{"dropping-particle":"","family":"Mai","given":"Bin","non-dropping-particle":"","parse-names":false,"suffix":""},{"dropping-particle":"","family":"Menon","given":"Nirup","non-dropping-particle":"","parse-names":false,"suffix":""},{"dropping-particle":"","family":"Sarkar","given":"Sumit","non-dropping-particle":"","parse-names":false,"suffix":""}],"container-title":"Journal of Management Information Systems","id":"ITEM-2","issue":"2","issued":{"date-parts":[["2010"]]},"page":"189-212","title":"No free lunch: Price premium for privacy seal-bearing vendors","type":"article-journal","volume":"27"},"uris":["http://www.mendeley.com/documents/?uuid=3a62ac5d-54f9-4328-bd5c-03bb9fe9975b"]},{"id":"ITEM-3","itemData":{"DOI":"10.1287/isre.2013.0489","ISSN":"15265536","abstract":"Third-party quality assurance seals have emerged as a prominent mechanism to reduce uncertainty and increase purchase conversion in online markets. However, systematic studies of the effectiveness of these seals are scarce. In this study, we exploit a unique data set of 9,098 shopping sessions at an online retailer's website to empirically measure the value and effectiveness of assurance seals on the likelihood of purchase by shoppers. The data set is collected from a randomized field experiment conducted by a large seal provider, which enables us to infer the causal impacts of the presence of an assurance seal. We find strong evidence that the presence of the assurance seal increases the likelihood of purchase conversion. We discuss the implications of our findings for online retailers, third-party certifiers, policymakers, and researchers. © 2013, INFORMS.","author":[{"dropping-particle":"","family":"Özpolat","given":"Koray","non-dropping-particle":"","parse-names":false,"suffix":""},{"dropping-particle":"","family":"Gao","given":"Guodong Gordon","non-dropping-particle":"","parse-names":false,"suffix":""},{"dropping-particle":"","family":"Jank","given":"Wolfgang","non-dropping-particle":"","parse-names":false,"suffix":""},{"dropping-particle":"","family":"Viswanathan","given":"Siva","non-dropping-particle":"","parse-names":false,"suffix":""}],"container-title":"Information Systems Research","id":"ITEM-3","issue":"4","issued":{"date-parts":[["2013"]]},"page":"1100-1111","title":"The value of third-party assurance seals in online retailing: An empirical investigation","type":"article-journal","volume":"24"},"uris":["http://www.mendeley.com/documents/?uuid=92a959dc-1c11-4c03-b320-1e12ecf64571"]}],"mendeley":{"formattedCitation":"[48; 59; 62]","plainTextFormattedCitation":"[48; 59; 62]","previouslyFormattedCitation":"[48; 59; 62]"},"properties":{"noteIndex":0},"schema":"https://github.com/citation-style-language/schema/raw/master/csl-citation.json"}</w:instrText>
      </w:r>
      <w:r w:rsidR="000A3492" w:rsidRPr="00B31BEB">
        <w:rPr>
          <w:rStyle w:val="FootnoteReference"/>
          <w:noProof/>
        </w:rPr>
        <w:fldChar w:fldCharType="separate"/>
      </w:r>
      <w:r w:rsidR="00F8005E" w:rsidRPr="00B31BEB">
        <w:rPr>
          <w:noProof/>
        </w:rPr>
        <w:t>[48; 59; 62]</w:t>
      </w:r>
      <w:r w:rsidR="000A3492" w:rsidRPr="00B31BEB">
        <w:rPr>
          <w:rStyle w:val="FootnoteReference"/>
          <w:noProof/>
        </w:rPr>
        <w:fldChar w:fldCharType="end"/>
      </w:r>
      <w:r w:rsidRPr="00B31BEB">
        <w:rPr>
          <w:noProof/>
        </w:rPr>
        <w:t xml:space="preserve">. The limited understanding of trustmark </w:t>
      </w:r>
      <w:r w:rsidRPr="00B31BEB">
        <w:rPr>
          <w:noProof/>
        </w:rPr>
        <w:lastRenderedPageBreak/>
        <w:t>attributes means that users, unknowingly, undervalue certified webshops. Hence, the attendance probability towards such a crucial attribute will be low. However, when the importance of purchasing on certified sites (symbolized by trust labels) is explained, consumers are likely to be more interested in trust-labeled websites. So the attendance probability to the trust label attribute post-information will be higher. Similarly, eco-conscious consumers may show attendance behavior changes to the distance attribute once information on the environmental impacts of shipping ordered items over long distances is explained. Consumers’ focus on attributes may also evolve over time</w:t>
      </w:r>
      <w:r w:rsidR="00627A6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{"citationItems":[{"id":"ITEM-1","itemData":{"DOI":"10.2753/JEC1086-4415190101","ISSN":"10864415","abstract":"Trust in e-commerce is a multilevel construct (intrapersonal, system, and interpersonal), and trust building is a dynamic evolutionary process that can be adjusted over time when additional evidence of new interactions becomes available. From a consumer's perspective in a business-to-consumer e-commerce context, there are at least two trustees: the Internet as a shopping channel (the e-channel - system level) and an Internet selling party or Internet vendor (the e-vendor - interpersonal level) as a business partner. Understanding the multilevel and dynamic nature of trust in e-commerce is important because it not only provides practical insights that can be used to further enhance the online experiences for both online managers and consumers but also extends our conceptual foundations of trust. Although the multilevel and dynamic nature of trust is a crucial characteristic of trust in e-commerce, there is little empirical research. To fill this knowledge gap, this study proposes a multilevel model of e-channel and e-vendor trust, including trust propensity (intrapersonal level) from a cross-stage (pre- and postpurchase) perspective. This study also proposes a relatively new construct, the consumer's perceived delivery fulfillment in e-commerce. Implications of the findings for theory and practice as well as limitations and avenues for future study are discussed.","author":[{"dropping-particle":"","family":"Kim","given":"Dan J.","non-dropping-particle":"","parse-names":false,"suffix":""}],"container-title":"International Journal of Electronic Commerce","id":"ITEM-1","issue":"1","issued":{"date-parts":[["2014"]]},"page":"11-64","title":"A study of the multilevel and dynamic nature of trust in E-commerce from a cross-stage perspective","type":"article","volume":"19"},"uris":["http://www.mendeley.com/documents/?uuid=2568b4d5-6901-4f26-895e-a59f05b91165"]}],"mendeley":{"formattedCitation":"[35]","plainTextFormattedCitation":"[35]","previouslyFormattedCitation":"[35]"},"properties":{"noteIndex":0},"schema":"https://github.com/citation-style-language/schema/raw/master/csl-citation.json"}</w:instrText>
      </w:r>
      <w:r w:rsidR="000A3492" w:rsidRPr="00B31BEB">
        <w:rPr>
          <w:rStyle w:val="FootnoteReference"/>
          <w:noProof/>
        </w:rPr>
        <w:fldChar w:fldCharType="separate"/>
      </w:r>
      <w:r w:rsidR="00F8005E" w:rsidRPr="00B31BEB">
        <w:rPr>
          <w:noProof/>
        </w:rPr>
        <w:t>[35]</w:t>
      </w:r>
      <w:r w:rsidR="000A3492" w:rsidRPr="00B31BEB">
        <w:rPr>
          <w:rStyle w:val="FootnoteReference"/>
          <w:noProof/>
        </w:rPr>
        <w:fldChar w:fldCharType="end"/>
      </w:r>
      <w:r w:rsidRPr="00B31BEB">
        <w:rPr>
          <w:noProof/>
        </w:rPr>
        <w:t>. This evolution may result from changes in factors that affect their preferences (e.g., income or knowledge about attributes). Experiments like agent interdependency in group decision making</w:t>
      </w:r>
      <w:r w:rsidR="00EA3C3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{"citationItems":[{"id":"ITEM-1","itemData":{"DOI":"10.1016/j.tre.2003.07.001","ISSN":"13665545","abstract":"This paper establishes the rationale for a method that recognises the interdependency of choices made by two or more agents, known as interactive agency choice experiments (IACEs), and the behavioural implications of maintaining the assumption of agency exogeneity in discrete choice models. We model the interdependent decision making process using the IACE method to illustrate how to capture information on preferences for members of a decision making group. An empirical study of employee and employer choices of distributive work practices highlights the role that other agents play in influencing the decisions of individual agents. The IACE reveals barriers to agency choice that can be better understood and minimised by each agent having more information on the other agent's preferences and willingness to cooperate that is lacking in the agent-independence modelling framework. © 2003 Elsevier Ltd. All rights reserved.","author":[{"dropping-particle":"","family":"Rose","given":"J.","non-dropping-particle":"","parse-names":false,"suffix":""},{"dropping-particle":"","family":"Hensher","given":"D. A.","non-dropping-particle":"","parse-names":false,"suffix":""}],"container-title":"Transportation Research Part E: Logistics and Transportation Review","id":"ITEM-1","issue":"1","issued":{"date-parts":[["2004"]]},"page":"63-79","title":"Modelling agent interdependency in group decision making","type":"article-journal","volume":"40"},"uris":["http://www.mendeley.com/documents/?uuid=bed9515d-b793-4828-b829-5dcecadce17e"]}],"mendeley":{"formattedCitation":"[66]","plainTextFormattedCitation":"[66]","previouslyFormattedCitation":"[66]"},"properties":{"noteIndex":0},"schema":"https://github.com/citation-style-language/schema/raw/master/csl-citation.json"}</w:instrText>
      </w:r>
      <w:r w:rsidR="000A3492" w:rsidRPr="00B31BEB">
        <w:rPr>
          <w:rStyle w:val="FootnoteReference"/>
          <w:noProof/>
        </w:rPr>
        <w:fldChar w:fldCharType="separate"/>
      </w:r>
      <w:r w:rsidR="00F8005E" w:rsidRPr="00B31BEB">
        <w:rPr>
          <w:noProof/>
        </w:rPr>
        <w:t>[66]</w:t>
      </w:r>
      <w:r w:rsidR="000A3492" w:rsidRPr="00B31BEB">
        <w:rPr>
          <w:rStyle w:val="FootnoteReference"/>
          <w:noProof/>
        </w:rPr>
        <w:fldChar w:fldCharType="end"/>
      </w:r>
      <w:r w:rsidR="00EA3C3A" w:rsidRPr="00B31BEB">
        <w:rPr>
          <w:noProof/>
        </w:rPr>
        <w:t xml:space="preserve"> </w:t>
      </w:r>
      <w:r w:rsidRPr="00B31BEB">
        <w:rPr>
          <w:noProof/>
        </w:rPr>
        <w:t xml:space="preserve">can be prime for changes in attributes’ attendance behavior. An agent in such experiments may ignore an attribute for lack of information. However, when peers provide newer information, the agent’s attention to the attribute(s) may change. Accounting for ANA changes in such cases could help to better explain decision-makers’ behavior changes. </w:t>
      </w:r>
    </w:p>
    <w:p w:rsidR="009E5473" w:rsidRPr="00B31BEB" w:rsidRDefault="009E5473" w:rsidP="00620A89">
      <w:pPr>
        <w:tabs>
          <w:tab w:val="center" w:pos="4800"/>
          <w:tab w:val="right" w:pos="9500"/>
        </w:tabs>
        <w:ind w:firstLine="720"/>
        <w:rPr>
          <w:noProof/>
        </w:rPr>
      </w:pPr>
      <w:r w:rsidRPr="00B31BEB">
        <w:rPr>
          <w:noProof/>
        </w:rPr>
        <w:t>Literature on preference evolution (e.g.,</w:t>
      </w:r>
      <w:r w:rsidR="009A537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{"citationItems":[{"id":"ITEM-1","itemData":{"DOI":"10.1287/isre.13.3.255.78","ISSN":"10477047","abstract":"The ability to retain and lock in customers in the face of competition is a major concern for online businesses, especially those that invest heavily in advertising and customer acquisition. In this paper, we develop and implement an approach for measuring the magnitudes of switching costs and brand loyalty for online service providers based on the random utility modeling framework. We then examine how systems usage, service design, and other firmand individual-level factors affect switching and retention. Using data on the online brokerage industry, we find significant variation (as much as a factor of two) in measured switching costs. We find that customer demographic characteristics have little effect on switching, but that systems usage measures and systems quality are associated with reduced switching. We also find that firm characteristics such as product line breadth and quality reduce switching and may also reduce customer attrition. Overall, we conclude that online brokerage firms appear to have different abilities in retaining customers and have considerable control over their switching costs.","author":[{"dropping-particle":"","family":"Chen","given":"Pei Yu","non-dropping-particle":"","parse-names":false,"suffix":""},{"dropping-particle":"","family":"Hitt","given":"Lorin M.","non-dropping-particle":"","parse-names":false,"suffix":""}],"container-title":"Information Systems Research","id":"ITEM-1","issue":"3","issued":{"date-parts":[["2002"]]},"page":"255-274","title":"Measuring switching costs and the determinants of customer retention in internet-enabled businesses: A study of the online brokerage industry","type":"article-journal","volume":"13"},"uris":["http://www.mendeley.com/documents/?uuid=5fd3fc66-6af8-4f5b-ba47-381f005a070a"]},{"id":"ITEM-2","itemData":{"DOI":"10.1080/10864415.2003.11044271","ISSN":"10864415","abstract":"This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Commerce","id":"ITEM-2","issue":"3","issued":{"date-parts":[["2003"]]},"page":"39-63","title":"A Study of consumer switching behavior across internet portal web sites","type":"article-journal","volume":"7"},"uris":["http://www.mendeley.com/documents/?uuid=1a039dcb-290c-446a-a510-7b3d3361f99d"]},{"id":"ITEM-3","itemData":{"DOI":"10.1016/j.foodpol.2013.01.006","ISSN":"03069192","abstract":"We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Policy","id":"ITEM-3","issued":{"date-parts":[["2013"]]},"page":"31-43","title":"Green market expansion by reducing information asymmetries: Evidence for labeled organic food products","type":"article-journal","volume":"40"},"uris":["http://www.mendeley.com/documents/?uuid=65353283-cbff-49f5-970f-84f9820b38a2"]},{"id":"ITEM-4","itemData":{"DOI":"10.1007/s11129-006-6559-x","ISSN":"15707156","abstract":"We develop discrete choice models that account for parameter driven preference dynamics. Choice model parameters may change over time because of shifting market conditions or due to changes in attribute levels over time or because of consumer learning. In this paper we show how such preference evolution can be modeled using hierarchial Bayesian state space models of discrete choice. The main feature of our approach is that it allows for the simultaneous incorporation of multiple sources of preference and choice dynamics. We show how the state space approach can include state dependence, unobserved heterogeneity, and more importantly, temporal variability in preferences using a correlated sequence of population distributions. The proposed model is very general and nests commonly used choice models in the literature as special cases. We use Markov chain montecarlo methods for estimating model parameters and apply our methodology to a scanner data set containing household brand choices over an eight-year period. Our analysis indicates that preferences exhibit significant variation over the time-span of the data and that incorporating time-variation in parameters is crucial for appropriate inferences regarding the magnitude and evolution of choice elasticities. We also find that models that ignore time variation in parameters can yield misleading inferences about the impact of causal variables. © Springer Science + Business Media, LLC 2006.","author":[{"dropping-particle":"","family":"Lachaab","given":"Mohamed","non-dropping-particle":"","parse-names":false,"suffix":""},{"dropping-particle":"","family":"Ansari","given":"Asim","non-dropping-particle":"","parse-names":false,"suffix":""},{"dropping-particle":"","family":"Jedidi","given":"Kamel","non-dropping-particle":"","parse-names":false,"suffix":""},{"dropping-particle":"","family":"Trabelsi","given":"Abdelwahed","non-dropping-particle":"","parse-names":false,"suffix":""}],"container-title":"Quantitative Marketing and Economics","id":"ITEM-4","issue":"1","issued":{"date-parts":[["2006"]]},"page":"57-81","title":"Modeling preference evolution in discrete choice models: A Bayesian state-space approach","type":"article-journal","volume":"4"},"uris":["http://www.mendeley.com/documents/?uuid=12cef3d8-b994-491a-a554-f8a1825d9625"]},{"id":"ITEM-5","itemData":{"DOI":"10.3368/le.90.2.324","ISSN":"00237639","abstract":"Using multiple choice tasks per respondent in discrete choice experiment studies increases the amount of available information. However, respondents' learning and fatigue may lead to changes in observed utility function preference (taste) parameters, as well as the variance in its error term (scale); they need to be controlled to avoid potential bias. A sizable body of empirical research offers mixed evidence in terms of whether these ordering effects are observed. We point to a significant component in explaining these differences; we show how accounting for unobservable preference and scale heterogeneity can influence the magnitude of observed ordering effects. © 2014 by the Board of Regents of the University of Wisconsin System.","author":[{"dropping-particle":"","family":"Czajkowski","given":"Mikolaj","non-dropping-particle":"","parse-names":false,"suffix":""},{"dropping-particle":"","family":"Giergiczny","given":"Marek","non-dropping-particle":"","parse-names":false,"suffix":""},{"dropping-particle":"","family":"Greene","given":"William H.","non-dropping-particle":"","parse-names":false,"suffix":""}],"container-title":"Land Economics","id":"ITEM-5","issue":"2","issued":{"date-parts":[["2014"]]},"page":"324-351","title":"Learning and fatigue effects revisited: Investigating the effects of accounting for unobservable preference and scale heterogeneity","type":"article-journal","volume":"90"},"uris":["http://www.mendeley.com/documents/?uuid=efba2ac6-e545-4cc5-b847-49b085755a3a"]},{"id":"ITEM-6","itemData":{"DOI":"10.1287/mksc.1070.0294","ISSN":"07322399","abstract":"This research models the dynamics of customer relationships using typical transaction data. Our proposed model permits not only capturing the dynamics of customer relationships, but also incorporating the effect of the sequence of customer-firm encounters on the dynamics of customer relationships and the subsequent buying behavior. Our approach to modeling relationship dynamics is structurally different from existing approaches. Specifically we construct and estimate a nonhomogeneous hidden Markov model to model the transitions among latent relationship states and effects on buying behavior. In the proposed model, the transitions between the states are a function of time-varying covariates such as customer-firm encounters that could have an enduring impact by shifting the customer to a different (unobservable) relationship state. The proposed model enables marketers to dynamically segment their customer base and to examine methods by which the firm can alter long-term buying behavior. We use a hierarchical Bayes approach to capture the unobserved heterogeneity across customers. We calibrate the model in the context of alumni relations using a longitudinal gift-giving data set. Using the proposed model, we probabilistically classify the alumni base into three relationship states and estimate the effect of alumni-university interactions, such as reunions, on the movement of alumni between these states. Additionally, we demonstrate improved prediction ability on a hold-out sample. © 2008 INFORMS.","author":[{"dropping-particle":"","family":"Netzer","given":"Oded","non-dropping-particle":"","parse-names":false,"suffix":""},{"dropping-particle":"","family":"Lattin","given":"James M.","non-dropping-particle":"","parse-names":false,"suffix":""},{"dropping-particle":"","family":"Srinivasan","given":"V.","non-dropping-particle":"","parse-names":false,"suffix":""}],"container-title":"Marketing Science","id":"ITEM-6","issue":"2","issued":{"date-parts":[["2008"]]},"page":"185-204","publisher":"INFORMS","title":"A hidden Markov model of customer relationship dynamics","type":"article-journal","volume":"27"},"uris":["http://www.mendeley.com/documents/?uuid=e440ac4b-a042-4ef9-aed6-7d3289649cf2"]},{"id":"ITEM-7","itemData":{"DOI":"10.1007/978-3-319-53469-5_14","ISBN":"978-3-319-53469-5","author":[{"dropping-particle":"","family":"Netzer, Oded and Ebbes, Peter and Bijmolt","given":"Tammo HA","non-dropping-particle":"","parse-names":false,"suffix":""}],"chapter-number":"14","container-title":"Advanced methods for modeling markets","editor":[{"dropping-particle":"","family":"Leeflang, Peter S. H. and Wieringa, Jaap E. and Bijmolt, Tammo H.A and Pauwels","given":"Koen H.","non-dropping-particle":"","parse-names":false,"suffix":""}],"id":"ITEM-7","issued":{"date-parts":[["2017"]]},"page":"405--449","publisher":"Springer International Publishing","title":"Hidden Markov models in marketing","type":"chapter"},"uris":["http://www.mendeley.com/documents/?uuid=a2a96c8a-b957-4de8-a675-9f71ad85093e"]},{"id":"ITEM-8","itemData":{"DOI":"10.1016/j.jretai.2017.04.001","ISSN":"00224359","abstract":"Low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Retailing","id":"ITEM-8","issue":"3","issued":{"date-parts":[["2017"]]},"page":"253-265","publisher":"Elsevier Inc","title":"Online Purchase Paths and Conversion Dynamics across Multiple Websites","type":"article-journal","volume":"93"},"uris":["http://www.mendeley.com/documents/?uuid=3c7fb30d-0e34-4b90-9257-b376f40a8f9b"]},{"id":"ITEM-9","itemData":{"DOI":"10.1257/aer.91.3.351","ISSN":"00028282","author":[{"dropping-particle":"","family":"McFadden","given":"Daniel","non-dropping-particle":"","parse-names":false,"suffix":""}],"container-title":"American Economic Review","id":"ITEM-9","issue":"3","issued":{"date-parts":[["2001"]]},"page":"351-378","title":"Economic choices","type":"article-journal","volume":"91"},"uris":["http://www.mendeley.com/documents/?uuid=ed894abc-afe5-4872-b020-30cbe5bd14df"]}],"mendeley":{"formattedCitation":"[5; 15; 39; 41; 53; 55; 56; 61; 67]","plainTextFormattedCitation":"[5; 15; 39; 41; 53; 55; 56; 61; 67]","previouslyFormattedCitation":"[5; 15; 39; 41; 53; 55; 56; 61;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[5; 15; 39; 41; 53; 55; 56; 61; 67]</w:t>
      </w:r>
      <w:r w:rsidR="000A3492" w:rsidRPr="00B31BEB">
        <w:rPr>
          <w:rStyle w:val="FootnoteReference"/>
          <w:noProof/>
        </w:rPr>
        <w:fldChar w:fldCharType="end"/>
      </w:r>
      <w:r w:rsidRPr="00B31BEB">
        <w:rPr>
          <w:noProof/>
        </w:rPr>
        <w:t>) and ANA behavior (e.g.,</w:t>
      </w:r>
      <w:r w:rsidR="0038292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Letters","id":"ITEM-1","issue":"3","issued":{"date-parts":[["2011"]]},"page":"203-205","title":"A discrete choice model with endogenous attribute attendance","type":"article-journal","volume":"110"},"uris":["http://www.mendeley.com/documents/?uuid=5662ee3c-a6f3-42b2-983b-10d425b6ed72"]},{"id":"ITEM-2","itemData":{"DOI":"10.1093/erae/jbp012","ISBN":"0165-1587","ISSN":"01651587","PMID":"20093261227","abstract":"Non-market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Economics","id":"ITEM-2","issue":"2","issued":{"date-parts":[["2009"]]},"page":"151-174","title":"Modelling attribute non-attendance in choice experiments for rural landscape valuation","type":"article-journal","volume":"36"},"uris":["http://www.mendeley.com/documents/?uuid=439f07bd-ddbc-47e0-aa99-5a776535bf11"]},{"id":"ITEM-3","itemData":{"DOI":"10.1016/j.jocm.2016.09.003","ISSN":"17555345","abstract":"We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Modelling","id":"ITEM-3","issued":{"date-parts":[["2017"]]},"page":"36-50","title":"Disentangling the influence of knowledge on attribute non-attendance","type":"article-journal","volume":"24"},"uris":["http://www.mendeley.com/documents/?uuid=95a72572-5167-4e61-ab9d-44982c933405"]},{"id":"ITEM-4","itemData":{"DOI":"10.1111/1477-9552.12246","ISSN":"14779552","abstract":"A number of choice experiment (CE) studies have shown that survey respondents employ heuristics such as attribute non-attendance (ANA) while evaluating food products. This paper addresses a set of related methodological questions using empirical consumer data from a CE on poultry meat with sustainability labels. First, it assesses whether there are differences in terms of marginal willingness to pay estimates between the two most common ways of collecting stated ANA (serial and choice task level). Second, it validates the self-reported ANA behaviour across both approaches. Third, it explores the concordance of stated methods with that of the inferred method. Results show that WTP estimates from serial-level data differ from those from choice task-level data. Also, self-reported measures on choice task ANA are found to be more congruent with model estimates than those for serial ANA, as well as with inferred ANA.","author":[{"dropping-particle":"","family":"Caputo","given":"Vincenzina","non-dropping-particle":"","parse-names":false,"suffix":""},{"dropping-particle":"","family":"Loo","given":"Ellen J.","non-dropping-particle":"Van","parse-names":false,"suffix":""},{"dropping-particle":"","family":"Scarpa","given":"Riccardo","non-dropping-particle":"","parse-names":false,"suffix":""},{"dropping-particle":"","family":"Nayga","given":"Rodolfo M.","non-dropping-particle":"","parse-names":false,"suffix":""},{"dropping-particle":"","family":"Verbeke","given":"Wim","non-dropping-particle":"","parse-names":false,"suffix":""}],"container-title":"Journal of Agricultural Economics","id":"ITEM-4","issue":"1","issued":{"date-parts":[["2018"]]},"page":"35-57","title":"Comparing Serial, and Choice Task Stated and Inferred Attribute Non-Attendance Methods in Food Choice Experiments","type":"article-journal","volume":"69"},"uris":["http://www.mendeley.com/documents/?uuid=07970be0-22c1-4cc6-acca-a31579711c5d"]},{"id":"ITEM-5","itemData":{"DOI":"10.1002/hec.3524","ISSN":"10991050","abstract":"This paper investigates if respondents' choice to not consider all characteristics of a multiattribute health service may represent preferences. Over the last decade, an increasing number of studies account for attribute non-attendance (ANA) when using discrete choice experiments to elicit individuals' preferences. Most studies assume such behaviour is a heuristic and therefore uninformative. This assumption may result in misleading welfare estimates if ANA reflects preferences. This is the first paper to assess if ANA is a heuristic or genuine preference without relying on respondents' self-stated motivation and the first study to explore this question within a health context. Based on findings from cognitive psychology, we expect that familiar respondents are less likely to use a decision heuristic to simplify choices than unfamiliar respondents. We employ a latent class model of discrete choice experiment data concerned with National Health Service managers' preferences for support services that assist with performance concerns. We present quantitative and qualitative evidence that in our study ANA mostly represents preferences. We also show that wrong assumptions about ANA result in inadequate welfare measures that can result in suboptimal policy advice. Future research should proceed with caution when assuming that ANA is a heuristic.","author":[{"dropping-particle":"","family":"Heidenreich","given":"Sebastian","non-dropping-particle":"","parse-names":false,"suffix":""},{"dropping-particle":"","family":"Watson","given":"Verity","non-dropping-particle":"","parse-names":false,"suffix":""},{"dropping-particle":"","family":"Ryan","given":"Mandy","non-dropping-particle":"","parse-names":false,"suffix":""},{"dropping-particle":"","family":"Phimister","given":"Euan","non-dropping-particle":"","parse-names":false,"suffix":""}],"container-title":"Health Economics (United Kingdom)","id":"ITEM-5","issue":"1","issued":{"date-parts":[["2018"]]},"page":"157-171","title":"Decision heuristic or preference? Attribute non-attendance in discrete choice problems","type":"article-journal","volume":"27"},"uris":["http://www.mendeley.com/documents/?uuid=ce5e7a4f-f0ed-4e1f-8d0f-b80a98ed0440"]}],"mendeley":{"formattedCitation":"[4; 25; 31; 70; 71]","plainTextFormattedCitation":"[4; 25; 31; 70; 71]","previouslyFormattedCitation":"[4; 25; 31; 70;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[4; 25; 31; 70; 71]</w:t>
      </w:r>
      <w:r w:rsidR="000A3492" w:rsidRPr="00B31BEB">
        <w:rPr>
          <w:rStyle w:val="FootnoteReference"/>
          <w:noProof/>
        </w:rPr>
        <w:fldChar w:fldCharType="end"/>
      </w:r>
      <w:r w:rsidRPr="00B31BEB">
        <w:rPr>
          <w:noProof/>
        </w:rPr>
        <w:t>) tends to exist in parallel. However, it is possible that consumers’ behavioral changes, which have previously been modeled by preference changes, could manifest as changes in ANA behavior. In this study, we propose an ANA switching behavior model for modeling consumers’ behavioral changes when attribute information is given. To explain consumers’ behavioral changes, we compare modeling via ANA changes with modeling via preference parameter changes.</w:t>
      </w:r>
    </w:p>
    <w:p w:rsidR="009E5473" w:rsidRPr="00B31BEB" w:rsidRDefault="009E5473" w:rsidP="00620A89">
      <w:pPr>
        <w:tabs>
          <w:tab w:val="center" w:pos="4800"/>
          <w:tab w:val="right" w:pos="9500"/>
        </w:tabs>
        <w:ind w:firstLine="720"/>
        <w:rPr>
          <w:noProof/>
        </w:rPr>
      </w:pPr>
      <w:r w:rsidRPr="00B31BEB">
        <w:rPr>
          <w:noProof/>
        </w:rPr>
        <w:t xml:space="preserve">Modeling ANA behavior changes presents two challenges. First, we do not observe attributes’ ANA patterns. Second, we do not observe interchanges between </w:t>
      </w:r>
      <w:r w:rsidRPr="00B31BEB">
        <w:rPr>
          <w:noProof/>
        </w:rPr>
        <w:lastRenderedPageBreak/>
        <w:t>attributes’ ANA patterns pre- and post-information. For the first challenge, approaches have been suggested to identify ANA</w:t>
      </w:r>
      <w:r w:rsidR="000A4D9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{"citationItems":[{"id":"ITEM-1","itemData":{"DOI":"10.1016/j.tre.2007.01.002","ISSN":"13665545","abstract":"Choice behaviour studies typically assume passive bounded rationality, suggesting that decision makers process all information given to them with equal attention. However, it is probable that decision makers invoke any number of attribute processing strategies (APSs) when weighing the characteristics of candidate alternatives against one another. Utilising data from a study of urban road freight stakeholders evaluating alternative packages of component trip times, fuel costs and variable user charges, this paper shows that accounting for APS heterogeneity associate with each alternative in each choice set results in differing marginal disutilities and willingness to pay for components of travel time, compared to a model which assumes passive bounded rationality. © 2007 Elsevier Ltd. All rights reserved.","author":[{"dropping-particle":"","family":"Puckett","given":"Sean M.","non-dropping-particle":"","parse-names":false,"suffix":""},{"dropping-particle":"","family":"Hensher","given":"David A.","non-dropping-particle":"","parse-names":false,"suffix":""}],"container-title":"Transportation Research Part E: Logistics and Transportation Review","id":"ITEM-1","issue":"3","issued":{"date-parts":[["2008"]]},"page":"379-395","title":"The role of attribute processing strategies in estimating the preferences of road freight stakeholders","type":"article-journal","volume":"44"},"uris":["http://www.mendeley.com/documents/?uuid=9d2eb993-81b9-462a-9b7f-feb559a542fd"]},{"id":"ITEM-2","itemData":{"DOI":"10.1093/erae/jbp012","ISBN":"0165-1587","ISSN":"01651587","PMID":"20093261227","abstract":"Non-market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Economics","id":"ITEM-2","issue":"2","issued":{"date-parts":[["2009"]]},"page":"151-174","title":"Modelling attribute non-attendance in choice experiments for rural landscape valuation","type":"article-journal","volume":"36"},"uris":["http://www.mendeley.com/documents/?uuid=439f07bd-ddbc-47e0-aa99-5a776535bf11"]},{"id":"ITEM-3","itemData":{"DOI":"10.1002/hec.1369","ISSN":"10579230","abstract":"Stated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Economics","id":"ITEM-3","issue":"3","issued":{"date-parts":[["2009"]]},"page":"321-336","title":"Rationalising the 'irrational': A think aloud study of discrete choice experiment responses","type":"article-journal","volume":"18"},"uris":["http://www.mendeley.com/documents/?uuid=65437a29-9a07-4887-a3c8-09ffb7ec08dc"]}],"mendeley":{"formattedCitation":"[63; 68; 71]","plainTextFormattedCitation":"[63; 68; 71]","previouslyFormattedCitation":"[63; 68;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[63; 68; 71]</w:t>
      </w:r>
      <w:r w:rsidR="000A3492" w:rsidRPr="00B31BEB">
        <w:rPr>
          <w:rStyle w:val="FootnoteReference"/>
          <w:noProof/>
        </w:rPr>
        <w:fldChar w:fldCharType="end"/>
      </w:r>
      <w:r w:rsidRPr="00B31BEB">
        <w:rPr>
          <w:noProof/>
        </w:rPr>
        <w:t xml:space="preserve">. The more prominent approaches are </w:t>
      </w:r>
      <w:r w:rsidRPr="00B31BEB">
        <w:rPr>
          <w:i/>
          <w:iCs/>
          <w:noProof/>
        </w:rPr>
        <w:t>Stated</w:t>
      </w:r>
      <w:r w:rsidRPr="00B31BEB">
        <w:rPr>
          <w:noProof/>
        </w:rPr>
        <w:t xml:space="preserve"> and </w:t>
      </w:r>
      <w:r w:rsidRPr="00B31BEB">
        <w:rPr>
          <w:i/>
          <w:iCs/>
          <w:noProof/>
        </w:rPr>
        <w:t>Inferred</w:t>
      </w:r>
      <w:r w:rsidRPr="00B31BEB">
        <w:rPr>
          <w:noProof/>
        </w:rPr>
        <w:t xml:space="preserve"> ANA. In stated ANA, respondents are asked to state whether or not they attended to the attributes when making their choices. The attribute attendance questions may be asked after an entire experiment, referred to as </w:t>
      </w:r>
      <w:r w:rsidRPr="00B31BEB">
        <w:rPr>
          <w:i/>
          <w:iCs/>
          <w:noProof/>
        </w:rPr>
        <w:t>Serial</w:t>
      </w:r>
      <w:r w:rsidRPr="00B31BEB">
        <w:rPr>
          <w:noProof/>
        </w:rPr>
        <w:t xml:space="preserve"> stated ANA</w:t>
      </w:r>
      <w:r w:rsidR="00D82022" w:rsidRPr="00B31BEB">
        <w:rPr>
          <w:noProof/>
        </w:rPr>
        <w:t xml:space="preserve"> </w:t>
      </w:r>
      <w:r w:rsidR="000A3492" w:rsidRPr="00B31BEB">
        <w:rPr>
          <w:rStyle w:val="FootnoteReference"/>
          <w:noProof/>
        </w:rPr>
        <w:fldChar w:fldCharType="begin" w:fldLock="1"/>
      </w:r>
      <w:r w:rsidR="008B6C5B" w:rsidRPr="00B31BEB">
        <w:rPr>
          <w:noProof/>
        </w:rPr>
        <w:instrText>ADDIN CSL_CITATION {"citationItems":[{"id":"ITEM-1","itemData":{"DOI":"10.1111/1477-9552.12246","ISSN":"14779552","abstract":"A number of choice experiment (CE) studies have shown that survey respondents employ heuristics such as attribute non-attendance (ANA) while evaluating food products. This paper addresses a set of related methodological questions using empirical consumer data from a CE on poultry meat with sustainability labels. First, it assesses whether there are differences in terms of marginal willingness to pay estimates between the two most common ways of collecting stated ANA (serial and choice task level). Second, it validates the self-reported ANA behaviour across both approaches. Third, it explores the concordance of stated methods with that of the inferred method. Results show that WTP estimates from serial-level data differ from those from choice task-level data. Also, self-reported measures on choice task ANA are found to be more congruent with model estimates than those for serial ANA, as well as with inferred ANA.","author":[{"dropping-particle":"","family":"Caputo","given":"Vincenzina","non-dropping-particle":"","parse-names":false,"suffix":""},{"dropping-particle":"","family":"Loo","given":"Ellen J.","non-dropping-particle":"Van","parse-names":false,"suffix":""},{"dropping-particle":"","family":"Scarpa","given":"Riccardo","non-dropping-particle":"","parse-names":false,"suffix":""},{"dropping-particle":"","family":"Nayga","given":"Rodolfo M.","non-dropping-particle":"","parse-names":false,"suffix":""},{"dropping-particle":"","family":"Verbeke","given":"Wim","non-dropping-particle":"","parse-names":false,"suffix":""}],"container-title":"Journal of Agricultural Economics","id":"ITEM-1","issue":"1","issued":{"date-parts":[["2018"]]},"page":"35-57","title":"Comparing Serial, and Choice Task Stated and Inferred Attribute Non-Attendance Methods in Food Choice Experiments","type":"article-journal","volume":"69"},"uris":["http://www.mendeley.com/documents/?uuid=07970be0-22c1-4cc6-acca-a31579711c5d"]}],"mendeley":{"formattedCitation":"[4]","plainTextFormattedCitation":"[4]","previouslyFormattedCitation":"[4]"},"properties":{"noteIndex":0},"schema":"https://github.com/citation-style-language/schema/raw/master/csl-citation.json"}</w:instrText>
      </w:r>
      <w:r w:rsidR="000A3492" w:rsidRPr="00B31BEB">
        <w:rPr>
          <w:rStyle w:val="FootnoteReference"/>
          <w:noProof/>
        </w:rPr>
        <w:fldChar w:fldCharType="separate"/>
      </w:r>
      <w:r w:rsidR="00DE5DC0" w:rsidRPr="00B31BEB">
        <w:rPr>
          <w:noProof/>
        </w:rPr>
        <w:t>[4]</w:t>
      </w:r>
      <w:r w:rsidR="000A3492" w:rsidRPr="00B31BEB">
        <w:rPr>
          <w:rStyle w:val="FootnoteReference"/>
          <w:noProof/>
        </w:rPr>
        <w:fldChar w:fldCharType="end"/>
      </w:r>
      <w:r w:rsidRPr="00B31BEB">
        <w:rPr>
          <w:noProof/>
        </w:rPr>
        <w:t xml:space="preserve">. Alternatively, the attendance questions may be asked after every choice task, </w:t>
      </w:r>
      <w:r w:rsidRPr="00B31BEB">
        <w:rPr>
          <w:i/>
          <w:iCs/>
          <w:noProof/>
        </w:rPr>
        <w:t>Choice Task</w:t>
      </w:r>
      <w:r w:rsidRPr="00B31BEB">
        <w:rPr>
          <w:noProof/>
        </w:rPr>
        <w:t xml:space="preserve"> stated ANA</w:t>
      </w:r>
      <w:r w:rsidR="009B0C2F" w:rsidRPr="00B31BEB">
        <w:rPr>
          <w:noProof/>
        </w:rPr>
        <w:t xml:space="preserve"> </w:t>
      </w:r>
      <w:r w:rsidR="000A3492" w:rsidRPr="00B31BEB">
        <w:rPr>
          <w:rStyle w:val="FootnoteReference"/>
          <w:noProof/>
        </w:rPr>
        <w:fldChar w:fldCharType="begin" w:fldLock="1"/>
      </w:r>
      <w:r w:rsidR="008B6C5B" w:rsidRPr="00B31BEB">
        <w:rPr>
          <w:noProof/>
        </w:rPr>
        <w:instrText>ADDIN CSL_CITATION {"citationItems":[{"id":"ITEM-1","itemData":{"DOI":"10.1111/1477-9552.12246","ISSN":"14779552","abstract":"A number of choice experiment (CE) studies have shown that survey respondents employ heuristics such as attribute non-attendance (ANA) while evaluating food products. This paper addresses a set of related methodological questions using empirical consumer data from a CE on poultry meat with sustainability labels. First, it assesses whether there are differences in terms of marginal willingness to pay estimates between the two most common ways of collecting stated ANA (serial and choice task level). Second, it validates the self-reported ANA behaviour across both approaches. Third, it explores the concordance of stated methods with that of the inferred method. Results show that WTP estimates from serial-level data differ from those from choice task-level data. Also, self-reported measures on choice task ANA are found to be more congruent with model estimates than those for serial ANA, as well as with inferred ANA.","author":[{"dropping-particle":"","family":"Caputo","given":"Vincenzina","non-dropping-particle":"","parse-names":false,"suffix":""},{"dropping-particle":"","family":"Loo","given":"Ellen J.","non-dropping-particle":"Van","parse-names":false,"suffix":""},{"dropping-particle":"","family":"Scarpa","given":"Riccardo","non-dropping-particle":"","parse-names":false,"suffix":""},{"dropping-particle":"","family":"Nayga","given":"Rodolfo M.","non-dropping-particle":"","parse-names":false,"suffix":""},{"dropping-particle":"","family":"Verbeke","given":"Wim","non-dropping-particle":"","parse-names":false,"suffix":""}],"container-title":"Journal of Agricultural Economics","id":"ITEM-1","issue":"1","issued":{"date-parts":[["2018"]]},"page":"35-57","title":"Comparing Serial, and Choice Task Stated and Inferred Attribute Non-Attendance Methods in Food Choice Experiments","type":"article-journal","volume":"69"},"uris":["http://www.mendeley.com/documents/?uuid=07970be0-22c1-4cc6-acca-a31579711c5d"]}],"mendeley":{"formattedCitation":"[4]","plainTextFormattedCitation":"[4]","previouslyFormattedCitation":"[4]"},"properties":{"noteIndex":0},"schema":"https://github.com/citation-style-language/schema/raw/master/csl-citation.json"}</w:instrText>
      </w:r>
      <w:r w:rsidR="000A3492" w:rsidRPr="00B31BEB">
        <w:rPr>
          <w:rStyle w:val="FootnoteReference"/>
          <w:noProof/>
        </w:rPr>
        <w:fldChar w:fldCharType="separate"/>
      </w:r>
      <w:r w:rsidR="00DE5DC0" w:rsidRPr="00B31BEB">
        <w:rPr>
          <w:noProof/>
        </w:rPr>
        <w:t>[4]</w:t>
      </w:r>
      <w:r w:rsidR="000A3492" w:rsidRPr="00B31BEB">
        <w:rPr>
          <w:rStyle w:val="FootnoteReference"/>
          <w:noProof/>
        </w:rPr>
        <w:fldChar w:fldCharType="end"/>
      </w:r>
      <w:r w:rsidRPr="00B31BEB">
        <w:rPr>
          <w:noProof/>
        </w:rPr>
        <w:t>. The stated ANA approach entails answering extra questions making the choice exercise bulkier. Stated ANA is also prone to misreporting and may be a source of endogeneity if stated ANA variables are included in the utility function</w:t>
      </w:r>
      <w:r w:rsidR="007A491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{"citationItems":[{"id":"ITEM-1","itemData":{"DOI":"10.1016/j.jebo.2013.09.009","ISSN":"01672681","abstract":"It is increasingly recognised that respondents to choice experiments employ heuristics such as attribute non-attendance (ANA) to simplify the choice tasks. This paper develops an econometric model which incorporates preference heterogeneity among respondents and allows the probability of non-attendance to depend on the respondents' stated non-attendance. We find evidence that stated ANA is a useful indicator of the prevalence of non-attendance in the data. Contrary to previous papers in the literature we find that estimates of marginal rates of substitution derived from models which account for ANA are similar to the standard logit estimates. © 2013 Elsevier B.V.","author":[{"dropping-particle":"","family":"Hole","given":"Arne Risa","non-dropping-particle":"","parse-names":false,"suffix":""},{"dropping-particle":"","family":"Kolstad","given":"Julie Riise","non-dropping-particle":"","parse-names":false,"suffix":""},{"dropping-particle":"","family":"Gyrd-Hansen","given":"Dorte","non-dropping-particle":"","parse-names":false,"suffix":""}],"container-title":"Journal of Economic Behavior and Organization","id":"ITEM-1","issued":{"date-parts":[["2013"]]},"page":"21-31","title":"Inferred vs. stated attribute non-attendance in choice experiments: A study of doctors' prescription behaviour","type":"article-journal","volume":"96"},"uris":["http://www.mendeley.com/documents/?uuid=fd93371c-7f72-46e5-9e36-3ec0e9e67bc0"]}],"mendeley":{"formattedCitation":"[32]","plainTextFormattedCitation":"[32]","previouslyFormattedCitation":"[32]"},"properties":{"noteIndex":0},"schema":"https://github.com/citation-style-language/schema/raw/master/csl-citation.json"}</w:instrText>
      </w:r>
      <w:r w:rsidR="000A3492" w:rsidRPr="00B31BEB">
        <w:rPr>
          <w:rStyle w:val="FootnoteReference"/>
          <w:noProof/>
        </w:rPr>
        <w:fldChar w:fldCharType="separate"/>
      </w:r>
      <w:r w:rsidR="00F8005E" w:rsidRPr="00B31BEB">
        <w:rPr>
          <w:noProof/>
        </w:rPr>
        <w:t>[32]</w:t>
      </w:r>
      <w:r w:rsidR="000A3492" w:rsidRPr="00B31BEB">
        <w:rPr>
          <w:rStyle w:val="FootnoteReference"/>
          <w:noProof/>
        </w:rPr>
        <w:fldChar w:fldCharType="end"/>
      </w:r>
      <w:r w:rsidRPr="00B31BEB">
        <w:rPr>
          <w:noProof/>
        </w:rPr>
        <w:t>. In inferred ANA, econometric models based on latent class models are used to estimate the probability of attribute attendance without collecting the attendance data directly from the respondents. In light of stated ANA’s shortcomings, we modeled inferred ANA. Inferred ANA is also less demanding in terms of respondent effort and infrastructure needed to carry out the experiment.</w:t>
      </w:r>
    </w:p>
    <w:p w:rsidR="009E5473" w:rsidRPr="00B31BEB" w:rsidRDefault="009E5473" w:rsidP="00620A89">
      <w:pPr>
        <w:tabs>
          <w:tab w:val="center" w:pos="4800"/>
          <w:tab w:val="right" w:pos="9500"/>
        </w:tabs>
        <w:ind w:firstLine="720"/>
        <w:rPr>
          <w:noProof/>
        </w:rPr>
      </w:pPr>
      <w:r w:rsidRPr="00B31BEB">
        <w:rPr>
          <w:noProof/>
        </w:rPr>
        <w:t xml:space="preserve">The state of the art in modeling ANA presupposes that it is </w:t>
      </w:r>
      <w:r w:rsidRPr="00B31BEB">
        <w:rPr>
          <w:i/>
          <w:iCs/>
          <w:noProof/>
        </w:rPr>
        <w:t>static</w:t>
      </w:r>
      <w:r w:rsidRPr="00B31BEB">
        <w:rPr>
          <w:noProof/>
        </w:rPr>
        <w:t>. That is, ANA behavior does not change throughout the experiment. However, some experimental situations can prompt changes in ANA behavior. To address the second challenge, this paper extends existing choice models to handle changes in ANA behavior. The proposed model introduces a Markovian structure</w:t>
      </w:r>
      <w:r w:rsidR="00F27AD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{"citationItems":[{"id":"ITEM-1","itemData":{"ISBN":"9781420079425","abstract":"Since their popularization in the 1990s, Markov chain Monte Carlo (MCMC) methods have revolutionized statistical computing and have had an especially profound impact on the practice of Bayesian statistics. Furthermore, MCMC methods have enabled the development and use of intricate models in an astonishing array of disciplines as diverse as fisheries science and economics. The wide-ranging practical importance of MCMC has sparked an expansive and deep investigation into fundamental Markov chain theory. The Handbook of Markov Chain Monte Carlo provides a reference for the broad audience of developers and users of MCMC methodology interested in keeping up with cutting-edge theory and applications. The first half of the book covers MCMC foundations, methodology, and algorithms. The second half considers the use of MCMC in a variety of practical applications including in educational research, astrophysics, brain imaging, ecology, and sociology. The in-depth introductory section of the book allows graduate students and practicing scientists new to MCMC to become thoroughly acquainted with the basic theory, algorithms, and applications. The book supplies detailed examples and case studies of realistic scientific problems presenting the diversity of methods used by the wide-ranging MCMC community. Those familiar with MCMC methods will find this book a useful refresher of current theory and recent developments.","author":[{"dropping-particle":"","family":"Brooks","given":"Steve","non-dropping-particle":"","parse-names":false,"suffix":""},{"dropping-particle":"","family":"Gelman","given":"Andrew","non-dropping-particle":"","parse-names":false,"suffix":""},{"dropping-particle":"","family":"Jones","given":"Galin L.","non-dropping-particle":"","parse-names":false,"suffix":""},{"dropping-particle":"","family":"Meng","given":"Xiao Li","non-dropping-particle":"","parse-names":false,"suffix":""}],"container-title":"Handbook of Markov Chain Monte Carlo","id":"ITEM-1","issued":{"date-parts":[["2011"]]},"number-of-pages":"1-592","publisher":"CRC Press","title":"Handbook of Markov Chain Monte Carlo","type":"book"},"uris":["http://www.mendeley.com/documents/?uuid=cfc67677-af79-43ae-aac9-1f36980743db"]},{"id":"ITEM-2","itemData":{"ISSN":"9781848210103","abstract":"... there be at least two response variables (J ≥ 2). In mixture growth models one will ... The latent class or mixture approach allows identifying subgroups (categories of the time-constant latent  ... The extension provided by the mixture latent growth model is that the dynamic dependent ...","author":[{"dropping-particle":"","family":"Vermunt","given":"Jeroen K","non-dropping-particle":"","parse-names":false,"suffix":""},{"dropping-particle":"","family":"Magidson","given":"Jay","non-dropping-particle":"","parse-names":false,"suffix":""}],"container-title":"Methodology","id":"ITEM-2","issued":{"date-parts":[["2008"]]},"page":"373-385","title":"Latent Class Models in Longitudinal Research Latent Class Models in Longitudinal Research The mixture latent Markov model","type":"article-journal"},"uris":["http://www.mendeley.com/documents/?uuid=853e4614-00aa-4db9-a70f-d004f58dfea8"]}],"mendeley":{"formattedCitation":"[3; 82]","plainTextFormattedCitation":"[3; 82]","previouslyFormattedCitation":"[3; 82]"},"properties":{"noteIndex":0},"schema":"https://github.com/citation-style-language/schema/raw/master/csl-citation.json"}</w:instrText>
      </w:r>
      <w:r w:rsidR="000A3492" w:rsidRPr="00B31BEB">
        <w:rPr>
          <w:rStyle w:val="FootnoteReference"/>
          <w:noProof/>
        </w:rPr>
        <w:fldChar w:fldCharType="separate"/>
      </w:r>
      <w:r w:rsidR="00F8005E" w:rsidRPr="00B31BEB">
        <w:rPr>
          <w:noProof/>
        </w:rPr>
        <w:t>[3; 82]</w:t>
      </w:r>
      <w:r w:rsidR="000A3492" w:rsidRPr="00B31BEB">
        <w:rPr>
          <w:rStyle w:val="FootnoteReference"/>
          <w:noProof/>
        </w:rPr>
        <w:fldChar w:fldCharType="end"/>
      </w:r>
      <w:r w:rsidR="006D7D75" w:rsidRPr="00B31BEB">
        <w:rPr>
          <w:noProof/>
        </w:rPr>
        <w:t xml:space="preserve"> </w:t>
      </w:r>
      <w:r w:rsidRPr="00B31BEB">
        <w:rPr>
          <w:noProof/>
        </w:rPr>
        <w:t>on the endogenous attribute attendance model</w:t>
      </w:r>
      <w:r w:rsidR="00F604DC"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Letters","id":"ITEM-1","issue":"3","issued":{"date-parts":[["2011"]]},"page":"203-205","title":"A discrete choice model with endogenous attribute attendance","type":"article-journal","volume":"110"},"uris":["http://www.mendeley.com/documents/?uuid=5662ee3c-a6f3-42b2-983b-10d425b6ed72"]},{"id":"ITEM-2","itemData":{"DOI":"10.1016/j.jebo.2013.09.009","ISSN":"01672681","abstract":"It is increasingly recognised that respondents to choice experiments employ heuristics such as attribute non-attendance (ANA) to simplify the choice tasks. This paper develops an econometric model which incorporates preference heterogeneity among respondents and allows the probability of non-attendance to depend on the respondents' stated non-attendance. We find evidence that stated ANA is a useful indicator of the prevalence of non-attendance in the data. Contrary to previous papers in the literature we find that estimates of marginal rates of substitution derived from models which account for ANA are similar to the standard logit estimates. © 2013 Elsevier B.V.","author":[{"dropping-particle":"","family":"Hole","given":"Arne Risa","non-dropping-particle":"","parse-names":false,"suffix":""},{"dropping-particle":"","family":"Kolstad","given":"Julie Riise","non-dropping-particle":"","parse-names":false,"suffix":""},{"dropping-particle":"","family":"Gyrd-Hansen","given":"Dorte","non-dropping-particle":"","parse-names":false,"suffix":""}],"container-title":"Journal of Economic Behavior and Organization","id":"ITEM-2","issued":{"date-parts":[["2013"]]},"page":"21-31","title":"Inferred vs. stated attribute non-attendance in choice experiments: A study of doctors' prescription behaviour","type":"article-journal","volume":"96"},"uris":["http://www.mendeley.com/documents/?uuid=fd93371c-7f72-46e5-9e36-3ec0e9e67bc0"]}],"mendeley":{"formattedCitation":"[31; 32]","plainTextFormattedCitation":"[31; 32]","previouslyFormattedCitation":"[31; 32]"},"properties":{"noteIndex":0},"schema":"https://github.com/citation-style-language/schema/raw/master/csl-citation.json"}</w:instrText>
      </w:r>
      <w:r w:rsidR="000A3492" w:rsidRPr="00B31BEB">
        <w:rPr>
          <w:rStyle w:val="FootnoteReference"/>
          <w:noProof/>
        </w:rPr>
        <w:fldChar w:fldCharType="separate"/>
      </w:r>
      <w:r w:rsidR="00F8005E" w:rsidRPr="00B31BEB">
        <w:rPr>
          <w:noProof/>
        </w:rPr>
        <w:t>[31; 32]</w:t>
      </w:r>
      <w:r w:rsidR="000A3492" w:rsidRPr="00B31BEB">
        <w:rPr>
          <w:rStyle w:val="FootnoteReference"/>
          <w:noProof/>
        </w:rPr>
        <w:fldChar w:fldCharType="end"/>
      </w:r>
      <w:r w:rsidRPr="00B31BEB">
        <w:rPr>
          <w:noProof/>
        </w:rPr>
        <w:t>. Markov models have been used in behavioral sciences to model changes in consumer preferences</w:t>
      </w:r>
      <w:r w:rsidR="004D6ACE"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Commerce","id":"ITEM-1","issue":"3","issued":{"date-parts":[["2003"]]},"page":"39-63","title":"A Study of consumer switching behavior across internet portal web sites","type":"article-journal","volume":"7"},"uris":["http://www.mendeley.com/documents/?uuid=1a039dcb-290c-446a-a510-7b3d3361f99d"]},{"id":"ITEM-2","itemData":{"DOI":"10.1287/mksc.1070.0294","ISSN":"07322399","abstract":"This research models the dynamics of customer relationships using typical transaction data. Our proposed model permits not only capturing the dynamics of customer relationships, but also incorporating the effect of the sequence of customer-firm encounters on the dynamics of customer relationships and the subsequent buying behavior. Our approach to modeling relationship dynamics is structurally different from existing approaches. Specifically we construct and estimate a nonhomogeneous hidden Markov model to model the transitions among latent relationship states and effects on buying behavior. In the proposed model, the transitions between the states are a function of time-varying covariates such as customer-firm encounters that could have an enduring impact by shifting the customer to a different (unobservable) relationship state. The proposed model enables marketers to dynamically segment their customer base and to examine methods by which the firm can alter long-term buying behavior. We use a hierarchical Bayes approach to capture the unobserved heterogeneity across customers. We calibrate the model in the context of alumni relations using a longitudinal gift-giving data set. Using the proposed model, we probabilistically classify the alumni base into three relationship states and estimate the effect of alumni-university interactions, such as reunions, on the movement of alumni between these states. Additionally, we demonstrate improved prediction ability on a hold-out sample. © 2008 INFORMS.","author":[{"dropping-particle":"","family":"Netzer","given":"Oded","non-dropping-particle":"","parse-names":false,"suffix":""},{"dropping-particle":"","family":"Lattin","given":"James M.","non-dropping-particle":"","parse-names":false,"suffix":""},{"dropping-particle":"","family":"Srinivasan","given":"V.","non-dropping-particle":"","parse-names":false,"suffix":""}],"container-title":"Marketing Science","id":"ITEM-2","issue":"2","issued":{"date-parts":[["2008"]]},"page":"185-204","publisher":"INFORMS","title":"A hidden Markov model of customer relationship dynamics","type":"article-journal","volume":"27"},"uris":["http://www.mendeley.com/documents/?uuid=e440ac4b-a042-4ef9-aed6-7d3289649cf2"]},{"id":"ITEM-3","itemData":{"DOI":"10.1007/978-3-319-53469-5_14","ISBN":"978-3-319-53469-5","author":[{"dropping-particle":"","family":"Netzer, Oded and Ebbes, Peter and Bijmolt","given":"Tammo HA","non-dropping-particle":"","parse-names":false,"suffix":""}],"chapter-number":"14","container-title":"Advanced methods for modeling markets","editor":[{"dropping-particle":"","family":"Leeflang, Peter S. H. and Wieringa, Jaap E. and Bijmolt, Tammo H.A and Pauwels","given":"Koen H.","non-dropping-particle":"","parse-names":false,"suffix":""}],"id":"ITEM-3","issued":{"date-parts":[["2017"]]},"page":"405--449","publisher":"Springer International Publishing","title":"Hidden Markov models in marketing","type":"chapter"},"uris":["http://www.mendeley.com/documents/?uuid=a2a96c8a-b957-4de8-a675-9f71ad85093e"]}],"mendeley":{"formattedCitation":"[41; 55; 56]","plainTextFormattedCitation":"[41; 55; 56]","previouslyFormattedCitation":"[41; 55; 56]"},"properties":{"noteIndex":0},"schema":"https://github.com/citation-style-language/schema/raw/master/csl-citation.json"}</w:instrText>
      </w:r>
      <w:r w:rsidR="000A3492" w:rsidRPr="00B31BEB">
        <w:rPr>
          <w:rStyle w:val="FootnoteReference"/>
          <w:noProof/>
        </w:rPr>
        <w:fldChar w:fldCharType="separate"/>
      </w:r>
      <w:r w:rsidR="00F8005E" w:rsidRPr="00B31BEB">
        <w:rPr>
          <w:noProof/>
        </w:rPr>
        <w:t>[41; 55; 56]</w:t>
      </w:r>
      <w:r w:rsidR="000A3492" w:rsidRPr="00B31BEB">
        <w:rPr>
          <w:rStyle w:val="FootnoteReference"/>
          <w:noProof/>
        </w:rPr>
        <w:fldChar w:fldCharType="end"/>
      </w:r>
      <w:r w:rsidRPr="00B31BEB">
        <w:rPr>
          <w:noProof/>
        </w:rPr>
        <w:t xml:space="preserve">. These models assume that consumers’ behavior at a given point depends on past behavior. Typically, the dependence is limited to an order of one i.e., behavior at the previous point. This dynamic ANA formulation makes it possible to obtain more refined results than </w:t>
      </w:r>
      <w:r w:rsidRPr="00B31BEB">
        <w:rPr>
          <w:noProof/>
        </w:rPr>
        <w:lastRenderedPageBreak/>
        <w:t>assuming a static ANA behavior. The model can also be used to explore factors that drive changes in ANA behavior.</w:t>
      </w:r>
    </w:p>
    <w:p w:rsidR="00EA0185" w:rsidRPr="00B31BEB" w:rsidRDefault="00EA0185" w:rsidP="00EA0185">
      <w:pPr>
        <w:tabs>
          <w:tab w:val="center" w:pos="4800"/>
          <w:tab w:val="right" w:pos="9500"/>
        </w:tabs>
        <w:ind w:firstLine="720"/>
        <w:rPr>
          <w:noProof/>
        </w:rPr>
      </w:pPr>
      <w:r w:rsidRPr="00B31BEB">
        <w:rPr>
          <w:noProof/>
        </w:rPr>
        <w:t xml:space="preserve">We apply the proposed model formulation to a stated choice experiment on website choices for </w:t>
      </w:r>
      <w:r w:rsidR="00C417C4" w:rsidRPr="00B31BEB">
        <w:rPr>
          <w:noProof/>
        </w:rPr>
        <w:t>Belgian</w:t>
      </w:r>
      <w:r w:rsidRPr="00B31BEB">
        <w:rPr>
          <w:noProof/>
        </w:rPr>
        <w:t xml:space="preserve"> e-consumers. Initially, the data was collected to investigate the impacts of website attributes on website choices. However, the innovative way in which the data was collected makes it a good candidate for investigating the impact of information on ANA in website choices. This is because mid-way through the experiment, extra information was provided on three attributes. First, on the </w:t>
      </w:r>
      <w:r w:rsidRPr="00B31BEB">
        <w:rPr>
          <w:i/>
          <w:iCs/>
          <w:noProof/>
        </w:rPr>
        <w:t>Trustlabel</w:t>
      </w:r>
      <w:r w:rsidRPr="00B31BEB">
        <w:rPr>
          <w:noProof/>
        </w:rPr>
        <w:t xml:space="preserve"> attribute. The </w:t>
      </w:r>
      <w:r w:rsidRPr="00B31BEB">
        <w:rPr>
          <w:i/>
          <w:iCs/>
          <w:noProof/>
        </w:rPr>
        <w:t>trustlabel</w:t>
      </w:r>
      <w:r w:rsidRPr="00B31BEB">
        <w:rPr>
          <w:noProof/>
        </w:rPr>
        <w:t xml:space="preserve"> describes whether a trust label is present or absent on a website. Presence of a trust label implies that the webshop has been verified by an independent third party for reliable e-purchases and guaranteed personal and financial privacy. Second, on the </w:t>
      </w:r>
      <w:r w:rsidRPr="00B31BEB">
        <w:rPr>
          <w:i/>
          <w:iCs/>
          <w:noProof/>
        </w:rPr>
        <w:t>Headquarter</w:t>
      </w:r>
      <w:r w:rsidRPr="00B31BEB">
        <w:rPr>
          <w:noProof/>
        </w:rPr>
        <w:t xml:space="preserve"> attribute which explains whether the webshop has its headquarters in </w:t>
      </w:r>
      <w:r w:rsidR="00A55ADD" w:rsidRPr="00B31BEB">
        <w:rPr>
          <w:noProof/>
        </w:rPr>
        <w:t>Belgium</w:t>
      </w:r>
      <w:r w:rsidRPr="00B31BEB">
        <w:rPr>
          <w:noProof/>
        </w:rPr>
        <w:t xml:space="preserve"> or not. Information on </w:t>
      </w:r>
      <w:r w:rsidRPr="00B31BEB">
        <w:rPr>
          <w:i/>
          <w:iCs/>
          <w:noProof/>
        </w:rPr>
        <w:t>headquarter</w:t>
      </w:r>
      <w:r w:rsidRPr="00B31BEB">
        <w:rPr>
          <w:noProof/>
        </w:rPr>
        <w:t xml:space="preserve"> described the economic impact of the stiff competition that </w:t>
      </w:r>
      <w:r w:rsidR="000F6295" w:rsidRPr="00B31BEB">
        <w:rPr>
          <w:noProof/>
        </w:rPr>
        <w:t>Belgium</w:t>
      </w:r>
      <w:r w:rsidRPr="00B31BEB">
        <w:rPr>
          <w:noProof/>
        </w:rPr>
        <w:t xml:space="preserve">-based webstores face when competing against foreign well-established webshops. Third, information was given on the </w:t>
      </w:r>
      <w:r w:rsidRPr="00B31BEB">
        <w:rPr>
          <w:i/>
          <w:iCs/>
          <w:noProof/>
        </w:rPr>
        <w:t>Distance</w:t>
      </w:r>
      <w:r w:rsidRPr="00B31BEB">
        <w:rPr>
          <w:noProof/>
        </w:rPr>
        <w:t xml:space="preserve"> attribute. </w:t>
      </w:r>
      <w:r w:rsidRPr="00B31BEB">
        <w:rPr>
          <w:i/>
          <w:iCs/>
          <w:noProof/>
        </w:rPr>
        <w:t>Distance</w:t>
      </w:r>
      <w:r w:rsidRPr="00B31BEB">
        <w:rPr>
          <w:noProof/>
        </w:rPr>
        <w:t xml:space="preserve"> expresses the distance (in kms) that items have to be transported to reach e-consumers. In this regard, information on the environmental impact of transporting packages over long distances was provided. The motivation for providing information on these attributes was to investigate trust in e-commerce, preference for local webshops and, environmentalism and sustainability in e-commerce. Traditionally, choice models with shifts in preference parameters would be used to account for the information impact (e.g., </w:t>
      </w:r>
      <w:r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Pr="00B31BEB">
        <w:rPr>
          <w:rStyle w:val="FootnoteReference"/>
          <w:noProof/>
        </w:rPr>
        <w:fldChar w:fldCharType="separate"/>
      </w:r>
      <w:r w:rsidR="00F8005E" w:rsidRPr="00B31BEB">
        <w:rPr>
          <w:noProof/>
        </w:rPr>
        <w:t>[67]</w:t>
      </w:r>
      <w:r w:rsidRPr="00B31BEB">
        <w:rPr>
          <w:rStyle w:val="FootnoteReference"/>
          <w:noProof/>
        </w:rPr>
        <w:fldChar w:fldCharType="end"/>
      </w:r>
      <w:r w:rsidRPr="00B31BEB">
        <w:rPr>
          <w:noProof/>
        </w:rPr>
        <w:t>). We instead reveal this impact by modeling the changes in ANA behavior.</w:t>
      </w:r>
    </w:p>
    <w:p w:rsidR="00EA0185" w:rsidRPr="00B31BEB" w:rsidRDefault="00EA0185">
      <w:pPr>
        <w:tabs>
          <w:tab w:val="center" w:pos="4800"/>
          <w:tab w:val="right" w:pos="9500"/>
        </w:tabs>
        <w:ind w:firstLine="720"/>
        <w:rPr>
          <w:noProof/>
        </w:rPr>
      </w:pPr>
      <w:r w:rsidRPr="00B31BEB">
        <w:rPr>
          <w:noProof/>
        </w:rPr>
        <w:t xml:space="preserve">This research contributes to the literature in several ways. First, we augment the evidence that providing information on attributes may alter customers’ behavior when </w:t>
      </w:r>
      <w:r w:rsidRPr="00B31BEB">
        <w:rPr>
          <w:noProof/>
        </w:rPr>
        <w:lastRenderedPageBreak/>
        <w:t xml:space="preserve">selecting websites. This implies that for companies whose websites have differential attributes like trustmarks, informing customers by prominently displaying and explaining its importance may increase selection chances for their webshops </w:t>
      </w:r>
      <w:r w:rsidRPr="00B31BEB">
        <w:rPr>
          <w:rStyle w:val="FootnoteReference"/>
          <w:noProof/>
        </w:rPr>
        <w:fldChar w:fldCharType="begin" w:fldLock="1"/>
      </w:r>
      <w:r w:rsidR="00E23587" w:rsidRPr="00B31BEB">
        <w:rPr>
          <w:noProof/>
        </w:rPr>
        <w:instrText>ADDIN CSL_CITATION {"citationItems":[{"id":"ITEM-1","itemData":{"DOI":"10.1287/isre.1090.0260","ISSN":"15265536","abstract":"Although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Research","id":"ITEM-1","issue":"2","issued":{"date-parts":[["2011"]]},"page":"254-268","title":"The effect of online privacy information on purchasing behavior: An experimental study","type":"article-journal","volume":"22"},"uris":["http://www.mendeley.com/documents/?uuid=42c2b602-9bd4-4b3b-a109-9e1df943ed87"]},{"id":"ITEM-2","itemData":{"DOI":"10.1080/10864415.2016.1121762","ISSN":"15579301","abstract":"An online retailers website acts as a focal point for a companys online identity, not only encompassing the products and services offered but also presenting the aesthetic image and values of the company. Cultivating a strong company online identity helps differentiate one online retailer from another, attracts and retains customers to strengthen competitive advantage, and enhances brand, product, or service distinctions. Our study proposes that an online retailers website cultivates a particular identity that consumers may identify with to varying degrees. This identification with an online retailers web presence may generate repeat purchases from committed consumers, or even extra-role behaviors such as the creation and distribution of written, audio, and video content online. Website identification is proposed to be a representation of a consumers identification with his/her perception of an online retailers identity. Website identification is theorized to act as a mediating factor that unifies online purchase research streams with information systems, consumer behavior, and marketing, presenting new strategies for online retailers to assess and build a strong customer base. This study demonstrates that website identification provides a new theoretical perspective to understand online shopping behavior of committed customers. We recommend that online retailers promote website identification to attract and retain repeat customers by focusing on the attractiveness of the website and product offerings while maintaining a high degree of trust.","author":[{"dropping-particle":"","family":"King","given":"Ruth C.","non-dropping-particle":"","parse-names":false,"suffix":""},{"dropping-particle":"","family":"Schilhavy","given":"Richard A.M.","non-dropping-particle":"","parse-names":false,"suffix":""},{"dropping-particle":"","family":"Chowa","given":"Charles","non-dropping-particle":"","parse-names":false,"suffix":""},{"dropping-particle":"","family":"Chin","given":"Wynne W.","non-dropping-particle":"","parse-names":false,"suffix":""}],"container-title":"International Journal of Electronic Commerce","id":"ITEM-2","issue":"3","issued":{"date-parts":[["2016"]]},"page":"319-354","title":"Do customers identify with our website? The effects of website identification on repeat purchase intention","type":"article-journal","volume":"20"},"uris":["http://www.mendeley.com/documents/?uuid=be34fd9d-5963-456f-b3fb-864622edf86d"]}],"mendeley":{"formattedCitation":"[38; 78]","plainTextFormattedCitation":"[38; 78]","previouslyFormattedCitation":"[38; 78]"},"properties":{"noteIndex":0},"schema":"https://github.com/citation-style-language/schema/raw/master/csl-citation.json"}</w:instrText>
      </w:r>
      <w:r w:rsidRPr="00B31BEB">
        <w:rPr>
          <w:rStyle w:val="FootnoteReference"/>
          <w:noProof/>
        </w:rPr>
        <w:fldChar w:fldCharType="separate"/>
      </w:r>
      <w:r w:rsidR="00F8005E" w:rsidRPr="00B31BEB">
        <w:rPr>
          <w:noProof/>
        </w:rPr>
        <w:t>[38; 78]</w:t>
      </w:r>
      <w:r w:rsidRPr="00B31BEB">
        <w:rPr>
          <w:rStyle w:val="FootnoteReference"/>
          <w:noProof/>
        </w:rPr>
        <w:fldChar w:fldCharType="end"/>
      </w:r>
      <w:r w:rsidRPr="00B31BEB">
        <w:rPr>
          <w:noProof/>
        </w:rPr>
        <w:t>. Second, we model ANA in an e-commerce setting. In doing so, we show that the consequences of not modeling ANA (e.g., inaccurate estimates and conclusions) that have been reported in other settings apply to e-commerce choice experiments. We find that customers did not always attend to the attributes when choosing websites. Additionally, the estimates and conclusions for models that modeled ANA were not always the same as for those that did not model ANA. Third, we investigate tendencies for e-consumers to change their ANA behavior. While attributes’ importance may change due to availability of information or over time, accounting for possible changes in ANA behavior remains under-researched. We model consumers’ tendency to change their ANA behavior depending on the preceding attendance pattern. We illustrate the importance of explaining essential attributes to consumers and how more information impacts consumers’ attribute attendance behavior. We find that accounting for ANA switching behavior provides a better model fit compared to the more standard approaches of handling additional information in choice experiments. We also find significant socio-economic and attitudinal factors’ effects on changes in e-consumers’ attribute attendance behavior.</w:t>
      </w:r>
    </w:p>
    <w:p w:rsidR="005313EC" w:rsidRPr="00B31BEB" w:rsidRDefault="005313EC" w:rsidP="00620A89">
      <w:pPr>
        <w:pStyle w:val="Heading3"/>
      </w:pPr>
      <w:r w:rsidRPr="00B31BEB">
        <w:t>Hypotheses</w:t>
      </w:r>
    </w:p>
    <w:p w:rsidR="00327588" w:rsidRPr="00B31BEB" w:rsidRDefault="00327588" w:rsidP="00620A89">
      <w:pPr>
        <w:tabs>
          <w:tab w:val="center" w:pos="4800"/>
          <w:tab w:val="right" w:pos="9500"/>
        </w:tabs>
        <w:ind w:firstLine="720"/>
        <w:rPr>
          <w:noProof/>
        </w:rPr>
      </w:pPr>
      <w:r w:rsidRPr="00B31BEB">
        <w:rPr>
          <w:noProof/>
        </w:rPr>
        <w:t xml:space="preserve">Customers choose websites by considering many attributes simultaneously. According to behavioral theory, website choices are related to their attributes. Attributes are assumed to have quantifiable contributions to utilities. Customers aggregate attributes’ individual contributions into a utility and choose a website that maximizes their utility. The overarching principle in this decision-making process is that customers </w:t>
      </w:r>
      <w:r w:rsidRPr="00B31BEB">
        <w:rPr>
          <w:noProof/>
        </w:rPr>
        <w:lastRenderedPageBreak/>
        <w:t>understand and consider all the attributes presented to them. However, this is not always the case. Decision makers do not always consider all attributes</w:t>
      </w:r>
      <w:r w:rsidR="00C2616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{"citationItems":[{"id":"ITEM-1","itemData":{"DOI":"10.1002/jae.877","ISSN":"08837252","abstract":"The popularity of stated choice (SC) experiments has produced many design strategies in which researchers use increasingly more 'complex' choice settings to study choice behaviour. When the amount of information to assess increases, we wonder how an individual handles such information in making a choice. Defining the amount of information as the number of attributes associated with each choice set, we investigate how this information is processed as we vary its 'complexity'. Four ordered heterogeneous logit models are developed, each for an SC design based on a fixed number of attributes, in which the dependent variable defines the number of attributes that are ignored. We find that the degree to which individuals ignore attributes is influenced by the dimensionality of the SC experiment, the deviation of attribute levels from an experienced reference alternative, the use of 'adding up' attributes where feasible, the number of choice sets evaluated, and the personal income of the respondent. The empirical evidence supports the view that individuals appear to adopt a range of 'coping' strategies that are consistent with how they process information in real markets, and that aligning 'choice complexity' with the amount of information to process is potentially misleading. Relevancy is what matters. Copyright © 2006 John Wiley &amp; Sons, Ltd.","author":[{"dropping-particle":"","family":"Hensher","given":"David A.","non-dropping-particle":"","parse-names":false,"suffix":""}],"container-title":"Journal of Applied Econometrics","id":"ITEM-1","issue":"6","issued":{"date-parts":[["2006"]]},"page":"861-878","title":"How do respondents process stated choice experiments? Attribute consideration under varying information load","type":"article-journal","volume":"21"},"uris":["http://www.mendeley.com/documents/?uuid=b7423615-1ecd-4393-8411-84809f10fd5e"]},{"id":"ITEM-2","itemData":{"DOI":"10.1002/hec.1369","ISSN":"10579230","abstract":"Stated preference methods assume respondents' preferences are consistent with utility theory, but many empirical studies report evidence of preferences that violate utility theory. This evidence is often derived from quantitative tests that occur naturally within, or are added to, stated preference tasks. In this study, we use qualitative methods to explore three axioms of utility theory: completeness, monotonicity, and continuity. We take a novel approach, adopting a 'think aloud' technique to identify violations of the axioms of utility theory and to consider how well the quantitative tests incorporated within a discrete choice experiment are able to detect these. Results indicate that quantitative tests classify respondents as being 'irrational' when qualitative statements would indicate they are 'rational'. In particular, 'non-monotonic' responses can often be explained by respondents inferring additional information beyond what is presented in the task, and individuals who appear to adopt non-compensatory decision-making strategies do so because they rate particular attributes very highly (they are not attempting to simplify the task). The results also provide evidence of 'cost-based responses': respondents assumed tests with higher costs would be of higher quality. The value of including in-depth qualitative validation techniques in the development of stated preference tasks is shown. Copyright © 2008 John Wiley &amp; Sons, Ltd.","author":[{"dropping-particle":"","family":"Ryan","given":"Mandy","non-dropping-particle":"","parse-names":false,"suffix":""},{"dropping-particle":"","family":"Watson","given":"Verity","non-dropping-particle":"","parse-names":false,"suffix":""},{"dropping-particle":"","family":"Entwistle","given":"Vikki","non-dropping-particle":"","parse-names":false,"suffix":""}],"container-title":"Health Economics","id":"ITEM-2","issue":"3","issued":{"date-parts":[["2009"]]},"page":"321-336","title":"Rationalising the 'irrational': A think aloud study of discrete choice experiment responses","type":"article-journal","volume":"18"},"uris":["http://www.mendeley.com/documents/?uuid=65437a29-9a07-4887-a3c8-09ffb7ec08dc"]},{"id":"ITEM-3","itemData":{"DOI":"10.1287/isre.1090.0260","ISSN":"15265536","abstract":"Although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Research","id":"ITEM-3","issue":"2","issued":{"date-parts":[["2011"]]},"page":"254-268","title":"The effect of online privacy information on purchasing behavior: An experimental study","type":"article-journal","volume":"22"},"uris":["http://www.mendeley.com/documents/?uuid=42c2b602-9bd4-4b3b-a109-9e1df943ed87"]}],"mendeley":{"formattedCitation":"[26; 68; 78]","plainTextFormattedCitation":"[26; 68; 78]","previouslyFormattedCitation":"[26; 68; 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[26; 68; 78]</w:t>
      </w:r>
      <w:r w:rsidR="000A3492" w:rsidRPr="00B31BEB">
        <w:rPr>
          <w:rStyle w:val="FootnoteReference"/>
          <w:noProof/>
        </w:rPr>
        <w:fldChar w:fldCharType="end"/>
      </w:r>
      <w:r w:rsidRPr="00B31BEB">
        <w:rPr>
          <w:noProof/>
        </w:rPr>
        <w:t>. Customers</w:t>
      </w:r>
      <w:r w:rsidR="00A5290F" w:rsidRPr="00B31BEB">
        <w:rPr>
          <w:noProof/>
        </w:rPr>
        <w:t>’ understanding</w:t>
      </w:r>
      <w:r w:rsidRPr="00B31BEB">
        <w:rPr>
          <w:noProof/>
        </w:rPr>
        <w:t xml:space="preserve"> of the choice context may differ</w:t>
      </w:r>
      <w:r w:rsidR="00ED751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Research","id":"ITEM-1","issue":"2","issued":{"date-parts":[["2014"]]},"page":"345-363","title":"Consumer informedness and firm information strategy","type":"article-journal","volume":"25"},"uris":["http://www.mendeley.com/documents/?uuid=ac86c383-b144-4c72-ab96-c66418fd198e"]},{"id":"ITEM-2","itemData":{"DOI":"10.1016/j.jocm.2016.09.003","ISSN":"17555345","abstract":"We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Modelling","id":"ITEM-2","issued":{"date-parts":[["2017"]]},"page":"36-50","title":"Disentangling the influence of knowledge on attribute non-attendance","type":"article-journal","volume":"24"},"uris":["http://www.mendeley.com/documents/?uuid=95a72572-5167-4e61-ab9d-44982c933405"]}],"mendeley":{"formattedCitation":"[43; 70]","plainTextFormattedCitation":"[43; 70]","previouslyFormattedCitation":"[43; 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[43; 70]</w:t>
      </w:r>
      <w:r w:rsidR="000A3492" w:rsidRPr="00B31BEB">
        <w:rPr>
          <w:rStyle w:val="FootnoteReference"/>
          <w:noProof/>
        </w:rPr>
        <w:fldChar w:fldCharType="end"/>
      </w:r>
      <w:r w:rsidRPr="00B31BEB">
        <w:rPr>
          <w:noProof/>
        </w:rPr>
        <w:t>. Similarly, some customers may need information on the importance of some attributes</w:t>
      </w:r>
      <w:r w:rsidR="00BF443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Pr="00B31BEB">
        <w:rPr>
          <w:noProof/>
        </w:rPr>
        <w:t xml:space="preserve">. Therefore, there is a need to investigate the attendance behavior of decision-makers especially when attribute information is provided. </w:t>
      </w:r>
    </w:p>
    <w:p w:rsidR="00327588" w:rsidRPr="00B31BEB" w:rsidRDefault="00327588" w:rsidP="00620A89">
      <w:pPr>
        <w:tabs>
          <w:tab w:val="center" w:pos="4800"/>
          <w:tab w:val="right" w:pos="9500"/>
        </w:tabs>
        <w:ind w:firstLine="720"/>
        <w:rPr>
          <w:noProof/>
        </w:rPr>
      </w:pPr>
      <w:r w:rsidRPr="00B31BEB">
        <w:rPr>
          <w:noProof/>
        </w:rPr>
        <w:t>Provision of attribute information enhances consumers’ awareness of the attributes. The impact of information can be captured through changes in attributes’ parameters in the utility. This has been the standard theoretical and modeling approach (e.g.,</w:t>
      </w:r>
      <w:r w:rsidR="00766396"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Research","id":"ITEM-1","issue":"2","issued":{"date-parts":[["2014"]]},"page":"345-363","title":"Consumer informedness and firm information strategy","type":"article-journal","volume":"25"},"uris":["http://www.mendeley.com/documents/?uuid=ac86c383-b144-4c72-ab96-c66418fd198e"]},{"id":"ITEM-2","itemData":{"DOI":"10.1007/s11129-006-6559-x","ISSN":"15707156","abstract":"We develop discrete choice models that account for parameter driven preference dynamics. Choice model parameters may change over time because of shifting market conditions or due to changes in attribute levels over time or because of consumer learning. In this paper we show how such preference evolution can be modeled using hierarchial Bayesian state space models of discrete choice. The main feature of our approach is that it allows for the simultaneous incorporation of multiple sources of preference and choice dynamics. We show how the state space approach can include state dependence, unobserved heterogeneity, and more importantly, temporal variability in preferences using a correlated sequence of population distributions. The proposed model is very general and nests commonly used choice models in the literature as special cases. We use Markov chain montecarlo methods for estimating model parameters and apply our methodology to a scanner data set containing household brand choices over an eight-year period. Our analysis indicates that preferences exhibit significant variation over the time-span of the data and that incorporating time-variation in parameters is crucial for appropriate inferences regarding the magnitude and evolution of choice elasticities. We also find that models that ignore time variation in parameters can yield misleading inferences about the impact of causal variables. © Springer Science + Business Media, LLC 2006.","author":[{"dropping-particle":"","family":"Lachaab","given":"Mohamed","non-dropping-particle":"","parse-names":false,"suffix":""},{"dropping-particle":"","family":"Ansari","given":"Asim","non-dropping-particle":"","parse-names":false,"suffix":""},{"dropping-particle":"","family":"Jedidi","given":"Kamel","non-dropping-particle":"","parse-names":false,"suffix":""},{"dropping-particle":"","family":"Trabelsi","given":"Abdelwahed","non-dropping-particle":"","parse-names":false,"suffix":""}],"container-title":"Quantitative Marketing and Economics","id":"ITEM-2","issue":"1","issued":{"date-parts":[["2006"]]},"page":"57-81","title":"Modeling preference evolution in discrete choice models: A Bayesian state-space approach","type":"article-journal","volume":"4"},"uris":["http://www.mendeley.com/documents/?uuid=12cef3d8-b994-491a-a554-f8a1825d9625"]},{"id":"ITEM-3","itemData":{"DOI":"10.1016/j.foodpol.2013.01.006","ISSN":"03069192","abstract":"We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Policy","id":"ITEM-3","issued":{"date-parts":[["2013"]]},"page":"31-43","title":"Green market expansion by reducing information asymmetries: Evidence for labeled organic food products","type":"article-journal","volume":"40"},"uris":["http://www.mendeley.com/documents/?uuid=65353283-cbff-49f5-970f-84f9820b38a2"]}],"mendeley":{"formattedCitation":"[39; 43; 67]","plainTextFormattedCitation":"[39; 43; 67]","previouslyFormattedCitation":"[39; 43;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[39; 43; 67]</w:t>
      </w:r>
      <w:r w:rsidR="000A3492" w:rsidRPr="00B31BEB">
        <w:rPr>
          <w:rStyle w:val="FootnoteReference"/>
          <w:noProof/>
        </w:rPr>
        <w:fldChar w:fldCharType="end"/>
      </w:r>
      <w:r w:rsidRPr="00B31BEB">
        <w:rPr>
          <w:noProof/>
        </w:rPr>
        <w:t xml:space="preserve">). However, this impact can also express itself as changes in consumers’ attention to the attributes. We propose the latter and contrast it with the former way of modeling the impact of information in choice experiments. We propose the following hypothesis: </w:t>
      </w:r>
    </w:p>
    <w:p w:rsidR="00327588" w:rsidRPr="00B31BEB" w:rsidRDefault="00BA4806" w:rsidP="00620A89">
      <w:pPr>
        <w:pStyle w:val="Paragraph"/>
        <w:ind w:firstLine="720"/>
      </w:pPr>
      <w:r w:rsidRPr="00B31BEB">
        <w:rPr>
          <w:noProof/>
        </w:rPr>
        <w:t xml:space="preserve">H1: Providing information about attributes </w:t>
      </w:r>
      <w:r w:rsidR="00F350B2" w:rsidRPr="00B31BEB">
        <w:rPr>
          <w:noProof/>
        </w:rPr>
        <w:t xml:space="preserve">increases </w:t>
      </w:r>
      <w:r w:rsidRPr="00B31BEB">
        <w:rPr>
          <w:noProof/>
        </w:rPr>
        <w:t xml:space="preserve">the </w:t>
      </w:r>
      <w:r w:rsidR="00F350B2" w:rsidRPr="00B31BEB">
        <w:rPr>
          <w:noProof/>
        </w:rPr>
        <w:t xml:space="preserve">corresponding </w:t>
      </w:r>
      <w:r w:rsidRPr="00B31BEB">
        <w:rPr>
          <w:noProof/>
        </w:rPr>
        <w:t>attributes’ attendance probabilities.</w:t>
      </w:r>
    </w:p>
    <w:p w:rsidR="00296DE6" w:rsidRPr="00B31BEB" w:rsidRDefault="00296DE6" w:rsidP="00620A89">
      <w:pPr>
        <w:tabs>
          <w:tab w:val="center" w:pos="4800"/>
          <w:tab w:val="right" w:pos="9500"/>
        </w:tabs>
        <w:ind w:firstLine="720"/>
        <w:rPr>
          <w:noProof/>
        </w:rPr>
      </w:pPr>
      <w:r w:rsidRPr="00B31BEB">
        <w:rPr>
          <w:noProof/>
        </w:rPr>
        <w:t>We build-up towards the hypothesis starting with a model that assesses the information impact through changes in preference parameters. We then introduce attribute non-attendance using methods that assume</w:t>
      </w:r>
      <w:r w:rsidR="004E6B0D" w:rsidRPr="00B31BEB">
        <w:rPr>
          <w:noProof/>
        </w:rPr>
        <w:t xml:space="preserve"> </w:t>
      </w:r>
      <w:r w:rsidRPr="00B31BEB">
        <w:rPr>
          <w:i/>
          <w:iCs/>
          <w:noProof/>
        </w:rPr>
        <w:t>static</w:t>
      </w:r>
      <w:r w:rsidRPr="00B31BEB">
        <w:rPr>
          <w:noProof/>
        </w:rPr>
        <w:t xml:space="preserve"> AN</w:t>
      </w:r>
      <w:r w:rsidR="000B2979" w:rsidRPr="00B31BEB">
        <w:rPr>
          <w:noProof/>
        </w:rPr>
        <w:t xml:space="preserve">A behavior. </w:t>
      </w:r>
      <w:r w:rsidRPr="00B31BEB">
        <w:rPr>
          <w:noProof/>
        </w:rPr>
        <w:t xml:space="preserve">We discuss how including ANA improves the model fit and affects estimates and conclusions in website choices. </w:t>
      </w:r>
      <w:r w:rsidR="002412C8" w:rsidRPr="00B31BEB">
        <w:rPr>
          <w:noProof/>
        </w:rPr>
        <w:t>Next</w:t>
      </w:r>
      <w:r w:rsidRPr="00B31BEB">
        <w:rPr>
          <w:noProof/>
        </w:rPr>
        <w:t>, we alternatively model the information effects through changes in ANA behavior. Statistical fit statistics are used to compare the modeling approaches.</w:t>
      </w:r>
    </w:p>
    <w:p w:rsidR="00FC396F" w:rsidRPr="00B31BEB" w:rsidRDefault="00296DE6" w:rsidP="00620A89">
      <w:pPr>
        <w:tabs>
          <w:tab w:val="center" w:pos="4800"/>
          <w:tab w:val="right" w:pos="9500"/>
        </w:tabs>
        <w:ind w:firstLine="720"/>
        <w:rPr>
          <w:noProof/>
        </w:rPr>
      </w:pPr>
      <w:r w:rsidRPr="00B31BEB">
        <w:rPr>
          <w:noProof/>
        </w:rPr>
        <w:t>Further, we investigate the effect of customers’ idiosyncrasies on their ANA changing behavior. Studies have shown that consumers’ interactions with the internet and e-commerce can be linked to their characteristics (e.g.,</w:t>
      </w:r>
      <w:r w:rsidR="00EE1CC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Systems","id":"ITEM-1","issue":"2","issued":{"date-parts":[["2008"]]},"page":"544-564","title":"A trust-based consumer decision-making model in electronic commerce: The role of trust, perceived risk, and their antecedents","type":"article-journal","volume":"44"},"uris":["http://www.mendeley.com/documents/?uuid=c45299bb-942c-4541-b4de-ed3fbe356d97"]},{"id":"ITEM-2","itemData":{"DOI":"10.1080/07421222.2014.995538","ISSN":"1557928X","abstract":"Previous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Systems","id":"ITEM-2","issue":"3","issued":{"date-parts":[["2014"]]},"page":"138-171","title":"Digital Natives or Digital Immigrants? The Impact of User Characteristics on Online Trust","type":"article-journal","volume":"31"},"uris":["http://www.mendeley.com/documents/?uuid=0a9db95f-897f-4e67-ab94-9dd892278960"]},{"id":"ITEM-3","itemData":{"DOI":"10.1016/j.telpol.2018.03.006","ISSN":"03085961","abstract":"This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Policy","id":"ITEM-3","issue":"6","issued":{"date-parts":[["2018"]]},"page":"464-473","publisher":"Elsevier","title":"Drivers and barriers to cross-border e-commerce: Evidence from Spanish individual behavior","type":"article-journal","volume":"42"},"uris":["http://www.mendeley.com/documents/?uuid=47e2efee-e9f4-4167-8e5d-6ffbcffa5ce8"]},{"id":"ITEM-4","itemData":{"DOI":"10.1016/j.compag.2018.05.032","ISSN":"01681699","abstract":"The internet is playing an increasing role in the development of rural areas. Farmers in particular, can benefit from new opportunities concerning farm management decisions. Hence, the goal of this study was to investigate German farmers’ willingness to accept (WTA) e-commerce. Primary data of 165 farmers was collected by conducting a discrete choice experiment about the purchase of crop protection products. WTA estimates show that farmers are willing to switch to an online merchant if they are offered a significantly lower price. However, word-of-mouth-reputation and consultation offered via traditional media do not influence farmers’ WTA for an online merchant. In contrast, delivery time significantly affects farmers’ WTA for inputs purchased online. We also show that farmers’ risk attitudes, prior online shopping experiences, and education are influential factors for the WTA for an online merchant. Surprisingly, age and farm size do not impact farmers’ WTA. Since e-commerce has not been widely established in agriculture yet, these results are of great practical importance. The findings of this study demonstrate that online merchants of agricultural inputs should focus on trust, service quality and timely delivery. Furthermore, it might be useful to introduce farmers to e-commerce during their education.","author":[{"dropping-particle":"","family":"Fecke","given":"Wilm","non-dropping-particle":"","parse-names":false,"suffix":""},{"dropping-particle":"","family":"Danne","given":"Michael","non-dropping-particle":"","parse-names":false,"suffix":""},{"dropping-particle":"","family":"Musshoff","given":"Oliver","non-dropping-particle":"","parse-names":false,"suffix":""}],"container-title":"Computers and Electronics in Agriculture","id":"ITEM-4","issue":"C","issued":{"date-parts":[["2018"]]},"page":"126-135","publisher":"Elsevier B.V","title":"E-commerce in agriculture – The case of crop protection product purchases in a discrete choice experiment","type":"article-journal","volume":"151"},"uris":["http://www.mendeley.com/documents/?uuid=fc9eec15-8c0f-4bac-95a1-d9760c35c0ae"]},{"id":"ITEM-5","itemData":{"DOI":"10.1108/IntR-03-2017-0135","ISSN":"10662243","abstract":"Purpose: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Research","id":"ITEM-5","issue":"4","issued":{"date-parts":[["2019"]]},"page":"799-817","title":"Tell me your age and I tell you what you trust: the moderating effect of generations","type":"article-journal","volume":"29"},"uris":["http://www.mendeley.com/documents/?uuid=b82cdbb5-4533-48e7-8b9e-b4a057f087aa"]},{"id":"ITEM-6","itemData":{"DOI":"10.1080/10864415.2003.11044270","ISSN":"10864415","abstract":"The number of Internet users has increased dramatically,but many are reluctant to provide sensitive personal information to Web sites because they do not trust e-commerce security.This paper investigates the impact of customer perceptions of security control on e-commerce acceptance. Trust is examined as the mediating factor of the relationship, using Internet banking as the research domain because bank customers are generally concerned about processing sensitive information like financial information. A Web survey of Internet banking users collected 502 cases. Statistical analyses, using structural equation modeling, indicated that perceptions of nonrepudiation, privacy protection, and data integrity have a significant impact on trust in e-commerce. Trust also has a significant impact on e-commerce acceptance. Implications and further research directions are presented. Copyright © 2003 M.E. Sharpe, Inc. All rights reserved.","author":[{"dropping-particle":"","family":"Suh","given":"Bomil","non-dropping-particle":"","parse-names":false,"suffix":""},{"dropping-particle":"","family":"Han","given":"Ingoo","non-dropping-particle":"","parse-names":false,"suffix":""}],"container-title":"International Journal of Electronic Commerce","id":"ITEM-6","issue":"3","issued":{"date-parts":[["2003"]]},"page":"135-161","title":"The impact of customer trust and perception of security control on the acceptance of electronic commerce","type":"article-journal","volume":"7"},"uris":["http://www.mendeley.com/documents/?uuid=a04e13cc-f668-4415-a827-8fa183072910"]},{"id":"ITEM-7","itemData":{"DOI":"10.1080/07421222.2016.1267531","ISSN":"1557928X","abstract":"Trust underlies much of the online shopping behavior. We compare trust in online shopping in four countries: (1) the United States, a mature online market; (2) Germany; (3) China, the fastest growing online market, where consumers are plagued by counterfeits, forgeries, and spoiled or defective items; and (4) Singapore. We performed laboratory experiments in all four countries. We used three experimental treatments: (1) no assurances; (2) promises of product quality and authenticity; and (3) promises backed up by third-party assurances. We examined subjects’ perceived risk associated with different treatments across different vendor types. The impact of treatments and of vendor reputation on consumers’ trust varied across countries in ways that we did not expect. In mature online markets like the United States, online shopping appears to be treated as just another form of shopping. In China, if an online vendor can establish a reputation for quality, consumers appear to treat those merchants much as Americans do their own favorite online vendors, despite problems with Chinese shopping more generally.","author":[{"dropping-particle":"","family":"Clemons","given":"Eric K.","non-dropping-particle":"","parse-names":false,"suffix":""},{"dropping-particle":"","family":"Wilson","given":"Josh","non-dropping-particle":"","parse-names":false,"suffix":""},{"dropping-particle":"","family":"Matt","given":"Christian","non-dropping-particle":"","parse-names":false,"suffix":""},{"dropping-particle":"","family":"Hess","given":"Thomas","non-dropping-particle":"","parse-names":false,"suffix":""},{"dropping-particle":"","family":"Ren","given":"Fei","non-dropping-particle":"","parse-names":false,"suffix":""},{"dropping-particle":"","family":"Jin","given":"Fujie","non-dropping-particle":"","parse-names":false,"suffix":""},{"dropping-particle":"","family":"Koh","given":"Noi Sian","non-dropping-particle":"","parse-names":false,"suffix":""}],"container-title":"Journal of Management Information Systems","id":"ITEM-7","issue":"4","issued":{"date-parts":[["2016"]]},"page":"1117-1148","title":"Global Differences in Online Shopping Behavior: Understanding Factors Leading to Trust","type":"article-journal","volume":"33"},"uris":["http://www.mendeley.com/documents/?uuid=83f23a00-9bba-476b-8d6b-9d0a29f8a088"]},{"id":"ITEM-8","itemData":{"DOI":"10.1016/j.chb.2014.04.028","ISSN":"07475632","abstract":"The use of the Internet by older adults is growing at a substantial rate. They are becoming an increasingly important potential market for electronic commerce. However, previous researchers and practitioners have focused mainly on the youth market and paid less attention to issues related to the online behaviors of older consumers. To bridge the gap, the purpose of this study is to increase a better understanding of the drivers and barriers affecting older consumers' intention to shop online. To this end, this study is developed by integrating the Unified Theory of Acceptance and Use of Technology (UTAUT) and innovation resistance theory. By comparing younger consumers with their older counterparts, in terms of gender the findings indicate that the major factors driving older adults toward online shopping are performance expectation and social influence which is the same with younger. On the other hand, the major barriers include value, risk, and tradition which is different from younger. Consequently, it is notable that older adults show no gender differences in regards to the drivers and barriers. © 2014 Elsevier Ltd. All rights reserved.","author":[{"dropping-particle":"","family":"Lian","given":"Jiunn Woei","non-dropping-particle":"","parse-names":false,"suffix":""},{"dropping-particle":"","family":"Yen","given":"David C.","non-dropping-particle":"","parse-names":false,"suffix":""}],"container-title":"Computers in Human Behavior","id":"ITEM-8","issued":{"date-parts":[["2014"]]},"page":"133-143","title":"Online shopping drivers and barriers for older adults: Age and gender differences","type":"article-journal","volume":"37"},"uris":["http://www.mendeley.com/documents/?uuid=251709b3-44f2-4e30-b482-908ac2ccfb59"]}],"mendeley":{"formattedCitation":"[11; 22; 28; 30; 36; 44; 74; 79]","plainTextFormattedCitation":"[11; 22; 28; 30; 36; 44; 74; 79]","previouslyFormattedCitation":"[11; 22; 28; 30; 36; 44; 74; 79]"},"properties":{"noteIndex":0},"schema":"https://github.com/citation-style-language/schema/raw/master/csl-citation.json"}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[11; 22; 28; 30; 36; 44; 74; 79]</w:t>
      </w:r>
      <w:r w:rsidR="000A3492" w:rsidRPr="00B31BEB">
        <w:rPr>
          <w:rStyle w:val="FootnoteReference"/>
          <w:noProof/>
        </w:rPr>
        <w:fldChar w:fldCharType="end"/>
      </w:r>
      <w:r w:rsidRPr="00B31BEB">
        <w:rPr>
          <w:noProof/>
        </w:rPr>
        <w:t xml:space="preserve">).  </w:t>
      </w:r>
      <w:r w:rsidR="001E64DA" w:rsidRPr="00B31BEB">
        <w:rPr>
          <w:noProof/>
        </w:rPr>
        <w:t xml:space="preserve">For instance, Hoffmann </w:t>
      </w:r>
      <w:r w:rsidR="001E64DA" w:rsidRPr="00B31BEB">
        <w:rPr>
          <w:i/>
          <w:noProof/>
        </w:rPr>
        <w:t>et al.</w:t>
      </w:r>
      <w:r w:rsidR="00EE4A10"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Systems","id":"ITEM-1","issue":"3","issued":{"date-parts":[["2014"]]},"page":"138-171","title":"Digital Natives or Digital Immigrants? The Impact of User Characteristics on Online Trust","type":"article-journal","volume":"31"},"uris":["http://www.mendeley.com/documents/?uuid=0a9db95f-897f-4e67-ab94-9dd892278960"]}],"mendeley":{"formattedCitation":"[30]","plainTextFormattedCitation":"[30]","previouslyFormattedCitation":"[30]"},"properties":{"noteIndex":0},"schema":"https://github.com/citation-style-language/schema/raw/master/csl-citation.json"}</w:instrText>
      </w:r>
      <w:r w:rsidR="000A3492" w:rsidRPr="00B31BEB">
        <w:rPr>
          <w:rStyle w:val="FootnoteReference"/>
          <w:noProof/>
        </w:rPr>
        <w:fldChar w:fldCharType="separate"/>
      </w:r>
      <w:r w:rsidR="00F8005E" w:rsidRPr="00B31BEB">
        <w:rPr>
          <w:noProof/>
        </w:rPr>
        <w:t>[30]</w:t>
      </w:r>
      <w:r w:rsidR="000A3492" w:rsidRPr="00B31BEB">
        <w:rPr>
          <w:rStyle w:val="FootnoteReference"/>
          <w:noProof/>
        </w:rPr>
        <w:fldChar w:fldCharType="end"/>
      </w:r>
      <w:r w:rsidR="00EE4A10" w:rsidRPr="00B31BEB">
        <w:rPr>
          <w:noProof/>
        </w:rPr>
        <w:t xml:space="preserve"> </w:t>
      </w:r>
      <w:r w:rsidR="001E64DA" w:rsidRPr="00B31BEB">
        <w:rPr>
          <w:noProof/>
        </w:rPr>
        <w:t xml:space="preserve">and Herrando </w:t>
      </w:r>
      <w:r w:rsidR="001E64DA" w:rsidRPr="00B31BEB">
        <w:rPr>
          <w:i/>
          <w:noProof/>
        </w:rPr>
        <w:t xml:space="preserve">et al. </w:t>
      </w:r>
      <w:r w:rsidR="00DC12DF" w:rsidRPr="00B31BEB">
        <w:rPr>
          <w:i/>
          <w:noProof/>
        </w:rPr>
        <w:fldChar w:fldCharType="begin" w:fldLock="1"/>
      </w:r>
      <w:r w:rsidR="00E23587" w:rsidRPr="00B31BEB">
        <w:rPr>
          <w:i/>
          <w:noProof/>
        </w:rPr>
        <w:instrText>ADDIN CSL_CITATION {"citationItems":[{"id":"ITEM-1","itemData":{"DOI":"10.1108/IntR-03-2017-0135","ISSN":"10662243","abstract":"Purpose: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Research","id":"ITEM-1","issue":"4","issued":{"date-parts":[["2019"]]},"page":"799-817","title":"Tell me your age and I tell you what you trust: the moderating effect of generations","type":"article-journal","volume":"29"},"uris":["http://www.mendeley.com/documents/?uuid=b82cdbb5-4533-48e7-8b9e-b4a057f087aa"]}],"mendeley":{"formattedCitation":"[28]","plainTextFormattedCitation":"[28]","previouslyFormattedCitation":"[28]"},"properties":{"noteIndex":0},"schema":"https://github.com/citation-style-language/schema/raw/master/csl-citation.json"}</w:instrText>
      </w:r>
      <w:r w:rsidR="00DC12DF" w:rsidRPr="00B31BEB">
        <w:rPr>
          <w:i/>
          <w:noProof/>
        </w:rPr>
        <w:fldChar w:fldCharType="separate"/>
      </w:r>
      <w:r w:rsidR="00F8005E" w:rsidRPr="00B31BEB">
        <w:rPr>
          <w:noProof/>
        </w:rPr>
        <w:t>[28]</w:t>
      </w:r>
      <w:r w:rsidR="00DC12DF" w:rsidRPr="00B31BEB">
        <w:rPr>
          <w:i/>
          <w:noProof/>
        </w:rPr>
        <w:fldChar w:fldCharType="end"/>
      </w:r>
      <w:r w:rsidR="00E77F9D" w:rsidRPr="00B31BEB">
        <w:rPr>
          <w:i/>
          <w:noProof/>
        </w:rPr>
        <w:t xml:space="preserve"> </w:t>
      </w:r>
      <w:r w:rsidRPr="00B31BEB">
        <w:rPr>
          <w:noProof/>
        </w:rPr>
        <w:t xml:space="preserve">found that users’ </w:t>
      </w:r>
      <w:r w:rsidRPr="00B31BEB">
        <w:rPr>
          <w:noProof/>
        </w:rPr>
        <w:lastRenderedPageBreak/>
        <w:t>internet engagement relies on trust and that trust differ</w:t>
      </w:r>
      <w:r w:rsidR="00C156D9" w:rsidRPr="00B31BEB">
        <w:rPr>
          <w:noProof/>
        </w:rPr>
        <w:t>ed</w:t>
      </w:r>
      <w:r w:rsidRPr="00B31BEB">
        <w:rPr>
          <w:noProof/>
        </w:rPr>
        <w:t xml:space="preserve"> based on age cohorts.</w:t>
      </w:r>
      <w:r w:rsidR="008B6C5B" w:rsidRPr="00B31BEB">
        <w:rPr>
          <w:noProof/>
        </w:rPr>
        <w:t xml:space="preserve"> </w:t>
      </w:r>
      <w:r w:rsidR="00FD7181" w:rsidRPr="00B31BEB">
        <w:rPr>
          <w:noProof/>
        </w:rPr>
        <w:t xml:space="preserve">Younger online users </w:t>
      </w:r>
      <w:r w:rsidR="00E74A0A" w:rsidRPr="00B31BEB">
        <w:rPr>
          <w:noProof/>
        </w:rPr>
        <w:t xml:space="preserve">are </w:t>
      </w:r>
      <w:r w:rsidR="00FA3E4B" w:rsidRPr="00B31BEB">
        <w:rPr>
          <w:noProof/>
        </w:rPr>
        <w:t>usually</w:t>
      </w:r>
      <w:r w:rsidR="00E74A0A" w:rsidRPr="00B31BEB">
        <w:rPr>
          <w:noProof/>
        </w:rPr>
        <w:t xml:space="preserve"> more experienced </w:t>
      </w:r>
      <w:r w:rsidR="00FA3E4B" w:rsidRPr="00B31BEB">
        <w:rPr>
          <w:noProof/>
        </w:rPr>
        <w:t xml:space="preserve">in </w:t>
      </w:r>
      <w:r w:rsidR="00E74A0A" w:rsidRPr="00B31BEB">
        <w:rPr>
          <w:noProof/>
        </w:rPr>
        <w:t xml:space="preserve">using </w:t>
      </w:r>
      <w:r w:rsidR="007E27E2" w:rsidRPr="00B31BEB">
        <w:rPr>
          <w:noProof/>
        </w:rPr>
        <w:t xml:space="preserve">computers and </w:t>
      </w:r>
      <w:r w:rsidR="00E74A0A" w:rsidRPr="00B31BEB">
        <w:rPr>
          <w:noProof/>
        </w:rPr>
        <w:t>the internet</w:t>
      </w:r>
      <w:r w:rsidR="00FC375F" w:rsidRPr="00B31BEB">
        <w:rPr>
          <w:noProof/>
        </w:rPr>
        <w:t xml:space="preserve"> </w:t>
      </w:r>
      <w:r w:rsidR="00FC375F" w:rsidRPr="00B31BEB">
        <w:rPr>
          <w:noProof/>
        </w:rPr>
        <w:fldChar w:fldCharType="begin" w:fldLock="1"/>
      </w:r>
      <w:r w:rsidR="00E23587" w:rsidRPr="00B31BEB">
        <w:rPr>
          <w:noProof/>
        </w:rPr>
        <w:instrText>ADDIN CSL_CITATION {"citationItems":[{"id":"ITEM-1","itemData":{"DOI":"10.1108/IntR-03-2017-0135","ISSN":"10662243","abstract":"Purpose: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Research","id":"ITEM-1","issue":"4","issued":{"date-parts":[["2019"]]},"page":"799-817","title":"Tell me your age and I tell you what you trust: the moderating effect of generations","type":"article-journal","volume":"29"},"uris":["http://www.mendeley.com/documents/?uuid=b82cdbb5-4533-48e7-8b9e-b4a057f087aa"]},{"id":"ITEM-2","itemData":{"DOI":"10.1080/07421222.2014.995538","ISSN":"1557928X","abstract":"Previous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Systems","id":"ITEM-2","issue":"3","issued":{"date-parts":[["2014"]]},"page":"138-171","title":"Digital Natives or Digital Immigrants? The Impact of User Characteristics on Online Trust","type":"article-journal","volume":"31"},"uris":["http://www.mendeley.com/documents/?uuid=0a9db95f-897f-4e67-ab94-9dd892278960"]},{"id":"ITEM-3","itemData":{"DOI":"10.1016/j.dss.2007.07.001","ISSN":"01679236","abstract":"Are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Systems","id":"ITEM-3","issue":"2","issued":{"date-parts":[["2008"]]},"page":"544-564","title":"A trust-based consumer decision-making model in electronic commerce: The role of trust, perceived risk, and their antecedents","type":"article-journal","volume":"44"},"uris":["http://www.mendeley.com/documents/?uuid=c45299bb-942c-4541-b4de-ed3fbe356d97"]}],"mendeley":{"formattedCitation":"[28; 30; 36]","plainTextFormattedCitation":"[28; 30; 36]","previouslyFormattedCitation":"[28; 30; 36]"},"properties":{"noteIndex":0},"schema":"https://github.com/citation-style-language/schema/raw/master/csl-citation.json"}</w:instrText>
      </w:r>
      <w:r w:rsidR="00FC375F" w:rsidRPr="00B31BEB">
        <w:rPr>
          <w:noProof/>
        </w:rPr>
        <w:fldChar w:fldCharType="separate"/>
      </w:r>
      <w:r w:rsidR="00F8005E" w:rsidRPr="00B31BEB">
        <w:rPr>
          <w:noProof/>
        </w:rPr>
        <w:t>[28; 30; 36]</w:t>
      </w:r>
      <w:r w:rsidR="00FC375F" w:rsidRPr="00B31BEB">
        <w:rPr>
          <w:noProof/>
        </w:rPr>
        <w:fldChar w:fldCharType="end"/>
      </w:r>
      <w:r w:rsidR="00FC375F" w:rsidRPr="00B31BEB">
        <w:rPr>
          <w:noProof/>
        </w:rPr>
        <w:t>.</w:t>
      </w:r>
      <w:r w:rsidR="00CA3155" w:rsidRPr="00B31BEB">
        <w:rPr>
          <w:noProof/>
        </w:rPr>
        <w:t xml:space="preserve"> As </w:t>
      </w:r>
      <w:r w:rsidR="009A38C2" w:rsidRPr="00B31BEB">
        <w:rPr>
          <w:noProof/>
        </w:rPr>
        <w:t>a result, they</w:t>
      </w:r>
      <w:r w:rsidR="00CA3155" w:rsidRPr="00B31BEB">
        <w:rPr>
          <w:noProof/>
        </w:rPr>
        <w:t xml:space="preserve"> are more likely to </w:t>
      </w:r>
      <w:r w:rsidR="00CB184A" w:rsidRPr="00B31BEB">
        <w:rPr>
          <w:noProof/>
        </w:rPr>
        <w:t>be aware of</w:t>
      </w:r>
      <w:r w:rsidR="00CA3155" w:rsidRPr="00B31BEB">
        <w:rPr>
          <w:noProof/>
        </w:rPr>
        <w:t xml:space="preserve"> cues on websites’</w:t>
      </w:r>
      <w:r w:rsidR="007A7ED9" w:rsidRPr="00B31BEB">
        <w:rPr>
          <w:noProof/>
        </w:rPr>
        <w:t xml:space="preserve"> privacy </w:t>
      </w:r>
      <w:r w:rsidR="00FB4D71" w:rsidRPr="00B31BEB">
        <w:rPr>
          <w:noProof/>
        </w:rPr>
        <w:t xml:space="preserve">policy </w:t>
      </w:r>
      <w:r w:rsidR="00B128F0" w:rsidRPr="00B31BEB">
        <w:rPr>
          <w:noProof/>
        </w:rPr>
        <w:t>positions</w:t>
      </w:r>
      <w:r w:rsidR="002C2577" w:rsidRPr="00B31BEB">
        <w:rPr>
          <w:noProof/>
        </w:rPr>
        <w:t xml:space="preserve"> before </w:t>
      </w:r>
      <w:r w:rsidR="00750ECC" w:rsidRPr="00B31BEB">
        <w:rPr>
          <w:noProof/>
        </w:rPr>
        <w:t>choosing</w:t>
      </w:r>
      <w:r w:rsidR="002C2577" w:rsidRPr="00B31BEB">
        <w:rPr>
          <w:noProof/>
        </w:rPr>
        <w:t xml:space="preserve"> website</w:t>
      </w:r>
      <w:r w:rsidR="00750ECC" w:rsidRPr="00B31BEB">
        <w:rPr>
          <w:noProof/>
        </w:rPr>
        <w:t>s</w:t>
      </w:r>
      <w:r w:rsidR="002C2577" w:rsidRPr="00B31BEB">
        <w:rPr>
          <w:noProof/>
        </w:rPr>
        <w:t xml:space="preserve"> for orders</w:t>
      </w:r>
      <w:r w:rsidR="00CA3155" w:rsidRPr="00B31BEB">
        <w:rPr>
          <w:noProof/>
        </w:rPr>
        <w:t>.</w:t>
      </w:r>
      <w:r w:rsidR="00FD7181" w:rsidRPr="00B31BEB">
        <w:rPr>
          <w:noProof/>
        </w:rPr>
        <w:t xml:space="preserve"> O</w:t>
      </w:r>
      <w:r w:rsidR="008B6C5B" w:rsidRPr="00B31BEB">
        <w:rPr>
          <w:noProof/>
        </w:rPr>
        <w:t>lder</w:t>
      </w:r>
      <w:r w:rsidR="00FB7CFF" w:rsidRPr="00B31BEB">
        <w:rPr>
          <w:noProof/>
        </w:rPr>
        <w:t xml:space="preserve"> informed</w:t>
      </w:r>
      <w:r w:rsidR="008B6C5B" w:rsidRPr="00B31BEB">
        <w:rPr>
          <w:noProof/>
        </w:rPr>
        <w:t xml:space="preserve"> consumers are</w:t>
      </w:r>
      <w:r w:rsidR="00090B48" w:rsidRPr="00B31BEB">
        <w:rPr>
          <w:noProof/>
        </w:rPr>
        <w:t>, however,</w:t>
      </w:r>
      <w:r w:rsidR="008B6C5B" w:rsidRPr="00B31BEB">
        <w:rPr>
          <w:noProof/>
        </w:rPr>
        <w:t xml:space="preserve"> more likely to be concerned about their online privacy </w:t>
      </w:r>
      <w:r w:rsidR="008B6C5B" w:rsidRPr="00B31BEB">
        <w:rPr>
          <w:noProof/>
        </w:rPr>
        <w:fldChar w:fldCharType="begin" w:fldLock="1"/>
      </w:r>
      <w:r w:rsidR="00E23587" w:rsidRPr="00B31BEB">
        <w:rPr>
          <w:noProof/>
        </w:rPr>
        <w:instrText>ADDIN CSL_CITATION {"citationItems":[{"id":"ITEM-1","itemData":{"DOI":"10.1080/07421222.2014.995538","ISSN":"1557928X","abstract":"Previous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Systems","id":"ITEM-1","issue":"3","issued":{"date-parts":[["2014"]]},"page":"138-171","title":"Digital Natives or Digital Immigrants? The Impact of User Characteristics on Online Trust","type":"article-journal","volume":"31"},"uris":["http://www.mendeley.com/documents/?uuid=0a9db95f-897f-4e67-ab94-9dd892278960"]},{"id":"ITEM-2","itemData":{"DOI":"10.1108/IntR-03-2017-0135","ISSN":"10662243","abstract":"Purpose: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Research","id":"ITEM-2","issue":"4","issued":{"date-parts":[["2019"]]},"page":"799-817","title":"Tell me your age and I tell you what you trust: the moderating effect of generations","type":"article-journal","volume":"29"},"uris":["http://www.mendeley.com/documents/?uuid=b82cdbb5-4533-48e7-8b9e-b4a057f087aa"]}],"mendeley":{"formattedCitation":"[28; 30]","plainTextFormattedCitation":"[28; 30]","previouslyFormattedCitation":"[28; 30]"},"properties":{"noteIndex":0},"schema":"https://github.com/citation-style-language/schema/raw/master/csl-citation.json"}</w:instrText>
      </w:r>
      <w:r w:rsidR="008B6C5B" w:rsidRPr="00B31BEB">
        <w:rPr>
          <w:noProof/>
        </w:rPr>
        <w:fldChar w:fldCharType="separate"/>
      </w:r>
      <w:r w:rsidR="00F8005E" w:rsidRPr="00B31BEB">
        <w:rPr>
          <w:noProof/>
        </w:rPr>
        <w:t>[28; 30]</w:t>
      </w:r>
      <w:r w:rsidR="008B6C5B" w:rsidRPr="00B31BEB">
        <w:rPr>
          <w:noProof/>
        </w:rPr>
        <w:fldChar w:fldCharType="end"/>
      </w:r>
      <w:r w:rsidR="008B6C5B" w:rsidRPr="00B31BEB">
        <w:rPr>
          <w:noProof/>
        </w:rPr>
        <w:t>. Therefore, we expect that older c</w:t>
      </w:r>
      <w:r w:rsidR="009E301B" w:rsidRPr="00B31BEB">
        <w:rPr>
          <w:noProof/>
        </w:rPr>
        <w:t>onsumers will be more attentive</w:t>
      </w:r>
      <w:r w:rsidR="008B6C5B" w:rsidRPr="00B31BEB">
        <w:rPr>
          <w:noProof/>
        </w:rPr>
        <w:t xml:space="preserve"> to the presence of a trust label when making webshop choices</w:t>
      </w:r>
      <w:r w:rsidR="005143E5" w:rsidRPr="00B31BEB">
        <w:rPr>
          <w:noProof/>
        </w:rPr>
        <w:t xml:space="preserve"> post-information</w:t>
      </w:r>
      <w:r w:rsidR="008B6C5B" w:rsidRPr="00B31BEB">
        <w:rPr>
          <w:noProof/>
        </w:rPr>
        <w:t>.</w:t>
      </w:r>
      <w:r w:rsidR="003F54CD" w:rsidRPr="00B31BEB">
        <w:rPr>
          <w:noProof/>
        </w:rPr>
        <w:t xml:space="preserve"> We propose the following hypotheses:</w:t>
      </w:r>
    </w:p>
    <w:p w:rsidR="00FC396F" w:rsidRPr="00B31BEB" w:rsidRDefault="00FC396F" w:rsidP="00FC396F">
      <w:pPr>
        <w:tabs>
          <w:tab w:val="center" w:pos="4800"/>
          <w:tab w:val="right" w:pos="9500"/>
        </w:tabs>
        <w:ind w:firstLine="720"/>
        <w:rPr>
          <w:noProof/>
        </w:rPr>
      </w:pPr>
      <w:r w:rsidRPr="00B31BEB">
        <w:rPr>
          <w:noProof/>
        </w:rPr>
        <w:t xml:space="preserve">H2A: </w:t>
      </w:r>
      <w:r w:rsidR="00D4322E" w:rsidRPr="00B31BEB">
        <w:rPr>
          <w:noProof/>
        </w:rPr>
        <w:t>Younger</w:t>
      </w:r>
      <w:r w:rsidRPr="00B31BEB">
        <w:rPr>
          <w:noProof/>
        </w:rPr>
        <w:t xml:space="preserve"> consumers are more likely to attend to the trust label attribute pre-information</w:t>
      </w:r>
      <w:r w:rsidR="00B846D8" w:rsidRPr="00B31BEB">
        <w:rPr>
          <w:noProof/>
        </w:rPr>
        <w:t>.</w:t>
      </w:r>
    </w:p>
    <w:p w:rsidR="00FC396F" w:rsidRPr="00B31BEB" w:rsidRDefault="00FC396F" w:rsidP="00620A89">
      <w:pPr>
        <w:tabs>
          <w:tab w:val="center" w:pos="4800"/>
          <w:tab w:val="right" w:pos="9500"/>
        </w:tabs>
        <w:ind w:firstLine="720"/>
        <w:rPr>
          <w:noProof/>
        </w:rPr>
      </w:pPr>
      <w:r w:rsidRPr="00B31BEB">
        <w:rPr>
          <w:noProof/>
        </w:rPr>
        <w:t xml:space="preserve">H2B: </w:t>
      </w:r>
      <w:r w:rsidR="00B758A6" w:rsidRPr="00B31BEB">
        <w:rPr>
          <w:noProof/>
        </w:rPr>
        <w:t>T</w:t>
      </w:r>
      <w:r w:rsidRPr="00B31BEB">
        <w:rPr>
          <w:noProof/>
        </w:rPr>
        <w:t>he rate of change in attendance probability to the trust label attribute post-information</w:t>
      </w:r>
      <w:r w:rsidR="00B758A6" w:rsidRPr="00B31BEB">
        <w:rPr>
          <w:noProof/>
        </w:rPr>
        <w:t xml:space="preserve"> increases with age</w:t>
      </w:r>
      <w:r w:rsidR="00B846D8" w:rsidRPr="00B31BEB">
        <w:rPr>
          <w:noProof/>
        </w:rPr>
        <w:t>.</w:t>
      </w:r>
    </w:p>
    <w:p w:rsidR="00A609D9" w:rsidRPr="00B31BEB" w:rsidRDefault="00296DE6" w:rsidP="00620A89">
      <w:pPr>
        <w:tabs>
          <w:tab w:val="center" w:pos="4800"/>
          <w:tab w:val="right" w:pos="9500"/>
        </w:tabs>
        <w:ind w:firstLine="720"/>
        <w:rPr>
          <w:noProof/>
        </w:rPr>
      </w:pPr>
      <w:r w:rsidRPr="00B31BEB">
        <w:rPr>
          <w:noProof/>
        </w:rPr>
        <w:t xml:space="preserve"> Customers’ involvement in e-commerce can also depend on their gender</w:t>
      </w:r>
      <w:r w:rsidR="00651B1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Policy","id":"ITEM-1","issue":"6","issued":{"date-parts":[["2018"]]},"page":"464-473","publisher":"Elsevier","title":"Drivers and barriers to cross-border e-commerce: Evidence from Spanish individual behavior","type":"article-journal","volume":"42"},"uris":["http://www.mendeley.com/documents/?uuid=47e2efee-e9f4-4167-8e5d-6ffbcffa5ce8"]},{"id":"ITEM-2","itemData":{"DOI":"10.1080/07421222.2014.995538","ISSN":"1557928X","abstract":"Previous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Systems","id":"ITEM-2","issue":"3","issued":{"date-parts":[["2014"]]},"page":"138-171","title":"Digital Natives or Digital Immigrants? The Impact of User Characteristics on Online Trust","type":"article-journal","volume":"31"},"uris":["http://www.mendeley.com/documents/?uuid=0a9db95f-897f-4e67-ab94-9dd892278960"]},{"id":"ITEM-3","itemData":{"DOI":"10.1016/j.chb.2014.04.028","ISSN":"07475632","abstract":"The use of the Internet by older adults is growing at a substantial rate. They are becoming an increasingly important potential market for electronic commerce. However, previous researchers and practitioners have focused mainly on the youth market and paid less attention to issues related to the online behaviors of older consumers. To bridge the gap, the purpose of this study is to increase a better understanding of the drivers and barriers affecting older consumers' intention to shop online. To this end, this study is developed by integrating the Unified Theory of Acceptance and Use of Technology (UTAUT) and innovation resistance theory. By comparing younger consumers with their older counterparts, in terms of gender the findings indicate that the major factors driving older adults toward online shopping are performance expectation and social influence which is the same with younger. On the other hand, the major barriers include value, risk, and tradition which is different from younger. Consequently, it is notable that older adults show no gender differences in regards to the drivers and barriers. © 2014 Elsevier Ltd. All rights reserved.","author":[{"dropping-particle":"","family":"Lian","given":"Jiunn Woei","non-dropping-particle":"","parse-names":false,"suffix":""},{"dropping-particle":"","family":"Yen","given":"David C.","non-dropping-particle":"","parse-names":false,"suffix":""}],"container-title":"Computers in Human Behavior","id":"ITEM-3","issued":{"date-parts":[["2014"]]},"page":"133-143","title":"Online shopping drivers and barriers for older adults: Age and gender differences","type":"article-journal","volume":"37"},"uris":["http://www.mendeley.com/documents/?uuid=251709b3-44f2-4e30-b482-908ac2ccfb59"]}],"mendeley":{"formattedCitation":"[30; 44; 79]","plainTextFormattedCitation":"[30; 44; 79]","previouslyFormattedCitation":"[30; 44; 79]"},"properties":{"noteIndex":0},"schema":"https://github.com/citation-style-language/schema/raw/master/csl-citation.json"}</w:instrText>
      </w:r>
      <w:r w:rsidR="000A3492" w:rsidRPr="00B31BEB">
        <w:rPr>
          <w:rStyle w:val="FootnoteReference"/>
          <w:noProof/>
        </w:rPr>
        <w:fldChar w:fldCharType="separate"/>
      </w:r>
      <w:r w:rsidR="00F8005E" w:rsidRPr="00B31BEB">
        <w:rPr>
          <w:noProof/>
        </w:rPr>
        <w:t>[30; 44; 79]</w:t>
      </w:r>
      <w:r w:rsidR="000A3492" w:rsidRPr="00B31BEB">
        <w:rPr>
          <w:rStyle w:val="FootnoteReference"/>
          <w:noProof/>
        </w:rPr>
        <w:fldChar w:fldCharType="end"/>
      </w:r>
      <w:r w:rsidRPr="00B31BEB">
        <w:rPr>
          <w:noProof/>
        </w:rPr>
        <w:t xml:space="preserve">. </w:t>
      </w:r>
      <w:r w:rsidR="00E32F95" w:rsidRPr="00B31BEB">
        <w:rPr>
          <w:noProof/>
        </w:rPr>
        <w:t xml:space="preserve">Despite the moderating effects of gender on e-commerce involvement levelling out </w:t>
      </w:r>
      <w:r w:rsidR="00E32F95" w:rsidRPr="00B31BEB">
        <w:rPr>
          <w:noProof/>
        </w:rPr>
        <w:fldChar w:fldCharType="begin" w:fldLock="1"/>
      </w:r>
      <w:r w:rsidR="00E23587" w:rsidRPr="00B31BEB">
        <w:rPr>
          <w:noProof/>
        </w:rPr>
        <w:instrText>ADDIN CSL_CITATION {"citationItems":[{"id":"ITEM-1","itemData":{"DOI":"10.1016/j.chb.2014.04.028","ISSN":"07475632","abstract":"The use of the Internet by older adults is growing at a substantial rate. They are becoming an increasingly important potential market for electronic commerce. However, previous researchers and practitioners have focused mainly on the youth market and paid less attention to issues related to the online behaviors of older consumers. To bridge the gap, the purpose of this study is to increase a better understanding of the drivers and barriers affecting older consumers' intention to shop online. To this end, this study is developed by integrating the Unified Theory of Acceptance and Use of Technology (UTAUT) and innovation resistance theory. By comparing younger consumers with their older counterparts, in terms of gender the findings indicate that the major factors driving older adults toward online shopping are performance expectation and social influence which is the same with younger. On the other hand, the major barriers include value, risk, and tradition which is different from younger. Consequently, it is notable that older adults show no gender differences in regards to the drivers and barriers. © 2014 Elsevier Ltd. All rights reserved.","author":[{"dropping-particle":"","family":"Lian","given":"Jiunn Woei","non-dropping-particle":"","parse-names":false,"suffix":""},{"dropping-particle":"","family":"Yen","given":"David C.","non-dropping-particle":"","parse-names":false,"suffix":""}],"container-title":"Computers in Human Behavior","id":"ITEM-1","issued":{"date-parts":[["2014"]]},"page":"133-143","title":"Online shopping drivers and barriers for older adults: Age and gender differences","type":"article-journal","volume":"37"},"uris":["http://www.mendeley.com/documents/?uuid=251709b3-44f2-4e30-b482-908ac2ccfb59"]}],"mendeley":{"formattedCitation":"[44]","plainTextFormattedCitation":"[44]","previouslyFormattedCitation":"[44]"},"properties":{"noteIndex":0},"schema":"https://github.com/citation-style-language/schema/raw/master/csl-citation.json"}</w:instrText>
      </w:r>
      <w:r w:rsidR="00E32F95" w:rsidRPr="00B31BEB">
        <w:rPr>
          <w:noProof/>
        </w:rPr>
        <w:fldChar w:fldCharType="separate"/>
      </w:r>
      <w:r w:rsidR="00F8005E" w:rsidRPr="00B31BEB">
        <w:rPr>
          <w:noProof/>
        </w:rPr>
        <w:t>[44]</w:t>
      </w:r>
      <w:r w:rsidR="00E32F95" w:rsidRPr="00B31BEB">
        <w:rPr>
          <w:noProof/>
        </w:rPr>
        <w:fldChar w:fldCharType="end"/>
      </w:r>
      <w:r w:rsidR="00E32F95" w:rsidRPr="00B31BEB">
        <w:rPr>
          <w:noProof/>
        </w:rPr>
        <w:t>, m</w:t>
      </w:r>
      <w:r w:rsidR="00047617" w:rsidRPr="00B31BEB">
        <w:rPr>
          <w:noProof/>
        </w:rPr>
        <w:t>ale internet users</w:t>
      </w:r>
      <w:r w:rsidR="0040639F" w:rsidRPr="00B31BEB">
        <w:rPr>
          <w:noProof/>
        </w:rPr>
        <w:t xml:space="preserve"> </w:t>
      </w:r>
      <w:r w:rsidR="00E32F95" w:rsidRPr="00B31BEB">
        <w:rPr>
          <w:noProof/>
        </w:rPr>
        <w:t>are still considered to be</w:t>
      </w:r>
      <w:r w:rsidR="0040639F" w:rsidRPr="00B31BEB">
        <w:rPr>
          <w:noProof/>
        </w:rPr>
        <w:t xml:space="preserve"> more cautious in their choice of online privacy tools and tend to exhibit higher computer self-efficacy </w:t>
      </w:r>
      <w:r w:rsidR="0040639F" w:rsidRPr="00B31BEB">
        <w:rPr>
          <w:noProof/>
        </w:rPr>
        <w:fldChar w:fldCharType="begin" w:fldLock="1"/>
      </w:r>
      <w:r w:rsidR="00E23587" w:rsidRPr="00B31BEB">
        <w:rPr>
          <w:noProof/>
        </w:rPr>
        <w:instrText>ADDIN CSL_CITATION {"citationItems":[{"id":"ITEM-1","itemData":{"DOI":"10.1080/07421222.2014.995538","ISSN":"1557928X","abstract":"Previous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Systems","id":"ITEM-1","issue":"3","issued":{"date-parts":[["2014"]]},"page":"138-171","title":"Digital Natives or Digital Immigrants? The Impact of User Characteristics on Online Trust","type":"article-journal","volume":"31"},"uris":["http://www.mendeley.com/documents/?uuid=0a9db95f-897f-4e67-ab94-9dd892278960"]}],"mendeley":{"formattedCitation":"[30]","plainTextFormattedCitation":"[30]","previouslyFormattedCitation":"[30]"},"properties":{"noteIndex":0},"schema":"https://github.com/citation-style-language/schema/raw/master/csl-citation.json"}</w:instrText>
      </w:r>
      <w:r w:rsidR="0040639F" w:rsidRPr="00B31BEB">
        <w:rPr>
          <w:noProof/>
        </w:rPr>
        <w:fldChar w:fldCharType="separate"/>
      </w:r>
      <w:r w:rsidR="00F8005E" w:rsidRPr="00B31BEB">
        <w:rPr>
          <w:noProof/>
        </w:rPr>
        <w:t>[30]</w:t>
      </w:r>
      <w:r w:rsidR="0040639F" w:rsidRPr="00B31BEB">
        <w:rPr>
          <w:noProof/>
        </w:rPr>
        <w:fldChar w:fldCharType="end"/>
      </w:r>
      <w:r w:rsidR="0040639F" w:rsidRPr="00B31BEB">
        <w:rPr>
          <w:noProof/>
        </w:rPr>
        <w:t>.</w:t>
      </w:r>
      <w:r w:rsidR="00B81C82" w:rsidRPr="00B31BEB">
        <w:rPr>
          <w:noProof/>
        </w:rPr>
        <w:t xml:space="preserve"> </w:t>
      </w:r>
      <w:r w:rsidR="0046521B" w:rsidRPr="00B31BEB">
        <w:rPr>
          <w:noProof/>
        </w:rPr>
        <w:t>Therefor</w:t>
      </w:r>
      <w:r w:rsidR="00B81C82" w:rsidRPr="00B31BEB">
        <w:rPr>
          <w:noProof/>
        </w:rPr>
        <w:t>e</w:t>
      </w:r>
      <w:r w:rsidR="0046521B" w:rsidRPr="00B31BEB">
        <w:rPr>
          <w:noProof/>
        </w:rPr>
        <w:t>, we</w:t>
      </w:r>
      <w:r w:rsidR="00B81C82" w:rsidRPr="00B31BEB">
        <w:rPr>
          <w:noProof/>
        </w:rPr>
        <w:t xml:space="preserve"> expect male e-consumers to be keener on the presence of a trustmark when choosing websites.</w:t>
      </w:r>
      <w:r w:rsidR="00651B16" w:rsidRPr="00B31BEB">
        <w:rPr>
          <w:noProof/>
        </w:rPr>
        <w:t xml:space="preserve"> </w:t>
      </w:r>
      <w:r w:rsidR="00A609D9" w:rsidRPr="00B31BEB">
        <w:rPr>
          <w:noProof/>
        </w:rPr>
        <w:t>We suggest the following</w:t>
      </w:r>
      <w:r w:rsidR="00CF4FB6" w:rsidRPr="00B31BEB">
        <w:rPr>
          <w:noProof/>
        </w:rPr>
        <w:t xml:space="preserve"> hypothes</w:t>
      </w:r>
      <w:r w:rsidR="00341B6E" w:rsidRPr="00B31BEB">
        <w:rPr>
          <w:noProof/>
        </w:rPr>
        <w:t>e</w:t>
      </w:r>
      <w:r w:rsidR="00CF4FB6" w:rsidRPr="00B31BEB">
        <w:rPr>
          <w:noProof/>
        </w:rPr>
        <w:t>s</w:t>
      </w:r>
      <w:r w:rsidR="00A609D9" w:rsidRPr="00B31BEB">
        <w:rPr>
          <w:noProof/>
        </w:rPr>
        <w:t>:</w:t>
      </w:r>
    </w:p>
    <w:p w:rsidR="003E016A" w:rsidRPr="00B31BEB" w:rsidRDefault="00E65732" w:rsidP="00620A89">
      <w:pPr>
        <w:tabs>
          <w:tab w:val="center" w:pos="4800"/>
          <w:tab w:val="right" w:pos="9500"/>
        </w:tabs>
        <w:ind w:firstLine="720"/>
        <w:rPr>
          <w:noProof/>
        </w:rPr>
      </w:pPr>
      <w:r w:rsidRPr="00B31BEB">
        <w:rPr>
          <w:noProof/>
        </w:rPr>
        <w:t>H</w:t>
      </w:r>
      <w:r w:rsidR="00832023" w:rsidRPr="00B31BEB">
        <w:rPr>
          <w:noProof/>
        </w:rPr>
        <w:t>3</w:t>
      </w:r>
      <w:r w:rsidRPr="00B31BEB">
        <w:rPr>
          <w:noProof/>
        </w:rPr>
        <w:t xml:space="preserve">A: </w:t>
      </w:r>
      <w:r w:rsidR="003E016A" w:rsidRPr="00B31BEB">
        <w:rPr>
          <w:noProof/>
        </w:rPr>
        <w:t>Male consume</w:t>
      </w:r>
      <w:r w:rsidR="00321F94" w:rsidRPr="00B31BEB">
        <w:rPr>
          <w:noProof/>
        </w:rPr>
        <w:t xml:space="preserve">rs are more likely to attend </w:t>
      </w:r>
      <w:r w:rsidR="003E016A" w:rsidRPr="00B31BEB">
        <w:rPr>
          <w:noProof/>
        </w:rPr>
        <w:t>to the trust label attribute pre-information.</w:t>
      </w:r>
    </w:p>
    <w:p w:rsidR="00201FD0" w:rsidRPr="00B31BEB" w:rsidRDefault="00832023" w:rsidP="00620A89">
      <w:pPr>
        <w:tabs>
          <w:tab w:val="center" w:pos="4800"/>
          <w:tab w:val="right" w:pos="9500"/>
        </w:tabs>
        <w:ind w:firstLine="720"/>
        <w:rPr>
          <w:noProof/>
        </w:rPr>
      </w:pPr>
      <w:r w:rsidRPr="00B31BEB">
        <w:rPr>
          <w:noProof/>
        </w:rPr>
        <w:t>H3</w:t>
      </w:r>
      <w:r w:rsidR="003E016A" w:rsidRPr="00B31BEB">
        <w:rPr>
          <w:noProof/>
        </w:rPr>
        <w:t xml:space="preserve">B: </w:t>
      </w:r>
      <w:r w:rsidR="0091009E" w:rsidRPr="00B31BEB">
        <w:rPr>
          <w:noProof/>
        </w:rPr>
        <w:t>T</w:t>
      </w:r>
      <w:r w:rsidR="003E016A" w:rsidRPr="00B31BEB">
        <w:rPr>
          <w:noProof/>
        </w:rPr>
        <w:t>he rate of change in attendance probability to the trust label attribute post-information</w:t>
      </w:r>
      <w:r w:rsidR="0091009E" w:rsidRPr="00B31BEB">
        <w:rPr>
          <w:noProof/>
        </w:rPr>
        <w:t xml:space="preserve"> is higher for males</w:t>
      </w:r>
      <w:r w:rsidR="00B846D8" w:rsidRPr="00B31BEB">
        <w:rPr>
          <w:noProof/>
        </w:rPr>
        <w:t>.</w:t>
      </w:r>
    </w:p>
    <w:p w:rsidR="005F5BBF" w:rsidRPr="00B31BEB" w:rsidRDefault="00C23B90" w:rsidP="00620A89">
      <w:pPr>
        <w:tabs>
          <w:tab w:val="center" w:pos="4800"/>
          <w:tab w:val="right" w:pos="9500"/>
        </w:tabs>
        <w:ind w:firstLine="720"/>
        <w:rPr>
          <w:noProof/>
        </w:rPr>
      </w:pPr>
      <w:r w:rsidRPr="00B31BEB">
        <w:rPr>
          <w:noProof/>
        </w:rPr>
        <w:t>Pro-</w:t>
      </w:r>
      <w:r w:rsidR="00BE2B7F" w:rsidRPr="00B31BEB">
        <w:rPr>
          <w:noProof/>
        </w:rPr>
        <w:t xml:space="preserve">environmental </w:t>
      </w:r>
      <w:r w:rsidRPr="00B31BEB">
        <w:rPr>
          <w:noProof/>
        </w:rPr>
        <w:t xml:space="preserve">consumers prefer buying items in a way that is consistent with their </w:t>
      </w:r>
      <w:r w:rsidR="00E12428" w:rsidRPr="00B31BEB">
        <w:rPr>
          <w:noProof/>
        </w:rPr>
        <w:t xml:space="preserve">eco-conservation </w:t>
      </w:r>
      <w:r w:rsidRPr="00B31BEB">
        <w:rPr>
          <w:noProof/>
        </w:rPr>
        <w:t>attitudes.</w:t>
      </w:r>
      <w:r w:rsidR="00BE617C" w:rsidRPr="00B31BEB">
        <w:rPr>
          <w:noProof/>
        </w:rPr>
        <w:t xml:space="preserve"> For these consumers, eco-conscious webshop operations like bulk transportation </w:t>
      </w:r>
      <w:r w:rsidR="004E440D" w:rsidRPr="00B31BEB">
        <w:rPr>
          <w:noProof/>
        </w:rPr>
        <w:t>or</w:t>
      </w:r>
      <w:r w:rsidR="00BE617C" w:rsidRPr="00B31BEB">
        <w:rPr>
          <w:noProof/>
        </w:rPr>
        <w:t xml:space="preserve"> far-off firms establishing local outlets</w:t>
      </w:r>
      <w:r w:rsidR="004E440D" w:rsidRPr="00B31BEB">
        <w:rPr>
          <w:noProof/>
        </w:rPr>
        <w:t xml:space="preserve"> to </w:t>
      </w:r>
      <w:r w:rsidR="00915F4A" w:rsidRPr="00B31BEB">
        <w:rPr>
          <w:noProof/>
        </w:rPr>
        <w:t>limit</w:t>
      </w:r>
      <w:r w:rsidR="004E440D" w:rsidRPr="00B31BEB">
        <w:rPr>
          <w:noProof/>
        </w:rPr>
        <w:t xml:space="preserve"> transporting few orders over long distances </w:t>
      </w:r>
      <w:r w:rsidR="0058248B" w:rsidRPr="00B31BEB">
        <w:rPr>
          <w:noProof/>
        </w:rPr>
        <w:t>would</w:t>
      </w:r>
      <w:r w:rsidR="004E440D" w:rsidRPr="00B31BEB">
        <w:rPr>
          <w:noProof/>
        </w:rPr>
        <w:t xml:space="preserve"> be more appealing.</w:t>
      </w:r>
      <w:r w:rsidR="00BE617C" w:rsidRPr="00B31BEB">
        <w:rPr>
          <w:noProof/>
        </w:rPr>
        <w:t xml:space="preserve"> </w:t>
      </w:r>
      <w:r w:rsidR="00296DE6" w:rsidRPr="00B31BEB">
        <w:rPr>
          <w:noProof/>
        </w:rPr>
        <w:t xml:space="preserve">This is because </w:t>
      </w:r>
      <w:r w:rsidR="00296DE6" w:rsidRPr="00B31BEB">
        <w:rPr>
          <w:noProof/>
        </w:rPr>
        <w:lastRenderedPageBreak/>
        <w:t>ordering items on webshops whose stores are far away involves elaborate transportation which is negative to the environment</w:t>
      </w:r>
      <w:r w:rsidR="00CA100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{"citationItems":[{"id":"ITEM-1","itemData":{"DOI":"10.1108/09600031011018055","ISSN":"09600035","abstract":"Purpose: The purpose of this paper is to focus on the carbon intensity of \"last mile\" deliveries (i.e. deliveries of goods from local depots to the home) and personal shopping trips. Design/methodology/approach: Several last mile scenarios are constructed for the purchase of small, non-food items, such as books, CDs, clothing, cameras and household items. Official government data, operational data from a large logistics service provider, face-to-face and telephone interviews with company managers and realistic assumptions derived from the literature form the basis of the calculations. Allowance has been made for home delivery failures, \"browsing\" trips to the shops and the return of unwanted goods. Findings: Overall, the research suggests that, while neither home delivery nor conventional shopping has an absolute CO2 advantage, on average, the home delivery operation is likely to generate less CO2 than the typical shopping trip. Nevertheless, CO2 emissions per item for intensive/infrequent shopping trips by bus could match online shopping/home delivery. Research limitations/implications: The number of items purchased per shopping trip, the choice of travel mode and the willingness to combine shopping with other activities and to group purchases into as few shopping trips or online transactions as possible are shown to be critical factors. Online retailers and home delivery companies could also apply measures (e.g. maximising drop densities and increasing the use of electric vehicles) to enhance the CO2 efficiency of their logistical operations and gain a clearer environmental advantage. Practical implications: Both consumers and suppliers need to be made more aware of the environmental implications of their respective purchasing behaviour and distribution methods so that potential CO2 savings can be made. Originality/value: The paper offers insights into the carbon footprints of conventional and online retailing from a \"last mile\" perspective. © Emerald Group Publishing Limited.","author":[{"dropping-particle":"","family":"Edwards","given":"Julia B.","non-dropping-particle":"","parse-names":false,"suffix":""},{"dropping-particle":"","family":"McKinnon","given":"Alan C.","non-dropping-particle":"","parse-names":false,"suffix":""},{"dropping-particle":"","family":"Cullinane","given":"Sharon L.","non-dropping-particle":"","parse-names":false,"suffix":""}],"container-title":"International Journal of Physical Distribution and Logistics Management","id":"ITEM-1","issue":"1-2","issued":{"date-parts":[["2010"]]},"page":"103-123","publisher":"Emerald Group Publishing Limited","title":"Comparative analysis of the carbon footprints of conventional and online retailing: A \"last mile\" perspective","type":"article-journal","volume":"40"},"uris":["http://www.mendeley.com/documents/?uuid=c511518a-2a92-4309-9338-3dc88ef30c3b"]},{"id":"ITEM-2","itemData":{"DOI":"10.1108/IJPDLM-06-2014-0133","ISSN":"09600035","abstract":"Purpose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Management","id":"ITEM-2","issue":"6","issued":{"date-parts":[["2015"]]},"page":"565-591","title":"A review of the environmental implications of B2C e-commerce: a logistics perspective","type":"article-journal","volume":"45"},"uris":["http://www.mendeley.com/documents/?uuid=0abe1a40-d50b-43aa-a7ed-6c050121d284"]}],"mendeley":{"formattedCitation":"[19; 49]","plainTextFormattedCitation":"[19; 49]","previouslyFormattedCitation":"[19; 49]"},"properties":{"noteIndex":0},"schema":"https://github.com/citation-style-language/schema/raw/master/csl-citation.json"}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[19; 49]</w:t>
      </w:r>
      <w:r w:rsidR="000A3492" w:rsidRPr="00B31BEB">
        <w:rPr>
          <w:rStyle w:val="FootnoteReference"/>
          <w:noProof/>
        </w:rPr>
        <w:fldChar w:fldCharType="end"/>
      </w:r>
      <w:r w:rsidR="00296DE6" w:rsidRPr="00B31BEB">
        <w:rPr>
          <w:noProof/>
        </w:rPr>
        <w:t xml:space="preserve">. </w:t>
      </w:r>
      <w:r w:rsidR="00D92F60" w:rsidRPr="00B31BEB">
        <w:rPr>
          <w:noProof/>
        </w:rPr>
        <w:t>W</w:t>
      </w:r>
      <w:r w:rsidR="00B93B54" w:rsidRPr="00B31BEB">
        <w:rPr>
          <w:noProof/>
        </w:rPr>
        <w:t>e</w:t>
      </w:r>
      <w:r w:rsidR="00D92F60" w:rsidRPr="00B31BEB">
        <w:rPr>
          <w:noProof/>
        </w:rPr>
        <w:t xml:space="preserve">, </w:t>
      </w:r>
      <w:r w:rsidR="00B93B54" w:rsidRPr="00B31BEB">
        <w:rPr>
          <w:noProof/>
        </w:rPr>
        <w:t>propose the following hypothes</w:t>
      </w:r>
      <w:r w:rsidR="00F7706A" w:rsidRPr="00B31BEB">
        <w:rPr>
          <w:noProof/>
        </w:rPr>
        <w:t>e</w:t>
      </w:r>
      <w:r w:rsidR="00B93B54" w:rsidRPr="00B31BEB">
        <w:rPr>
          <w:noProof/>
        </w:rPr>
        <w:t>s:</w:t>
      </w:r>
    </w:p>
    <w:p w:rsidR="0089049E" w:rsidRPr="00B31BEB" w:rsidRDefault="0089049E" w:rsidP="00620A89">
      <w:pPr>
        <w:tabs>
          <w:tab w:val="center" w:pos="4800"/>
          <w:tab w:val="right" w:pos="9500"/>
        </w:tabs>
        <w:ind w:firstLine="720"/>
        <w:rPr>
          <w:noProof/>
        </w:rPr>
      </w:pPr>
      <w:r w:rsidRPr="00B31BEB">
        <w:rPr>
          <w:noProof/>
        </w:rPr>
        <w:t>H4A: Pro-environmental consumers are more likely to attend to the distance attribute pre-information</w:t>
      </w:r>
      <w:r w:rsidR="00B846D8" w:rsidRPr="00B31BEB">
        <w:rPr>
          <w:noProof/>
        </w:rPr>
        <w:t>.</w:t>
      </w:r>
      <w:r w:rsidRPr="00B31BEB">
        <w:rPr>
          <w:noProof/>
        </w:rPr>
        <w:t xml:space="preserve"> </w:t>
      </w:r>
    </w:p>
    <w:p w:rsidR="00B93B54" w:rsidRPr="00B31BEB" w:rsidRDefault="00B93B54" w:rsidP="00620A89">
      <w:pPr>
        <w:tabs>
          <w:tab w:val="center" w:pos="4800"/>
          <w:tab w:val="right" w:pos="9500"/>
        </w:tabs>
        <w:ind w:firstLine="720"/>
        <w:rPr>
          <w:noProof/>
        </w:rPr>
      </w:pPr>
      <w:r w:rsidRPr="00B31BEB">
        <w:rPr>
          <w:noProof/>
        </w:rPr>
        <w:t>H</w:t>
      </w:r>
      <w:r w:rsidR="00C45775" w:rsidRPr="00B31BEB">
        <w:rPr>
          <w:noProof/>
        </w:rPr>
        <w:t>4</w:t>
      </w:r>
      <w:r w:rsidRPr="00B31BEB">
        <w:rPr>
          <w:noProof/>
        </w:rPr>
        <w:t>B:</w:t>
      </w:r>
      <w:r w:rsidR="00B42A5A" w:rsidRPr="00B31BEB">
        <w:rPr>
          <w:noProof/>
        </w:rPr>
        <w:t xml:space="preserve"> </w:t>
      </w:r>
      <w:r w:rsidR="00FD70B1" w:rsidRPr="00B31BEB">
        <w:rPr>
          <w:noProof/>
        </w:rPr>
        <w:t>The rate of change in attendance probability to the distance attribute</w:t>
      </w:r>
      <w:r w:rsidR="00AF23F2" w:rsidRPr="00B31BEB">
        <w:rPr>
          <w:noProof/>
        </w:rPr>
        <w:t xml:space="preserve"> post-information</w:t>
      </w:r>
      <w:r w:rsidR="00FD70B1" w:rsidRPr="00B31BEB">
        <w:rPr>
          <w:noProof/>
        </w:rPr>
        <w:t xml:space="preserve"> increases with increasing pro-environmental scores.</w:t>
      </w:r>
    </w:p>
    <w:p w:rsidR="00B94525" w:rsidRPr="00B31BEB" w:rsidRDefault="005F5BBF" w:rsidP="00620A89">
      <w:pPr>
        <w:tabs>
          <w:tab w:val="center" w:pos="4800"/>
          <w:tab w:val="right" w:pos="9500"/>
        </w:tabs>
        <w:ind w:firstLine="720"/>
        <w:rPr>
          <w:noProof/>
        </w:rPr>
      </w:pPr>
      <w:r w:rsidRPr="00B31BEB">
        <w:rPr>
          <w:noProof/>
        </w:rPr>
        <w:t>Nationalistic</w:t>
      </w:r>
      <w:r w:rsidR="00AB19E6" w:rsidRPr="00B31BEB">
        <w:rPr>
          <w:noProof/>
        </w:rPr>
        <w:t xml:space="preserve"> consumption is </w:t>
      </w:r>
      <w:r w:rsidR="00207EE5" w:rsidRPr="00B31BEB">
        <w:rPr>
          <w:noProof/>
        </w:rPr>
        <w:t>a</w:t>
      </w:r>
      <w:r w:rsidRPr="00B31BEB">
        <w:rPr>
          <w:noProof/>
        </w:rPr>
        <w:t xml:space="preserve"> </w:t>
      </w:r>
      <w:r w:rsidR="00207EE5" w:rsidRPr="00B31BEB">
        <w:rPr>
          <w:noProof/>
        </w:rPr>
        <w:t xml:space="preserve">consumer behavior </w:t>
      </w:r>
      <w:r w:rsidR="008F080C" w:rsidRPr="00B31BEB">
        <w:rPr>
          <w:noProof/>
        </w:rPr>
        <w:t>of</w:t>
      </w:r>
      <w:r w:rsidR="00207EE5" w:rsidRPr="00B31BEB">
        <w:rPr>
          <w:noProof/>
        </w:rPr>
        <w:t xml:space="preserve"> favor</w:t>
      </w:r>
      <w:r w:rsidR="008F080C" w:rsidRPr="00B31BEB">
        <w:rPr>
          <w:noProof/>
        </w:rPr>
        <w:t>ing</w:t>
      </w:r>
      <w:r w:rsidR="00AB19E6" w:rsidRPr="00B31BEB">
        <w:rPr>
          <w:noProof/>
        </w:rPr>
        <w:t xml:space="preserve"> products </w:t>
      </w:r>
      <w:r w:rsidR="00207EE5" w:rsidRPr="00B31BEB">
        <w:rPr>
          <w:noProof/>
        </w:rPr>
        <w:t>and brand</w:t>
      </w:r>
      <w:r w:rsidR="0073364C" w:rsidRPr="00B31BEB">
        <w:rPr>
          <w:noProof/>
        </w:rPr>
        <w:t>s</w:t>
      </w:r>
      <w:r w:rsidR="00207EE5" w:rsidRPr="00B31BEB">
        <w:rPr>
          <w:noProof/>
        </w:rPr>
        <w:t xml:space="preserve"> </w:t>
      </w:r>
      <w:r w:rsidR="00AB19E6" w:rsidRPr="00B31BEB">
        <w:rPr>
          <w:noProof/>
        </w:rPr>
        <w:t xml:space="preserve">from </w:t>
      </w:r>
      <w:r w:rsidR="008F080C" w:rsidRPr="00B31BEB">
        <w:rPr>
          <w:noProof/>
        </w:rPr>
        <w:t xml:space="preserve">one’s own country and rejecting those from </w:t>
      </w:r>
      <w:r w:rsidR="00AB19E6" w:rsidRPr="00B31BEB">
        <w:rPr>
          <w:noProof/>
        </w:rPr>
        <w:t>other countries</w:t>
      </w:r>
      <w:r w:rsidR="00F67116" w:rsidRPr="00B31BEB">
        <w:rPr>
          <w:noProof/>
        </w:rPr>
        <w:t xml:space="preserve"> </w:t>
      </w:r>
      <w:r w:rsidR="00F67116" w:rsidRPr="00B31BEB">
        <w:rPr>
          <w:noProof/>
        </w:rPr>
        <w:fldChar w:fldCharType="begin" w:fldLock="1"/>
      </w:r>
      <w:r w:rsidR="00E23587" w:rsidRPr="00B31BEB">
        <w:rPr>
          <w:noProof/>
        </w:rPr>
        <w:instrText>ADDIN CSL_CITATION {"citationItems":[{"id":"ITEM-1","itemData":{"DOI":"10.1108/13563280510614483","ISSN":"13563289","abstract":"Purpose - Drawing on an interdisciplinary scholarship, this study seeks to explore and explain the nature and characteristics of the emerging phenomenon of \"consumer nationalism\" and its critical impact on corporate reputation in the global marketplace. Design/methodology/approach - The paper sets out to define the concept of consumer nationalism and then formulate an analytical framework of consumer nationalism dynamics that provides a deeper, more precise understanding of the various elements at play in a consumer nationalism crisis and the process by which multinational businesses and their corporate reputation might be affected by such nationalistic advocacy. Based on the proposed model, the paper identifies and discusses management options to protect and maintain corporate reputation in the event of consumer nationalistic outbursts. In conclusion, the paper outlines general recommendations for pursuing public/corporate diplomacy and for proactively managing consumers' perception of brands' national association as part of pre-crisis communication strategy. Findings - As nationalism goes hand-in-hand with globalization, consumer nationalism cannot be ignored. Originality/value - The study provides a deeper understanding of what consumer nationalism is and how it may affect multinational businesses. It offers a comprehensive account of this emerging phenomenon by integrating existing perspectives on the nationalistic consumer base and \"focusing events\", and introduces the concept of corporate susceptibility and its components. The study also highlights the centrality of corporate reputation during consumer nationalistic outbursts, and offers suggestions as to how multinational businesses may take steps to fend off the damage consumer nationalism events may do to their reputation. © Emerald Group Publishing Limited.","author":[{"dropping-particle":"","family":"Wang","given":"Jay","non-dropping-particle":"","parse-names":false,"suffix":""}],"container-title":"Corporate Communications","id":"ITEM-1","issue":"3","issued":{"date-parts":[["2005"]]},"page":"223-239","title":"Consumer nationalism and corporate reputation management in the global era","type":"article-journal","volume":"10"},"uris":["http://www.mendeley.com/documents/?uuid=39fbaa4d-674d-4ed2-8936-d22805b8ea27"]},{"id":"ITEM-2","itemData":{"DOI":"10.1108/07363760710746148","ISSN":"07363761","abstract":"Purpose - The goals of the paper are to propose, measure, and empirically test the expectations model of economic nationalism. The model posits that economic nationalism is reflected in people's expectations of their government, domestic firms, and the general public, in terms of restricting the activities of foreign firms. Design/methodology/approach - A confirmatory factor analysis is conducted to test the model, using the LISREL procedure. Findings - Results show acceptable fit for the proposed model. Reliability of each of the three dimensions of economic nationalism is in the acceptable range. A nomological validity test showed that economic nationalism is related to other constructs not included in the model. Research limitations/implications - A limitation of the model is that it is based on a single sample. Future studies can test the generalizability of model with samples from different countries. Practical implications - The implication of the study is that increasing globalization might lead to an increase in economic nationalism. Business executives, therefore, need to focus not only on the benefits that they will derive from entering a country, but also the benefits they will deliver to the domestic economy by entering the country. Originality/value - The paper presents an expectations model of economic nationalism. The model is based on the premise that people's expectations of their government, domestic businesses, and the general public in terms of their role in restricting the activities of foreign firms are reflective of economic nationalism. The more people expect of these three players the more economically nationalistic they will be. The value of the paper is to researchers in international business and global marketing and to business executives involved in managing global operations. © Emerald Group Publishing Limited.","author":[{"dropping-particle":"","family":"Akhter","given":"Syed H.","non-dropping-particle":"","parse-names":false,"suffix":""}],"container-title":"Journal of Consumer Marketing","id":"ITEM-2","issue":"3","issued":{"date-parts":[["2007"]]},"page":"142-150","title":"Globalization, expectations model of economic nationalism, and consumer behavior","type":"article-journal","volume":"24"},"uris":["http://www.mendeley.com/documents/?uuid=93b8c225-70b1-43d0-a442-d523191f0253"]},{"id":"ITEM-3","itemData":{"DOI":"10.1002/cb.1675","ISSN":"14791838","abstract":"The purpose of this study is to empirically investigate the country-level antecedents of cross-country differences in consumer cosmopolitanism and consumer ethnocentrism (CET) using samples from 21 nations. Country-level antecedents have not been examined extensively in the past, in spite of their importance in understanding consumer behavior across countries. Specifically, we perform a multilevel analysis with various country-level cultural and economic antecedents as between-country factors and individual-level demographics as within-country covariates. Our findings show that the level of consumer cosmopolitanism in a country is related to several country-level factors. It was found to be high in more individualistic, less masculine, and high-uncertainty-avoidance cultures; developing countries; and countries with trade surpluses. On the other hand, CET had a high level in economically open countries. In addition, CET was higher among older consumers across countries.","author":[{"dropping-particle":"","family":"Han","given":"C. Min","non-dropping-particle":"","parse-names":false,"suffix":""},{"dropping-particle":"Bin","family":"Won","given":"Sung","non-dropping-particle":"","parse-names":false,"suffix":""}],"container-title":"Journal of Consumer Behaviour","id":"ITEM-3","issue":"1","issued":{"date-parts":[["2018"]]},"page":"e52-e66","title":"Cross-country differences in consumer cosmopolitanism and ethnocentrism: A multilevel analysis with 21 countries","type":"article-journal","volume":"17"},"uris":["http://www.mendeley.com/documents/?uuid=03d3d751-ad38-42fb-9004-3175d9ec6619"]}],"mendeley":{"formattedCitation":"[1; 24; 84]","plainTextFormattedCitation":"[1; 24; 84]","previouslyFormattedCitation":"[1; 24; 84]"},"properties":{"noteIndex":0},"schema":"https://github.com/citation-style-language/schema/raw/master/csl-citation.json"}</w:instrText>
      </w:r>
      <w:r w:rsidR="00F67116" w:rsidRPr="00B31BEB">
        <w:rPr>
          <w:noProof/>
        </w:rPr>
        <w:fldChar w:fldCharType="separate"/>
      </w:r>
      <w:r w:rsidR="00F8005E" w:rsidRPr="00B31BEB">
        <w:rPr>
          <w:noProof/>
        </w:rPr>
        <w:t>[1; 24; 84]</w:t>
      </w:r>
      <w:r w:rsidR="00F67116" w:rsidRPr="00B31BEB">
        <w:rPr>
          <w:noProof/>
        </w:rPr>
        <w:fldChar w:fldCharType="end"/>
      </w:r>
      <w:r w:rsidRPr="00B31BEB">
        <w:rPr>
          <w:noProof/>
        </w:rPr>
        <w:t xml:space="preserve">. This </w:t>
      </w:r>
      <w:r w:rsidR="00D8719F" w:rsidRPr="00B31BEB">
        <w:rPr>
          <w:noProof/>
        </w:rPr>
        <w:t xml:space="preserve">may </w:t>
      </w:r>
      <w:r w:rsidR="00BB4BD4" w:rsidRPr="00B31BEB">
        <w:rPr>
          <w:noProof/>
        </w:rPr>
        <w:t>be because of</w:t>
      </w:r>
      <w:r w:rsidR="00B6230F" w:rsidRPr="00B31BEB">
        <w:rPr>
          <w:noProof/>
        </w:rPr>
        <w:t xml:space="preserve"> activism</w:t>
      </w:r>
      <w:r w:rsidR="006844B0" w:rsidRPr="00B31BEB">
        <w:rPr>
          <w:noProof/>
        </w:rPr>
        <w:t>, insecurity</w:t>
      </w:r>
      <w:r w:rsidR="00B6230F" w:rsidRPr="00B31BEB">
        <w:rPr>
          <w:noProof/>
        </w:rPr>
        <w:t xml:space="preserve"> or </w:t>
      </w:r>
      <w:r w:rsidR="00BB4BD4" w:rsidRPr="00B31BEB">
        <w:rPr>
          <w:noProof/>
        </w:rPr>
        <w:t xml:space="preserve">campaigns promoting domestic buying. </w:t>
      </w:r>
      <w:r w:rsidR="00A2775C" w:rsidRPr="00B31BEB">
        <w:rPr>
          <w:noProof/>
        </w:rPr>
        <w:t xml:space="preserve">Nationalistic </w:t>
      </w:r>
      <w:r w:rsidR="00FD5BD9" w:rsidRPr="00B31BEB">
        <w:rPr>
          <w:noProof/>
        </w:rPr>
        <w:t>e-</w:t>
      </w:r>
      <w:r w:rsidR="00A2775C" w:rsidRPr="00B31BEB">
        <w:rPr>
          <w:noProof/>
        </w:rPr>
        <w:t xml:space="preserve">consumers </w:t>
      </w:r>
      <w:r w:rsidR="0055500F" w:rsidRPr="00B31BEB">
        <w:rPr>
          <w:noProof/>
        </w:rPr>
        <w:t>can reject</w:t>
      </w:r>
      <w:r w:rsidR="00447030" w:rsidRPr="00B31BEB">
        <w:rPr>
          <w:noProof/>
        </w:rPr>
        <w:t xml:space="preserve"> foreign brands as a way of promoting domestic </w:t>
      </w:r>
      <w:r w:rsidR="00CD30CC" w:rsidRPr="00B31BEB">
        <w:rPr>
          <w:noProof/>
        </w:rPr>
        <w:t>brands</w:t>
      </w:r>
      <w:r w:rsidR="00447030" w:rsidRPr="00B31BEB">
        <w:rPr>
          <w:noProof/>
        </w:rPr>
        <w:t>.</w:t>
      </w:r>
      <w:r w:rsidR="0055500F" w:rsidRPr="00B31BEB">
        <w:rPr>
          <w:noProof/>
        </w:rPr>
        <w:t xml:space="preserve"> In this case, an influx of foreign brands </w:t>
      </w:r>
      <w:r w:rsidR="00B61B72" w:rsidRPr="00B31BEB">
        <w:rPr>
          <w:noProof/>
        </w:rPr>
        <w:t xml:space="preserve">is seen as a </w:t>
      </w:r>
      <w:r w:rsidR="0055500F" w:rsidRPr="00B31BEB">
        <w:rPr>
          <w:noProof/>
        </w:rPr>
        <w:t>threat</w:t>
      </w:r>
      <w:r w:rsidR="00B61B72" w:rsidRPr="00B31BEB">
        <w:rPr>
          <w:noProof/>
        </w:rPr>
        <w:t xml:space="preserve"> to</w:t>
      </w:r>
      <w:r w:rsidR="0055500F" w:rsidRPr="00B31BEB">
        <w:rPr>
          <w:noProof/>
        </w:rPr>
        <w:t xml:space="preserve"> the growth of domestic brands.</w:t>
      </w:r>
      <w:r w:rsidR="00447030" w:rsidRPr="00B31BEB">
        <w:rPr>
          <w:noProof/>
        </w:rPr>
        <w:t xml:space="preserve"> </w:t>
      </w:r>
      <w:r w:rsidR="0055500F" w:rsidRPr="00B31BEB">
        <w:rPr>
          <w:noProof/>
        </w:rPr>
        <w:t xml:space="preserve">Additionally, </w:t>
      </w:r>
      <w:r w:rsidR="00632B92" w:rsidRPr="00B31BEB">
        <w:rPr>
          <w:noProof/>
        </w:rPr>
        <w:t>nationalistic</w:t>
      </w:r>
      <w:r w:rsidR="0055500F" w:rsidRPr="00B31BEB">
        <w:rPr>
          <w:noProof/>
        </w:rPr>
        <w:t xml:space="preserve"> consumers </w:t>
      </w:r>
      <w:r w:rsidR="00123609" w:rsidRPr="00B31BEB">
        <w:rPr>
          <w:noProof/>
        </w:rPr>
        <w:t>belief that</w:t>
      </w:r>
      <w:r w:rsidR="00CE2F12" w:rsidRPr="00B31BEB">
        <w:rPr>
          <w:noProof/>
        </w:rPr>
        <w:t xml:space="preserve"> d</w:t>
      </w:r>
      <w:r w:rsidR="00FD5BD9" w:rsidRPr="00B31BEB">
        <w:rPr>
          <w:noProof/>
        </w:rPr>
        <w:t>omestic</w:t>
      </w:r>
      <w:r w:rsidRPr="00B31BEB">
        <w:rPr>
          <w:noProof/>
        </w:rPr>
        <w:t xml:space="preserve"> firms </w:t>
      </w:r>
      <w:r w:rsidR="00123609" w:rsidRPr="00B31BEB">
        <w:rPr>
          <w:noProof/>
        </w:rPr>
        <w:t>contribute</w:t>
      </w:r>
      <w:r w:rsidRPr="00B31BEB">
        <w:rPr>
          <w:noProof/>
        </w:rPr>
        <w:t xml:space="preserve"> </w:t>
      </w:r>
      <w:r w:rsidR="005260E4" w:rsidRPr="00B31BEB">
        <w:rPr>
          <w:noProof/>
        </w:rPr>
        <w:t>directly</w:t>
      </w:r>
      <w:r w:rsidRPr="00B31BEB">
        <w:rPr>
          <w:noProof/>
        </w:rPr>
        <w:t xml:space="preserve"> to the local economy in terms of job opportunities and remittances compared to foreign firms</w:t>
      </w:r>
      <w:r w:rsidR="003158DC" w:rsidRPr="00B31BEB">
        <w:rPr>
          <w:noProof/>
        </w:rPr>
        <w:t xml:space="preserve"> </w:t>
      </w:r>
      <w:r w:rsidR="003158DC" w:rsidRPr="00B31BEB">
        <w:rPr>
          <w:noProof/>
        </w:rPr>
        <w:fldChar w:fldCharType="begin" w:fldLock="1"/>
      </w:r>
      <w:r w:rsidR="00E23587" w:rsidRPr="00B31BEB">
        <w:rPr>
          <w:noProof/>
        </w:rPr>
        <w:instrText>ADDIN CSL_CITATION {"citationItems":[{"id":"ITEM-1","itemData":{"DOI":"10.1108/07363760710746148","ISSN":"07363761","abstract":"Purpose - The goals of the paper are to propose, measure, and empirically test the expectations model of economic nationalism. The model posits that economic nationalism is reflected in people's expectations of their government, domestic firms, and the general public, in terms of restricting the activities of foreign firms. Design/methodology/approach - A confirmatory factor analysis is conducted to test the model, using the LISREL procedure. Findings - Results show acceptable fit for the proposed model. Reliability of each of the three dimensions of economic nationalism is in the acceptable range. A nomological validity test showed that economic nationalism is related to other constructs not included in the model. Research limitations/implications - A limitation of the model is that it is based on a single sample. Future studies can test the generalizability of model with samples from different countries. Practical implications - The implication of the study is that increasing globalization might lead to an increase in economic nationalism. Business executives, therefore, need to focus not only on the benefits that they will derive from entering a country, but also the benefits they will deliver to the domestic economy by entering the country. Originality/value - The paper presents an expectations model of economic nationalism. The model is based on the premise that people's expectations of their government, domestic businesses, and the general public in terms of their role in restricting the activities of foreign firms are reflective of economic nationalism. The more people expect of these three players the more economically nationalistic they will be. The value of the paper is to researchers in international business and global marketing and to business executives involved in managing global operations. © Emerald Group Publishing Limited.","author":[{"dropping-particle":"","family":"Akhter","given":"Syed H.","non-dropping-particle":"","parse-names":false,"suffix":""}],"container-title":"Journal of Consumer Marketing","id":"ITEM-1","issue":"3","issued":{"date-parts":[["2007"]]},"page":"142-150","title":"Globalization, expectations model of economic nationalism, and consumer behavior","type":"article-journal","volume":"24"},"uris":["http://www.mendeley.com/documents/?uuid=93b8c225-70b1-43d0-a442-d523191f0253"]},{"id":"ITEM-2","itemData":{"DOI":"10.1002/cb.1675","ISSN":"14791838","abstract":"The purpose of this study is to empirically investigate the country-level antecedents of cross-country differences in consumer cosmopolitanism and consumer ethnocentrism (CET) using samples from 21 nations. Country-level antecedents have not been examined extensively in the past, in spite of their importance in understanding consumer behavior across countries. Specifically, we perform a multilevel analysis with various country-level cultural and economic antecedents as between-country factors and individual-level demographics as within-country covariates. Our findings show that the level of consumer cosmopolitanism in a country is related to several country-level factors. It was found to be high in more individualistic, less masculine, and high-uncertainty-avoidance cultures; developing countries; and countries with trade surpluses. On the other hand, CET had a high level in economically open countries. In addition, CET was higher among older consumers across countries.","author":[{"dropping-particle":"","family":"Han","given":"C. Min","non-dropping-particle":"","parse-names":false,"suffix":""},{"dropping-particle":"Bin","family":"Won","given":"Sung","non-dropping-particle":"","parse-names":false,"suffix":""}],"container-title":"Journal of Consumer Behaviour","id":"ITEM-2","issue":"1","issued":{"date-parts":[["2018"]]},"page":"e52-e66","title":"Cross-country differences in consumer cosmopolitanism and ethnocentrism: A multilevel analysis with 21 countries","type":"article-journal","volume":"17"},"uris":["http://www.mendeley.com/documents/?uuid=03d3d751-ad38-42fb-9004-3175d9ec6619"]}],"mendeley":{"formattedCitation":"[1; 24]","plainTextFormattedCitation":"[1; 24]","previouslyFormattedCitation":"[1; 24]"},"properties":{"noteIndex":0},"schema":"https://github.com/citation-style-language/schema/raw/master/csl-citation.json"}</w:instrText>
      </w:r>
      <w:r w:rsidR="003158DC" w:rsidRPr="00B31BEB">
        <w:rPr>
          <w:noProof/>
        </w:rPr>
        <w:fldChar w:fldCharType="separate"/>
      </w:r>
      <w:r w:rsidR="00F8005E" w:rsidRPr="00B31BEB">
        <w:rPr>
          <w:noProof/>
        </w:rPr>
        <w:t>[1; 24]</w:t>
      </w:r>
      <w:r w:rsidR="003158DC" w:rsidRPr="00B31BEB">
        <w:rPr>
          <w:noProof/>
        </w:rPr>
        <w:fldChar w:fldCharType="end"/>
      </w:r>
      <w:r w:rsidRPr="00B31BEB">
        <w:rPr>
          <w:noProof/>
        </w:rPr>
        <w:t>.</w:t>
      </w:r>
      <w:r w:rsidR="00743778" w:rsidRPr="00B31BEB">
        <w:rPr>
          <w:noProof/>
        </w:rPr>
        <w:t xml:space="preserve"> </w:t>
      </w:r>
      <w:r w:rsidR="00B94525" w:rsidRPr="00B31BEB">
        <w:rPr>
          <w:noProof/>
        </w:rPr>
        <w:t>Since n</w:t>
      </w:r>
      <w:r w:rsidR="004D2C6F" w:rsidRPr="00B31BEB">
        <w:rPr>
          <w:noProof/>
        </w:rPr>
        <w:t xml:space="preserve">ationalistic attitudes </w:t>
      </w:r>
      <w:r w:rsidR="00B94525" w:rsidRPr="00B31BEB">
        <w:rPr>
          <w:noProof/>
        </w:rPr>
        <w:t xml:space="preserve">can </w:t>
      </w:r>
      <w:r w:rsidR="005541A6" w:rsidRPr="00B31BEB">
        <w:rPr>
          <w:noProof/>
        </w:rPr>
        <w:t>influ</w:t>
      </w:r>
      <w:r w:rsidR="00E02FE1" w:rsidRPr="00B31BEB">
        <w:rPr>
          <w:noProof/>
        </w:rPr>
        <w:t>e</w:t>
      </w:r>
      <w:r w:rsidR="005541A6" w:rsidRPr="00B31BEB">
        <w:rPr>
          <w:noProof/>
        </w:rPr>
        <w:t>nce the attendance probability to attributes on webshop headquaters</w:t>
      </w:r>
      <w:r w:rsidR="00B94525" w:rsidRPr="00B31BEB">
        <w:rPr>
          <w:noProof/>
        </w:rPr>
        <w:t>, we propose the following:</w:t>
      </w:r>
    </w:p>
    <w:p w:rsidR="007364C6" w:rsidRPr="00B31BEB" w:rsidRDefault="007364C6" w:rsidP="00620A89">
      <w:pPr>
        <w:tabs>
          <w:tab w:val="center" w:pos="4800"/>
          <w:tab w:val="right" w:pos="9500"/>
        </w:tabs>
        <w:ind w:firstLine="720"/>
        <w:rPr>
          <w:noProof/>
        </w:rPr>
      </w:pPr>
      <w:r w:rsidRPr="00B31BEB">
        <w:rPr>
          <w:noProof/>
        </w:rPr>
        <w:t>H5A: Nationalistic consumers are more likely to attend to the headquarters attribute pre-information</w:t>
      </w:r>
      <w:r w:rsidR="00B846D8" w:rsidRPr="00B31BEB">
        <w:rPr>
          <w:noProof/>
        </w:rPr>
        <w:t>.</w:t>
      </w:r>
    </w:p>
    <w:p w:rsidR="00CC2ACF" w:rsidRPr="00B31BEB" w:rsidRDefault="007364C6" w:rsidP="00CC2ACF">
      <w:pPr>
        <w:tabs>
          <w:tab w:val="center" w:pos="4800"/>
          <w:tab w:val="right" w:pos="9500"/>
        </w:tabs>
        <w:ind w:firstLine="720"/>
        <w:rPr>
          <w:noProof/>
        </w:rPr>
      </w:pPr>
      <w:r w:rsidRPr="00B31BEB">
        <w:rPr>
          <w:noProof/>
        </w:rPr>
        <w:t>H5B: The rate of change in attendance probability to the headquarters attribute</w:t>
      </w:r>
      <w:r w:rsidR="002F6718" w:rsidRPr="00B31BEB">
        <w:rPr>
          <w:noProof/>
        </w:rPr>
        <w:t xml:space="preserve"> post-information</w:t>
      </w:r>
      <w:r w:rsidRPr="00B31BEB">
        <w:rPr>
          <w:noProof/>
        </w:rPr>
        <w:t xml:space="preserve"> increases with increasing nationalistic attitudes scores.</w:t>
      </w:r>
    </w:p>
    <w:p w:rsidR="001977C7" w:rsidRPr="00B31BEB" w:rsidRDefault="00BC0F25" w:rsidP="00CC2ACF">
      <w:pPr>
        <w:tabs>
          <w:tab w:val="center" w:pos="4800"/>
          <w:tab w:val="right" w:pos="9500"/>
        </w:tabs>
        <w:ind w:firstLine="720"/>
        <w:rPr>
          <w:noProof/>
        </w:rPr>
      </w:pPr>
      <w:r w:rsidRPr="00B31BEB">
        <w:rPr>
          <w:noProof/>
        </w:rPr>
        <w:t>Preference for domestic firms can</w:t>
      </w:r>
      <w:r w:rsidR="005B7987" w:rsidRPr="00B31BEB">
        <w:rPr>
          <w:noProof/>
        </w:rPr>
        <w:t xml:space="preserve"> also</w:t>
      </w:r>
      <w:r w:rsidRPr="00B31BEB">
        <w:rPr>
          <w:noProof/>
        </w:rPr>
        <w:t xml:space="preserve"> be mediated by consum</w:t>
      </w:r>
      <w:r w:rsidR="00E55AE4" w:rsidRPr="00B31BEB">
        <w:rPr>
          <w:noProof/>
        </w:rPr>
        <w:t>ers’ age. S</w:t>
      </w:r>
      <w:r w:rsidR="00A04E29" w:rsidRPr="00B31BEB">
        <w:rPr>
          <w:noProof/>
        </w:rPr>
        <w:t xml:space="preserve">tudies have </w:t>
      </w:r>
      <w:r w:rsidRPr="00B31BEB">
        <w:rPr>
          <w:noProof/>
        </w:rPr>
        <w:t xml:space="preserve">profiled younger consumers as </w:t>
      </w:r>
      <w:r w:rsidR="00646DEA" w:rsidRPr="00B31BEB">
        <w:rPr>
          <w:noProof/>
        </w:rPr>
        <w:t xml:space="preserve">cosmopolitan </w:t>
      </w:r>
      <w:r w:rsidRPr="00B31BEB">
        <w:rPr>
          <w:noProof/>
        </w:rPr>
        <w:t>digital</w:t>
      </w:r>
      <w:r w:rsidR="003128F9" w:rsidRPr="00B31BEB">
        <w:rPr>
          <w:noProof/>
        </w:rPr>
        <w:t xml:space="preserve"> </w:t>
      </w:r>
      <w:r w:rsidR="00A04E29" w:rsidRPr="00B31BEB">
        <w:rPr>
          <w:noProof/>
        </w:rPr>
        <w:t>natives</w:t>
      </w:r>
      <w:r w:rsidR="008C5F0D" w:rsidRPr="00B31BEB">
        <w:rPr>
          <w:noProof/>
        </w:rPr>
        <w:t xml:space="preserve"> </w:t>
      </w:r>
      <w:r w:rsidR="00E25C89" w:rsidRPr="00B31BEB">
        <w:rPr>
          <w:noProof/>
        </w:rPr>
        <w:t>who</w:t>
      </w:r>
      <w:r w:rsidR="008C5F0D" w:rsidRPr="00B31BEB">
        <w:rPr>
          <w:noProof/>
        </w:rPr>
        <w:t xml:space="preserve"> are more </w:t>
      </w:r>
      <w:r w:rsidR="00F3779C" w:rsidRPr="00B31BEB">
        <w:rPr>
          <w:noProof/>
        </w:rPr>
        <w:t xml:space="preserve">open to foreign </w:t>
      </w:r>
      <w:r w:rsidR="00115164" w:rsidRPr="00B31BEB">
        <w:rPr>
          <w:noProof/>
        </w:rPr>
        <w:t>brands</w:t>
      </w:r>
      <w:r w:rsidR="00A04E29" w:rsidRPr="00B31BEB">
        <w:rPr>
          <w:noProof/>
        </w:rPr>
        <w:t xml:space="preserve"> </w:t>
      </w:r>
      <w:r w:rsidR="00A04E29" w:rsidRPr="00B31BEB">
        <w:rPr>
          <w:noProof/>
        </w:rPr>
        <w:fldChar w:fldCharType="begin" w:fldLock="1"/>
      </w:r>
      <w:r w:rsidR="00E23587" w:rsidRPr="00B31BEB">
        <w:rPr>
          <w:noProof/>
        </w:rPr>
        <w:instrText>ADDIN CSL_CITATION {"citationItems":[{"id":"ITEM-1","itemData":{"DOI":"10.1080/07421222.2014.995538","ISSN":"1557928X","abstract":"Previous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Systems","id":"ITEM-1","issue":"3","issued":{"date-parts":[["2014"]]},"page":"138-171","title":"Digital Natives or Digital Immigrants? The Impact of User Characteristics on Online Trust","type":"article-journal","volume":"31"},"uris":["http://www.mendeley.com/documents/?uuid=0a9db95f-897f-4e67-ab94-9dd892278960"]},{"id":"ITEM-2","itemData":{"DOI":"10.1002/cb.1675","ISSN":"14791838","abstract":"The purpose of this study is to empirically investigate the country-level antecedents of cross-country differences in consumer cosmopolitanism and consumer ethnocentrism (CET) using samples from 21 nations. Country-level antecedents have not been examined extensively in the past, in spite of their importance in understanding consumer behavior across countries. Specifically, we perform a multilevel analysis with various country-level cultural and economic antecedents as between-country factors and individual-level demographics as within-country covariates. Our findings show that the level of consumer cosmopolitanism in a country is related to several country-level factors. It was found to be high in more individualistic, less masculine, and high-uncertainty-avoidance cultures; developing countries; and countries with trade surpluses. On the other hand, CET had a high level in economically open countries. In addition, CET was higher among older consumers across countries.","author":[{"dropping-particle":"","family":"Han","given":"C. Min","non-dropping-particle":"","parse-names":false,"suffix":""},{"dropping-particle":"Bin","family":"Won","given":"Sung","non-dropping-particle":"","parse-names":false,"suffix":""}],"container-title":"Journal of Consumer Behaviour","id":"ITEM-2","issue":"1","issued":{"date-parts":[["2018"]]},"page":"e52-e66","title":"Cross-country differences in consumer cosmopolitanism and ethnocentrism: A multilevel analysis with 21 countries","type":"article-journal","volume":"17"},"uris":["http://www.mendeley.com/documents/?uuid=03d3d751-ad38-42fb-9004-3175d9ec6619"]}],"mendeley":{"formattedCitation":"[24; 30]","plainTextFormattedCitation":"[24; 30]","previouslyFormattedCitation":"[24; 30]"},"properties":{"noteIndex":0},"schema":"https://github.com/citation-style-language/schema/raw/master/csl-citation.json"}</w:instrText>
      </w:r>
      <w:r w:rsidR="00A04E29" w:rsidRPr="00B31BEB">
        <w:rPr>
          <w:noProof/>
        </w:rPr>
        <w:fldChar w:fldCharType="separate"/>
      </w:r>
      <w:r w:rsidR="00F8005E" w:rsidRPr="00B31BEB">
        <w:rPr>
          <w:noProof/>
        </w:rPr>
        <w:t>[24; 30]</w:t>
      </w:r>
      <w:r w:rsidR="00A04E29" w:rsidRPr="00B31BEB">
        <w:rPr>
          <w:noProof/>
        </w:rPr>
        <w:fldChar w:fldCharType="end"/>
      </w:r>
      <w:r w:rsidR="00A04E29" w:rsidRPr="00B31BEB">
        <w:rPr>
          <w:noProof/>
        </w:rPr>
        <w:t>.</w:t>
      </w:r>
      <w:r w:rsidR="008C5F0D" w:rsidRPr="00B31BEB">
        <w:rPr>
          <w:noProof/>
        </w:rPr>
        <w:t xml:space="preserve"> </w:t>
      </w:r>
      <w:r w:rsidR="00A04E29" w:rsidRPr="00B31BEB">
        <w:rPr>
          <w:noProof/>
        </w:rPr>
        <w:t xml:space="preserve">On the other hand, older consumers tend to be more conservative and less inclined towards foreign brands </w:t>
      </w:r>
      <w:r w:rsidR="00A04E29" w:rsidRPr="00B31BEB">
        <w:rPr>
          <w:noProof/>
        </w:rPr>
        <w:fldChar w:fldCharType="begin" w:fldLock="1"/>
      </w:r>
      <w:r w:rsidR="00E23587" w:rsidRPr="00B31BEB">
        <w:rPr>
          <w:noProof/>
        </w:rPr>
        <w:instrText>ADDIN CSL_CITATION {"citationItems":[{"id":"ITEM-1","itemData":{"DOI":"10.1002/cb.1675","ISSN":"14791838","abstract":"The purpose of this study is to empirically investigate the country-level antecedents of cross-country differences in consumer cosmopolitanism and consumer ethnocentrism (CET) using samples from 21 nations. Country-level antecedents have not been examined extensively in the past, in spite of their importance in understanding consumer behavior across countries. Specifically, we perform a multilevel analysis with various country-level cultural and economic antecedents as between-country factors and individual-level demographics as within-country covariates. Our findings show that the level of consumer cosmopolitanism in a country is related to several country-level factors. It was found to be high in more individualistic, less masculine, and high-uncertainty-avoidance cultures; developing countries; and countries with trade surpluses. On the other hand, CET had a high level in economically open countries. In addition, CET was higher among older consumers across countries.","author":[{"dropping-particle":"","family":"Han","given":"C. Min","non-dropping-particle":"","parse-names":false,"suffix":""},{"dropping-particle":"Bin","family":"Won","given":"Sung","non-dropping-particle":"","parse-names":false,"suffix":""}],"container-title":"Journal of Consumer Behaviour","id":"ITEM-1","issue":"1","issued":{"date-parts":[["2018"]]},"page":"e52-e66","title":"Cross-country differences in consumer cosmopolitanism and ethnocentrism: A multilevel analysis with 21 countries","type":"article-journal","volume":"17"},"uris":["http://www.mendeley.com/documents/?uuid=03d3d751-ad38-42fb-9004-3175d9ec6619"]},{"id":"ITEM-2","itemData":{"DOI":"10.1080/07421222.2014.995538","ISSN":"1557928X","abstract":"Previous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Systems","id":"ITEM-2","issue":"3","issued":{"date-parts":[["2014"]]},"page":"138-171","title":"Digital Natives or Digital Immigrants? The Impact of User Characteristics on Online Trust","type":"article-journal","volume":"31"},"uris":["http://www.mendeley.com/documents/?uuid=0a9db95f-897f-4e67-ab94-9dd892278960"]}],"mendeley":{"formattedCitation":"[24; 30]","plainTextFormattedCitation":"[24; 30]","previouslyFormattedCitation":"[24; 30]"},"properties":{"noteIndex":0},"schema":"https://github.com/citation-style-language/schema/raw/master/csl-citation.json"}</w:instrText>
      </w:r>
      <w:r w:rsidR="00A04E29" w:rsidRPr="00B31BEB">
        <w:rPr>
          <w:noProof/>
        </w:rPr>
        <w:fldChar w:fldCharType="separate"/>
      </w:r>
      <w:r w:rsidR="00F8005E" w:rsidRPr="00B31BEB">
        <w:rPr>
          <w:noProof/>
        </w:rPr>
        <w:t>[24; 30]</w:t>
      </w:r>
      <w:r w:rsidR="00A04E29" w:rsidRPr="00B31BEB">
        <w:rPr>
          <w:noProof/>
        </w:rPr>
        <w:fldChar w:fldCharType="end"/>
      </w:r>
      <w:r w:rsidR="00F3779C" w:rsidRPr="00B31BEB">
        <w:rPr>
          <w:noProof/>
        </w:rPr>
        <w:t xml:space="preserve">. </w:t>
      </w:r>
      <w:r w:rsidR="00E8725C" w:rsidRPr="00B31BEB">
        <w:rPr>
          <w:noProof/>
        </w:rPr>
        <w:t xml:space="preserve">Since consumers’ age can influence preference for domestic brands, we investigate how </w:t>
      </w:r>
      <w:r w:rsidR="00BD4C2C" w:rsidRPr="00B31BEB">
        <w:rPr>
          <w:noProof/>
        </w:rPr>
        <w:t xml:space="preserve">attention to the </w:t>
      </w:r>
      <w:r w:rsidR="00E8725C" w:rsidRPr="00B31BEB">
        <w:rPr>
          <w:noProof/>
        </w:rPr>
        <w:t>headqua</w:t>
      </w:r>
      <w:r w:rsidR="00856CE1" w:rsidRPr="00B31BEB">
        <w:rPr>
          <w:noProof/>
        </w:rPr>
        <w:t>r</w:t>
      </w:r>
      <w:r w:rsidR="00E8725C" w:rsidRPr="00B31BEB">
        <w:rPr>
          <w:noProof/>
        </w:rPr>
        <w:t xml:space="preserve">ters attribute varies with age. </w:t>
      </w:r>
      <w:r w:rsidR="000E5A9B" w:rsidRPr="00B31BEB">
        <w:rPr>
          <w:noProof/>
        </w:rPr>
        <w:t xml:space="preserve">We </w:t>
      </w:r>
      <w:r w:rsidR="001977C7" w:rsidRPr="00B31BEB">
        <w:rPr>
          <w:noProof/>
        </w:rPr>
        <w:t>suggest the following hypothes</w:t>
      </w:r>
      <w:r w:rsidR="0035307F" w:rsidRPr="00B31BEB">
        <w:rPr>
          <w:noProof/>
        </w:rPr>
        <w:t>e</w:t>
      </w:r>
      <w:r w:rsidR="001977C7" w:rsidRPr="00B31BEB">
        <w:rPr>
          <w:noProof/>
        </w:rPr>
        <w:t>s:</w:t>
      </w:r>
    </w:p>
    <w:p w:rsidR="001230DD" w:rsidRPr="00B31BEB" w:rsidRDefault="00D325EB" w:rsidP="00620A89">
      <w:pPr>
        <w:tabs>
          <w:tab w:val="center" w:pos="4800"/>
          <w:tab w:val="right" w:pos="9500"/>
        </w:tabs>
        <w:ind w:firstLine="720"/>
        <w:rPr>
          <w:noProof/>
        </w:rPr>
      </w:pPr>
      <w:r w:rsidRPr="00B31BEB">
        <w:rPr>
          <w:noProof/>
        </w:rPr>
        <w:lastRenderedPageBreak/>
        <w:t>H</w:t>
      </w:r>
      <w:r w:rsidR="004C5EDA" w:rsidRPr="00B31BEB">
        <w:rPr>
          <w:noProof/>
        </w:rPr>
        <w:t>6A</w:t>
      </w:r>
      <w:r w:rsidR="001977C7" w:rsidRPr="00B31BEB">
        <w:rPr>
          <w:noProof/>
        </w:rPr>
        <w:t>:</w:t>
      </w:r>
      <w:r w:rsidR="00326CB3" w:rsidRPr="00B31BEB">
        <w:rPr>
          <w:noProof/>
        </w:rPr>
        <w:t xml:space="preserve"> </w:t>
      </w:r>
      <w:r w:rsidR="001230DD" w:rsidRPr="00B31BEB">
        <w:rPr>
          <w:noProof/>
        </w:rPr>
        <w:t>Older consumers are more likely to attend to the headquarters attribute pre-information.</w:t>
      </w:r>
    </w:p>
    <w:p w:rsidR="008F701C" w:rsidRPr="00B31BEB" w:rsidRDefault="001230DD" w:rsidP="00620A89">
      <w:pPr>
        <w:tabs>
          <w:tab w:val="center" w:pos="4800"/>
          <w:tab w:val="right" w:pos="9500"/>
        </w:tabs>
        <w:ind w:firstLine="720"/>
        <w:rPr>
          <w:noProof/>
        </w:rPr>
      </w:pPr>
      <w:r w:rsidRPr="00B31BEB">
        <w:rPr>
          <w:noProof/>
        </w:rPr>
        <w:t xml:space="preserve">H6B: </w:t>
      </w:r>
      <w:r w:rsidR="00D348C0" w:rsidRPr="00B31BEB">
        <w:rPr>
          <w:noProof/>
        </w:rPr>
        <w:t>The rate of change in atte</w:t>
      </w:r>
      <w:r w:rsidR="006A727D" w:rsidRPr="00B31BEB">
        <w:rPr>
          <w:noProof/>
        </w:rPr>
        <w:t>ndance probability to the headqua</w:t>
      </w:r>
      <w:r w:rsidR="00994376" w:rsidRPr="00B31BEB">
        <w:rPr>
          <w:noProof/>
        </w:rPr>
        <w:t>r</w:t>
      </w:r>
      <w:r w:rsidR="006A727D" w:rsidRPr="00B31BEB">
        <w:rPr>
          <w:noProof/>
        </w:rPr>
        <w:t xml:space="preserve">ters </w:t>
      </w:r>
      <w:r w:rsidR="00D348C0" w:rsidRPr="00B31BEB">
        <w:rPr>
          <w:noProof/>
        </w:rPr>
        <w:t>attribute post-information increases with age</w:t>
      </w:r>
      <w:r w:rsidR="005A118D" w:rsidRPr="00B31BEB">
        <w:rPr>
          <w:noProof/>
        </w:rPr>
        <w:t>.</w:t>
      </w:r>
      <w:r w:rsidR="00D348C0" w:rsidRPr="00B31BEB" w:rsidDel="00D348C0">
        <w:rPr>
          <w:noProof/>
        </w:rPr>
        <w:t xml:space="preserve"> </w:t>
      </w:r>
    </w:p>
    <w:p w:rsidR="0051710A" w:rsidRPr="00B31BEB" w:rsidRDefault="0051710A" w:rsidP="00620A89">
      <w:pPr>
        <w:tabs>
          <w:tab w:val="center" w:pos="4800"/>
          <w:tab w:val="right" w:pos="9500"/>
        </w:tabs>
        <w:ind w:firstLine="720"/>
        <w:rPr>
          <w:noProof/>
        </w:rPr>
      </w:pPr>
      <w:r w:rsidRPr="00B31BEB">
        <w:rPr>
          <w:noProof/>
        </w:rPr>
        <w:t xml:space="preserve">The rest of the article is organized as follows. The next section describes the data and methods. Empirical results are provided in the third section while </w:t>
      </w:r>
      <w:r w:rsidR="00B4239C" w:rsidRPr="00B31BEB">
        <w:rPr>
          <w:noProof/>
        </w:rPr>
        <w:t xml:space="preserve">the last </w:t>
      </w:r>
      <w:r w:rsidRPr="00B31BEB">
        <w:rPr>
          <w:noProof/>
        </w:rPr>
        <w:t xml:space="preserve">section provides the discussion, concluding remarks and limitations.  </w:t>
      </w:r>
    </w:p>
    <w:p w:rsidR="00B124EB" w:rsidRPr="00B31BEB" w:rsidRDefault="00BB504B" w:rsidP="00B124EB">
      <w:pPr>
        <w:pStyle w:val="Heading1"/>
      </w:pPr>
      <w:r w:rsidRPr="00B31BEB">
        <w:t>Data and Methods</w:t>
      </w:r>
    </w:p>
    <w:p w:rsidR="00EB3F7B" w:rsidRPr="00B31BEB" w:rsidRDefault="00FE7F93" w:rsidP="00EB3F7B">
      <w:pPr>
        <w:pStyle w:val="Heading2"/>
      </w:pPr>
      <w:r w:rsidRPr="00B31BEB">
        <w:t>Choice experiment</w:t>
      </w:r>
    </w:p>
    <w:p w:rsidR="00EB3F7B" w:rsidRPr="00B31BEB" w:rsidRDefault="00717D6C" w:rsidP="00EB3F7B">
      <w:pPr>
        <w:pStyle w:val="Paragraph"/>
        <w:rPr>
          <w:noProof/>
        </w:rPr>
      </w:pPr>
      <w:r w:rsidRPr="00B31BEB">
        <w:rPr>
          <w:noProof/>
        </w:rPr>
        <w:t xml:space="preserve">A discrete choice experiment was used to investigate the impact of website attributes on website choices. Eight attributes were used to hypothesize webshops. The </w:t>
      </w:r>
      <w:r w:rsidRPr="00B31BEB">
        <w:rPr>
          <w:i/>
          <w:iCs/>
          <w:noProof/>
        </w:rPr>
        <w:t>delivery time</w:t>
      </w:r>
      <w:r w:rsidRPr="00B31BEB">
        <w:rPr>
          <w:noProof/>
        </w:rPr>
        <w:t xml:space="preserve"> and </w:t>
      </w:r>
      <w:r w:rsidRPr="00B31BEB">
        <w:rPr>
          <w:i/>
          <w:iCs/>
          <w:noProof/>
        </w:rPr>
        <w:t>delivery price</w:t>
      </w:r>
      <w:r w:rsidRPr="00B31BEB">
        <w:rPr>
          <w:noProof/>
        </w:rPr>
        <w:t xml:space="preserve"> attributes indicated how fast and at what cost items ordered on the webshop could be delivered. The </w:t>
      </w:r>
      <w:r w:rsidRPr="00B31BEB">
        <w:rPr>
          <w:i/>
          <w:iCs/>
          <w:noProof/>
        </w:rPr>
        <w:t>returns</w:t>
      </w:r>
      <w:r w:rsidRPr="00B31BEB">
        <w:rPr>
          <w:noProof/>
        </w:rPr>
        <w:t xml:space="preserve"> attribute indicated whether customers had to incur extra costs in returning items. This may happen in case customers ordered on the webshop and were not happy with the delivered item. The other attributes were: webshop’s usability and friendliness </w:t>
      </w:r>
      <w:r w:rsidRPr="00B31BEB">
        <w:rPr>
          <w:i/>
          <w:iCs/>
          <w:noProof/>
        </w:rPr>
        <w:t>rating</w:t>
      </w:r>
      <w:r w:rsidRPr="00B31BEB">
        <w:rPr>
          <w:noProof/>
        </w:rPr>
        <w:t xml:space="preserve">, </w:t>
      </w:r>
      <w:r w:rsidRPr="00B31BEB">
        <w:rPr>
          <w:i/>
          <w:iCs/>
          <w:noProof/>
        </w:rPr>
        <w:t>discount</w:t>
      </w:r>
      <w:r w:rsidRPr="00B31BEB">
        <w:rPr>
          <w:noProof/>
        </w:rPr>
        <w:t xml:space="preserve"> offered on repeat orders on the webshop, presence of </w:t>
      </w:r>
      <w:r w:rsidRPr="00B31BEB">
        <w:rPr>
          <w:i/>
          <w:iCs/>
          <w:noProof/>
        </w:rPr>
        <w:t>trust labels</w:t>
      </w:r>
      <w:r w:rsidRPr="00B31BEB">
        <w:rPr>
          <w:noProof/>
        </w:rPr>
        <w:t xml:space="preserve"> on the webshop, whether the webshop had </w:t>
      </w:r>
      <w:r w:rsidR="00875331" w:rsidRPr="00B31BEB">
        <w:rPr>
          <w:noProof/>
        </w:rPr>
        <w:t xml:space="preserve">Belgian </w:t>
      </w:r>
      <w:r w:rsidRPr="00B31BEB">
        <w:rPr>
          <w:noProof/>
        </w:rPr>
        <w:t>or non-</w:t>
      </w:r>
      <w:r w:rsidR="00875331" w:rsidRPr="00B31BEB">
        <w:rPr>
          <w:noProof/>
        </w:rPr>
        <w:t xml:space="preserve">Belgian </w:t>
      </w:r>
      <w:r w:rsidRPr="00B31BEB">
        <w:rPr>
          <w:i/>
          <w:iCs/>
          <w:noProof/>
        </w:rPr>
        <w:t>headquarters</w:t>
      </w:r>
      <w:r w:rsidRPr="00B31BEB">
        <w:rPr>
          <w:noProof/>
        </w:rPr>
        <w:t xml:space="preserve"> and the shipping </w:t>
      </w:r>
      <w:r w:rsidRPr="00B31BEB">
        <w:rPr>
          <w:i/>
          <w:iCs/>
          <w:noProof/>
        </w:rPr>
        <w:t>distance</w:t>
      </w:r>
      <w:r w:rsidRPr="00B31BEB">
        <w:rPr>
          <w:noProof/>
        </w:rPr>
        <w:t xml:space="preserve"> for e-purchased items. These eight are among the more influential webshop attributes known to</w:t>
      </w:r>
      <w:r w:rsidR="00352A7C" w:rsidRPr="00B31BEB">
        <w:rPr>
          <w:noProof/>
        </w:rPr>
        <w:t xml:space="preserve"> influence online purchase intentions</w:t>
      </w:r>
      <w:r w:rsidR="0013242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{"citationItems":[{"id":"ITEM-1","itemData":{"DOI":"10.1108/10662240410530835","ISSN":"10662243","abstract":"Addresses one of the fundamental issues of e-marketing: how to attract and win over the consumer in the highly competitive Internet marketplace. Analyses the factors affecting the online consumer's behavior and examines how e-marketers can influence the outcome of the virtual interaction and buying process by focusing their marketing efforts on elements shaping the customer's virtual experience, the Web experience. Identifying the Web experience components and understanding their role as inputs in the online customer's decision-making process are the first step in developing and delivering an attractive online presence likely to have the maximum impact on Internet users. Click-and-mortar firms delivering superior Web experience influence their physical clients’ perceptions and attitudes, driving additional traffic to traditional sales outlets. Provides a contribution to the theoretical debate around the factors influencing the online consumer's behavior and outlines some noticeable similarities and differences between the traditional and virtual consumers. © 2004, Emerald Group Publishing Limited","author":[{"dropping-particle":"","family":"Constantinides","given":"Efthymios","non-dropping-particle":"","parse-names":false,"suffix":""}],"container-title":"Internet Research","id":"ITEM-1","issue":"2","issued":{"date-parts":[["2004"]]},"page":"111-126","title":"Influencing the online consumer's behavior: The Web experience","type":"article","volume":"14"},"uris":["http://www.mendeley.com/documents/?uuid=434caae0-c7ee-4459-bb7c-e337306a2719"]},{"id":"ITEM-2","itemData":{"abstract":"Electronic Business (e-Business) is revolutionizing the way of communication between internal and external stakeholders in an organization. E-business can lead to competitive advantage and at the same time, increase profitability. There are several factors resulting on the success of e-business. One of the most important factors is trust. Acquiring customers' trust depends on many things that an e-business controls. Some relating factors for gaining customers' trust are: appeal of the website, product/service offering, branding, quality of service, and trusted seals. Actually, trust can be viewed from many angles such as transaction, information content, product, technology, and institution. There are huge numbers of impact on the way businesses think about designing, developing, and deploying Web-based applications. Web services may be an evolutionary step in designing distributed applications; however, they are not without problems. Therefore, we have to concern on the issue which is relating to the security in web-services of e-business. This paper discusses the issues relating to problems and prospects rose of the trust and security in e-business and also addressed security concerns in web services. It also discusses on the role of trust from the transaction perspective and analyses the things that what business could do in building customer trust.","author":[{"dropping-particle":"","family":"Velmurugan","given":"Manivannan Senthil","non-dropping-particle":"","parse-names":false,"suffix":""}],"container-title":"International Journal of Electronic Business Management","id":"ITEM-2","issue":"3","issued":{"date-parts":[["2009"]]},"page":"151-158","title":"Security and Trust in E-Business: Problems and Prospects","type":"article-journal","volume":"7"},"uris":["http://www.mendeley.com/documents/?uuid=10822147-7094-4c48-a615-0ed3b4d41c86"]},{"id":"ITEM-3","itemData":{"DOI":"10.1016/j.jbusres.2009.01.023","ISSN":"01482963","abstract":"Prior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Research","id":"ITEM-3","issue":"9-10","issued":{"date-parts":[["2010"]]},"page":"1007-1014","title":"Website attributes that increase consumer purchase intention: A conjoint analysis","type":"article-journal","volume":"63"},"uris":["http://www.mendeley.com/documents/?uuid=b837e457-dbc6-4d03-b986-598e17c96db3"]},{"id":"ITEM-4","itemData":{"DOI":"10.1108/IntR-09-2016-0280","ISSN":"10662243","abstract":"Purpose: The purpose of this paper is to advance product appeal and website appeal as focal psychological mechanisms that can be invoked by business-to-consumer e-commerce sites to mitigate problems of information asymmetry via signaling to bolster consumers’ purchase intention under the influence of trust. Design/methodology/approach: Survey approach was employed to validate the research model. Findings: Website appeal partially mediates the positive effect of product appeal on consumers’ purchase intention. Trust in e-commerce sites not only increases purchase intention directly, but it also reinforces the positive relationship between website appeal and purchase intention while attenuating the positive relationship between product appeal and purchase intention. Service content quality, search delivery quality, and enjoyment are confirmed as positive antecedents of website appeal whereas diagnosticity and justifiability are established as positive antecedents of product appeal. Research limitations/implications: This study not only delineates product and website appeal as complementary drivers of consumer purchase on e-commerce sites, but it also derives five signals that aid in bolstering both product and website appeal. Trust is revealed to exert a moderating influence on the impact of product and website appeal on purchase intention. Practical implications: Practitioners should prioritize their resource allocation to enhance qualities most pertinent to product and website appeal. E-commerce sites should offer product-oriented functionalities to facilitate product diagnosticity and reassure consumers of their purchase decisions. Originality/value: This study distinguishes between product and website appeal as well as between their respective antecedents. It also uncovers how trust can alter the effects of both website and product appeal on consumers’ purchase intention.","author":[{"dropping-particle":"","family":"Liu","given":"Fei","non-dropping-particle":"","parse-names":false,"suffix":""},{"dropping-particle":"","family":"Xiao","given":"Bo","non-dropping-particle":"","parse-names":false,"suffix":""},{"dropping-particle":"","family":"Lim","given":"Eric T.K.","non-dropping-particle":"","parse-names":false,"suffix":""},{"dropping-particle":"","family":"Tan","given":"Chee Wee","non-dropping-particle":"","parse-names":false,"suffix":""}],"container-title":"Internet Research","id":"ITEM-4","issue":"4","issued":{"date-parts":[["2017"]]},"page":"752-771","title":"The art of appeal in electronic commerce: Understanding the impact of product and website quality on online purchases","type":"article-journal","volume":"27"},"uris":["http://www.mendeley.com/documents/?uuid=b8fcd79b-d0cd-4f57-a31d-c765b1172869"]}],"mendeley":{"formattedCitation":"[7; 12; 47; 80]","plainTextFormattedCitation":"[7; 12; 47; 80]","previouslyFormattedCitation":"[7; 12; 47; 80]"},"properties":{"noteIndex":0},"schema":"https://github.com/citation-style-language/schema/raw/master/csl-citation.json"}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12; 47; 80]</w:t>
      </w:r>
      <w:r w:rsidR="000A3492" w:rsidRPr="00B31BEB">
        <w:rPr>
          <w:rStyle w:val="FootnoteReference"/>
          <w:noProof/>
        </w:rPr>
        <w:fldChar w:fldCharType="end"/>
      </w:r>
      <w:r w:rsidR="00352A7C" w:rsidRPr="00B31BEB">
        <w:rPr>
          <w:noProof/>
        </w:rPr>
        <w:t xml:space="preserve">. The choice of the headquarters and distance attributes was partly motivated by the </w:t>
      </w:r>
      <w:r w:rsidR="00875331" w:rsidRPr="00B31BEB">
        <w:rPr>
          <w:noProof/>
        </w:rPr>
        <w:t xml:space="preserve">Belgians’ </w:t>
      </w:r>
      <w:r w:rsidR="00352A7C" w:rsidRPr="00B31BEB">
        <w:rPr>
          <w:noProof/>
        </w:rPr>
        <w:t>considerable readiness to purchase items from foreign webshops</w:t>
      </w:r>
      <w:r w:rsidR="00C106A4" w:rsidRPr="00B31BEB">
        <w:rPr>
          <w:noProof/>
        </w:rPr>
        <w:t xml:space="preserve"> </w:t>
      </w:r>
      <w:r w:rsidR="00C106A4" w:rsidRPr="00B31BEB">
        <w:rPr>
          <w:noProof/>
        </w:rPr>
        <w:fldChar w:fldCharType="begin" w:fldLock="1"/>
      </w:r>
      <w:r w:rsidR="00E23587" w:rsidRPr="00B31BEB">
        <w:rPr>
          <w:noProof/>
        </w:rPr>
        <w:instrText>ADDIN CSL_CITATION {"citationItems":[{"id":"ITEM-1","itemData":{"DOI":"10.1016/j.telpol.2018.03.006","ISSN":"03085961","abstract":"This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Policy","id":"ITEM-1","issue":"6","issued":{"date-parts":[["2018"]]},"page":"464-473","publisher":"Elsevier","title":"Drivers and barriers to cross-border e-commerce: Evidence from Spanish individual behavior","type":"article-journal","volume":"42"},"uris":["http://www.mendeley.com/documents/?uuid=47e2efee-e9f4-4167-8e5d-6ffbcffa5ce8"]},{"id":"ITEM-2","itemData":{"DOI":"10.1016/j.infoecopol.2014.05.002","ISSN":"01676245","abstract":"The rise of the internet is often associated with the \"death of distance\" or at least the decreasing relevance of geographical distance in the supply of information. We investigate whether distance still matters for online trade in physical goods. We use data from an online consumer survey panel on online cross-border trade in goods in a linguistically fragmented EU market. The analysis confirms that distance-related trade costs are greatly reduced compared to offline trade in the same goods. However, language-related trade costs increase. Moreover, online trade introduces new sources of trade costs such as parcel delivery and online payments systems. On balance, there are no indications that online trade is less biased in favour of home market products than offline trade. We examine options available to policy makers to boost cross-border e-commerce in the EU Digital Single Market. A 1% increase in the use of efficient and flexible cross-border payment systems could increase cross-border e-commerce by as much as 7%. We also show that online trade gives a comparative advantage to English-language exporting countries. © 2014 Elsevier B.V.","author":[{"dropping-particle":"","family":"Gomez-Herrera","given":"Estrella","non-dropping-particle":"","parse-names":false,"suffix":""},{"dropping-particle":"","family":"Martens","given":"Bertin","non-dropping-particle":"","parse-names":false,"suffix":""},{"dropping-particle":"","family":"Turlea","given":"Geomina","non-dropping-particle":"","parse-names":false,"suffix":""}],"container-title":"Information Economics and Policy","id":"ITEM-2","issue":"1","issued":{"date-parts":[["2014"]]},"page":"83-96","title":"The drivers and impediments for cross-border e-commerce in the EU","type":"article-journal","volume":"28"},"uris":["http://www.mendeley.com/documents/?uuid=3f4b7833-722b-4e79-90cc-3556d0c9a32a"]}],"mendeley":{"formattedCitation":"[23; 79]","plainTextFormattedCitation":"[23; 79]","previouslyFormattedCitation":"[23; 79]"},"properties":{"noteIndex":0},"schema":"https://github.com/citation-style-language/schema/raw/master/csl-citation.json"}</w:instrText>
      </w:r>
      <w:r w:rsidR="00C106A4" w:rsidRPr="00B31BEB">
        <w:rPr>
          <w:noProof/>
        </w:rPr>
        <w:fldChar w:fldCharType="separate"/>
      </w:r>
      <w:r w:rsidR="00F8005E" w:rsidRPr="00B31BEB">
        <w:rPr>
          <w:noProof/>
        </w:rPr>
        <w:t>[23; 79]</w:t>
      </w:r>
      <w:r w:rsidR="00C106A4" w:rsidRPr="00B31BEB">
        <w:rPr>
          <w:noProof/>
        </w:rPr>
        <w:fldChar w:fldCharType="end"/>
      </w:r>
      <w:r w:rsidR="00352A7C" w:rsidRPr="00B31BEB">
        <w:rPr>
          <w:noProof/>
        </w:rPr>
        <w:t xml:space="preserve">, as well as to investigate the opportunities and challenges towards the EU Digital Single Market policy agenda </w:t>
      </w:r>
      <w:r w:rsidR="000A3492" w:rsidRPr="00B31BEB">
        <w:rPr>
          <w:rStyle w:val="FootnoteReference"/>
          <w:noProof/>
        </w:rPr>
        <w:fldChar w:fldCharType="begin" w:fldLock="1"/>
      </w:r>
      <w:r w:rsidR="00E23587" w:rsidRPr="00B31BEB">
        <w:rPr>
          <w:noProof/>
        </w:rPr>
        <w:instrText>ADDIN CSL_CITATION {"citationItems":[{"id":"ITEM-1","itemData":{"DOI":"10.1016/j.infoecopol.2014.05.002","ISSN":"01676245","abstract":"The rise of the internet is often associated with the \"death of distance\" or at least the decreasing relevance of geographical distance in the supply of information. We investigate whether distance still matters for online trade in physical goods. We use data from an online consumer survey panel on online cross-border trade in goods in a linguistically fragmented EU market. The analysis confirms that distance-related trade costs are greatly reduced compared to offline trade in the same goods. However, language-related trade costs increase. Moreover, online trade introduces new sources of trade costs such as parcel delivery and online payments systems. On balance, there are no indications that online trade is less biased in favour of home market products than offline trade. We examine options available to policy makers to boost cross-border e-commerce in the EU Digital Single Market. A 1% increase in the use of efficient and flexible cross-border payment systems could increase cross-border e-commerce by as much as 7%. We also show that online trade gives a comparative advantage to English-language exporting countries. © 2014 Elsevier B.V.","author":[{"dropping-particle":"","family":"Gomez-Herrera","given":"Estrella","non-dropping-particle":"","parse-names":false,"suffix":""},{"dropping-particle":"","family":"Martens","given":"Bertin","non-dropping-particle":"","parse-names":false,"suffix":""},{"dropping-particle":"","family":"Turlea","given":"Geomina","non-dropping-particle":"","parse-names":false,"suffix":""}],"container-title":"Information Economics and Policy","id":"ITEM-1","issue":"1","issued":{"date-parts":[["2014"]]},"page":"83-96","title":"The drivers and impediments for cross-border e-commerce in the EU","type":"article-journal","volume":"28"},"uris":["http://www.mendeley.com/documents/?uuid=3f4b7833-722b-4e79-90cc-3556d0c9a32a"]},{"id":"ITEM-2","itemData":{"DOI":"10.1016/j.telpol.2018.03.006","ISSN":"03085961","abstract":"This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Policy","id":"ITEM-2","issue":"6","issued":{"date-parts":[["2018"]]},"page":"464-473","publisher":"Elsevier","title":"Drivers and barriers to cross-border e-commerce: Evidence from Spanish individual behavior","type":"article-journal","volume":"42"},"uris":["http://www.mendeley.com/documents/?uuid=47e2efee-e9f4-4167-8e5d-6ffbcffa5ce8"]},{"id":"ITEM-3","itemData":{"DOI":"10.1080/10864415.2016.1234283","ISSN":"15579301","abstract":"This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Commerce","id":"ITEM-3","issue":"2","issued":{"date-parts":[["2017"]]},"page":"184-218","title":"Cross-border electronic commerce: Distance effects and express delivery in European union markets","type":"article-journal","volume":"21"},"uris":["http://www.mendeley.com/documents/?uuid=ad665ba8-5659-45b7-afb7-4950bc45e3c3"]}],"mendeley":{"formattedCitation":"[23; 37; 79]","plainTextFormattedCitation":"[23; 37; 79]","previouslyFormattedCitation":"[23; 37; 79]"},"properties":{"noteIndex":0},"schema":"https://github.com/citation-style-language/schema/raw/master/csl-citation.json"}</w:instrText>
      </w:r>
      <w:r w:rsidR="000A3492" w:rsidRPr="00B31BEB">
        <w:rPr>
          <w:rStyle w:val="FootnoteReference"/>
          <w:noProof/>
        </w:rPr>
        <w:fldChar w:fldCharType="separate"/>
      </w:r>
      <w:r w:rsidR="00F8005E" w:rsidRPr="00B31BEB">
        <w:rPr>
          <w:noProof/>
        </w:rPr>
        <w:t>[23; 37; 79]</w:t>
      </w:r>
      <w:r w:rsidR="000A3492" w:rsidRPr="00B31BEB">
        <w:rPr>
          <w:rStyle w:val="FootnoteReference"/>
          <w:noProof/>
        </w:rPr>
        <w:fldChar w:fldCharType="end"/>
      </w:r>
      <w:r w:rsidR="00352A7C" w:rsidRPr="00B31BEB">
        <w:rPr>
          <w:noProof/>
        </w:rPr>
        <w:t xml:space="preserve">. The study’s attributes and attribute level descriptions are provided in Table 1.  </w:t>
      </w:r>
    </w:p>
    <w:p w:rsidR="003B709D" w:rsidRPr="00B31BEB" w:rsidRDefault="003B709D" w:rsidP="003B709D">
      <w:pPr>
        <w:pStyle w:val="Newparagraph"/>
      </w:pPr>
      <w:r w:rsidRPr="00B31BEB">
        <w:lastRenderedPageBreak/>
        <w:t xml:space="preserve">Table 1. </w:t>
      </w:r>
      <w:r w:rsidR="00084CCB" w:rsidRPr="00B31BEB">
        <w:rPr>
          <w:noProof/>
        </w:rPr>
        <w:t>Attributes descriptions and attribute levels</w:t>
      </w:r>
    </w:p>
    <w:tbl>
      <w:tblPr>
        <w:tblStyle w:val="TableGrid"/>
        <w:tblW w:w="8602" w:type="dxa"/>
        <w:jc w:val="center"/>
        <w:tblLook w:val="04A0" w:firstRow="1" w:lastRow="0" w:firstColumn="1" w:lastColumn="0" w:noHBand="0" w:noVBand="1"/>
      </w:tblPr>
      <w:tblGrid>
        <w:gridCol w:w="1716"/>
        <w:gridCol w:w="1176"/>
        <w:gridCol w:w="3887"/>
        <w:gridCol w:w="1823"/>
      </w:tblGrid>
      <w:tr w:rsidR="00B31BEB" w:rsidRPr="00B31BEB" w:rsidTr="008B0F90">
        <w:trPr>
          <w:jc w:val="center"/>
        </w:trPr>
        <w:tc>
          <w:tcPr>
            <w:tcW w:w="1716" w:type="dxa"/>
            <w:tcBorders>
              <w:top w:val="single" w:sz="4" w:space="0" w:color="auto"/>
              <w:left w:val="nil"/>
              <w:bottom w:val="single" w:sz="4" w:space="0" w:color="auto"/>
              <w:right w:val="nil"/>
            </w:tcBorders>
          </w:tcPr>
          <w:p w:rsidR="009662E5" w:rsidRPr="00B31BEB" w:rsidRDefault="009662E5" w:rsidP="00CA3B54">
            <w:pPr>
              <w:pStyle w:val="Newparagraph"/>
              <w:ind w:firstLine="0"/>
            </w:pPr>
            <w:r w:rsidRPr="00B31BEB">
              <w:t>Attribute</w:t>
            </w:r>
          </w:p>
        </w:tc>
        <w:tc>
          <w:tcPr>
            <w:tcW w:w="1176" w:type="dxa"/>
            <w:tcBorders>
              <w:top w:val="single" w:sz="4" w:space="0" w:color="auto"/>
              <w:left w:val="nil"/>
              <w:bottom w:val="single" w:sz="4" w:space="0" w:color="auto"/>
              <w:right w:val="nil"/>
            </w:tcBorders>
          </w:tcPr>
          <w:p w:rsidR="009662E5" w:rsidRPr="00B31BEB" w:rsidRDefault="009662E5" w:rsidP="00CA3B54">
            <w:pPr>
              <w:pStyle w:val="Newparagraph"/>
              <w:ind w:firstLine="0"/>
            </w:pPr>
            <w:r w:rsidRPr="00B31BEB">
              <w:t>Notation</w:t>
            </w:r>
          </w:p>
        </w:tc>
        <w:tc>
          <w:tcPr>
            <w:tcW w:w="3887" w:type="dxa"/>
            <w:tcBorders>
              <w:top w:val="single" w:sz="4" w:space="0" w:color="auto"/>
              <w:left w:val="nil"/>
              <w:bottom w:val="single" w:sz="4" w:space="0" w:color="auto"/>
              <w:right w:val="nil"/>
            </w:tcBorders>
          </w:tcPr>
          <w:p w:rsidR="009662E5" w:rsidRPr="00B31BEB" w:rsidRDefault="009662E5" w:rsidP="00CA3B54">
            <w:pPr>
              <w:pStyle w:val="Newparagraph"/>
              <w:ind w:firstLine="0"/>
            </w:pPr>
            <w:r w:rsidRPr="00B31BEB">
              <w:t>Description</w:t>
            </w:r>
          </w:p>
        </w:tc>
        <w:tc>
          <w:tcPr>
            <w:tcW w:w="1823" w:type="dxa"/>
            <w:tcBorders>
              <w:top w:val="single" w:sz="4" w:space="0" w:color="auto"/>
              <w:left w:val="nil"/>
              <w:bottom w:val="single" w:sz="4" w:space="0" w:color="auto"/>
              <w:right w:val="nil"/>
            </w:tcBorders>
          </w:tcPr>
          <w:p w:rsidR="009662E5" w:rsidRPr="00B31BEB" w:rsidRDefault="009662E5" w:rsidP="00CA3B54">
            <w:pPr>
              <w:pStyle w:val="Newparagraph"/>
              <w:ind w:firstLine="0"/>
            </w:pPr>
            <w:r w:rsidRPr="00B31BEB">
              <w:t>Attribute levels</w:t>
            </w:r>
          </w:p>
        </w:tc>
      </w:tr>
      <w:tr w:rsidR="00B31BEB" w:rsidRPr="00B31BEB" w:rsidTr="0035609B">
        <w:trPr>
          <w:jc w:val="center"/>
        </w:trPr>
        <w:tc>
          <w:tcPr>
            <w:tcW w:w="1716" w:type="dxa"/>
            <w:tcBorders>
              <w:top w:val="single" w:sz="4" w:space="0" w:color="auto"/>
              <w:left w:val="nil"/>
              <w:bottom w:val="nil"/>
              <w:right w:val="nil"/>
            </w:tcBorders>
          </w:tcPr>
          <w:p w:rsidR="009662E5" w:rsidRPr="00B31BEB" w:rsidRDefault="009F11B9" w:rsidP="00CA3B54">
            <w:pPr>
              <w:pStyle w:val="Newparagraph"/>
              <w:ind w:firstLine="0"/>
            </w:pPr>
            <w:r w:rsidRPr="00B31BEB">
              <w:t>Delivery time</w:t>
            </w:r>
          </w:p>
        </w:tc>
        <w:tc>
          <w:tcPr>
            <w:tcW w:w="1176" w:type="dxa"/>
            <w:tcBorders>
              <w:top w:val="single" w:sz="4" w:space="0" w:color="auto"/>
              <w:left w:val="nil"/>
              <w:bottom w:val="nil"/>
              <w:right w:val="nil"/>
            </w:tcBorders>
          </w:tcPr>
          <w:p w:rsidR="009662E5" w:rsidRPr="00B31BEB" w:rsidRDefault="003F205B" w:rsidP="003F205B">
            <w:pPr>
              <w:pStyle w:val="Newparagraph"/>
              <w:ind w:firstLine="0"/>
            </w:pPr>
            <w:r w:rsidRPr="00B31BEB">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15" o:title=""/>
                </v:shape>
                <o:OLEObject Type="Embed" ProgID="Equation.DSMT4" ShapeID="_x0000_i1025" DrawAspect="Content" ObjectID="_1649081627" r:id="rId16"/>
              </w:object>
            </w:r>
          </w:p>
        </w:tc>
        <w:tc>
          <w:tcPr>
            <w:tcW w:w="3887" w:type="dxa"/>
            <w:tcBorders>
              <w:top w:val="single" w:sz="4" w:space="0" w:color="auto"/>
              <w:left w:val="nil"/>
              <w:bottom w:val="nil"/>
              <w:right w:val="nil"/>
            </w:tcBorders>
          </w:tcPr>
          <w:p w:rsidR="009662E5" w:rsidRPr="00B31BEB" w:rsidRDefault="00943CA9" w:rsidP="00CA3B54">
            <w:pPr>
              <w:pStyle w:val="Newparagraph"/>
              <w:ind w:firstLine="0"/>
            </w:pPr>
            <w:r w:rsidRPr="00B31BEB">
              <w:t>Duration (in days) for item delivery</w:t>
            </w:r>
          </w:p>
        </w:tc>
        <w:tc>
          <w:tcPr>
            <w:tcW w:w="1823" w:type="dxa"/>
            <w:tcBorders>
              <w:top w:val="single" w:sz="4" w:space="0" w:color="auto"/>
              <w:left w:val="nil"/>
              <w:bottom w:val="nil"/>
              <w:right w:val="nil"/>
            </w:tcBorders>
          </w:tcPr>
          <w:p w:rsidR="009662E5" w:rsidRPr="00B31BEB" w:rsidRDefault="002609BC" w:rsidP="00CA3B54">
            <w:pPr>
              <w:pStyle w:val="Newparagraph"/>
              <w:ind w:firstLine="0"/>
            </w:pPr>
            <w:r w:rsidRPr="00B31BEB">
              <w:t>1, 3, 6</w:t>
            </w:r>
          </w:p>
        </w:tc>
      </w:tr>
      <w:tr w:rsidR="00B31BEB" w:rsidRPr="00B31BEB" w:rsidTr="0035609B">
        <w:trPr>
          <w:jc w:val="center"/>
        </w:trPr>
        <w:tc>
          <w:tcPr>
            <w:tcW w:w="1716" w:type="dxa"/>
            <w:tcBorders>
              <w:top w:val="nil"/>
              <w:left w:val="nil"/>
              <w:bottom w:val="nil"/>
              <w:right w:val="nil"/>
            </w:tcBorders>
          </w:tcPr>
          <w:p w:rsidR="009662E5" w:rsidRPr="00B31BEB" w:rsidRDefault="008A1DF3" w:rsidP="00CA3B54">
            <w:pPr>
              <w:pStyle w:val="Newparagraph"/>
              <w:ind w:firstLine="0"/>
            </w:pPr>
            <w:r w:rsidRPr="00B31BEB">
              <w:t>Delivery price</w:t>
            </w:r>
          </w:p>
        </w:tc>
        <w:tc>
          <w:tcPr>
            <w:tcW w:w="1176" w:type="dxa"/>
            <w:tcBorders>
              <w:top w:val="nil"/>
              <w:left w:val="nil"/>
              <w:bottom w:val="nil"/>
              <w:right w:val="nil"/>
            </w:tcBorders>
          </w:tcPr>
          <w:p w:rsidR="009662E5" w:rsidRPr="00B31BEB" w:rsidRDefault="003F205B" w:rsidP="003F205B">
            <w:pPr>
              <w:pStyle w:val="Newparagraph"/>
              <w:ind w:firstLine="0"/>
            </w:pPr>
            <w:r w:rsidRPr="00B31BEB">
              <w:rPr>
                <w:position w:val="-12"/>
              </w:rPr>
              <w:object w:dxaOrig="279" w:dyaOrig="360">
                <v:shape id="_x0000_i1026" type="#_x0000_t75" style="width:13.8pt;height:18pt" o:ole="">
                  <v:imagedata r:id="rId17" o:title=""/>
                </v:shape>
                <o:OLEObject Type="Embed" ProgID="Equation.DSMT4" ShapeID="_x0000_i1026" DrawAspect="Content" ObjectID="_1649081628" r:id="rId18"/>
              </w:object>
            </w:r>
          </w:p>
        </w:tc>
        <w:tc>
          <w:tcPr>
            <w:tcW w:w="3887" w:type="dxa"/>
            <w:tcBorders>
              <w:top w:val="nil"/>
              <w:left w:val="nil"/>
              <w:bottom w:val="nil"/>
              <w:right w:val="nil"/>
            </w:tcBorders>
          </w:tcPr>
          <w:p w:rsidR="009662E5" w:rsidRPr="00B31BEB" w:rsidRDefault="006F7A89" w:rsidP="00A73CD7">
            <w:pPr>
              <w:pStyle w:val="Newparagraph"/>
              <w:ind w:firstLine="0"/>
            </w:pPr>
            <w:r w:rsidRPr="00B31BEB">
              <w:t>Cost (in</w:t>
            </w:r>
            <w:r w:rsidR="00A73CD7" w:rsidRPr="00B31BEB">
              <w:rPr>
                <w:position w:val="-6"/>
              </w:rPr>
              <w:object w:dxaOrig="200" w:dyaOrig="279">
                <v:shape id="_x0000_i1027" type="#_x0000_t75" style="width:10.8pt;height:13.8pt" o:ole="">
                  <v:imagedata r:id="rId19" o:title=""/>
                </v:shape>
                <o:OLEObject Type="Embed" ProgID="Equation.DSMT4" ShapeID="_x0000_i1027" DrawAspect="Content" ObjectID="_1649081629" r:id="rId20"/>
              </w:object>
            </w:r>
            <w:r w:rsidR="00943CA9" w:rsidRPr="00B31BEB">
              <w:t>s) for item delivery when ordered on the webshop</w:t>
            </w:r>
          </w:p>
        </w:tc>
        <w:tc>
          <w:tcPr>
            <w:tcW w:w="1823" w:type="dxa"/>
            <w:tcBorders>
              <w:top w:val="nil"/>
              <w:left w:val="nil"/>
              <w:bottom w:val="nil"/>
              <w:right w:val="nil"/>
            </w:tcBorders>
          </w:tcPr>
          <w:p w:rsidR="009662E5" w:rsidRPr="00B31BEB" w:rsidRDefault="004B2109" w:rsidP="00CA3B54">
            <w:pPr>
              <w:pStyle w:val="Newparagraph"/>
              <w:ind w:firstLine="0"/>
            </w:pPr>
            <w:r w:rsidRPr="00B31BEB">
              <w:t>0, 4, 8</w:t>
            </w:r>
          </w:p>
        </w:tc>
      </w:tr>
      <w:tr w:rsidR="00B31BEB" w:rsidRPr="00B31BEB" w:rsidTr="0035609B">
        <w:trPr>
          <w:jc w:val="center"/>
        </w:trPr>
        <w:tc>
          <w:tcPr>
            <w:tcW w:w="1716" w:type="dxa"/>
            <w:tcBorders>
              <w:top w:val="nil"/>
              <w:left w:val="nil"/>
              <w:bottom w:val="nil"/>
              <w:right w:val="nil"/>
            </w:tcBorders>
          </w:tcPr>
          <w:p w:rsidR="008F4514" w:rsidRPr="00B31BEB" w:rsidRDefault="008F4514" w:rsidP="008F4514">
            <w:pPr>
              <w:pStyle w:val="Newparagraph"/>
              <w:ind w:firstLine="0"/>
            </w:pPr>
            <w:r w:rsidRPr="00B31BEB">
              <w:t>Returns</w:t>
            </w:r>
          </w:p>
        </w:tc>
        <w:tc>
          <w:tcPr>
            <w:tcW w:w="1176" w:type="dxa"/>
            <w:tcBorders>
              <w:top w:val="nil"/>
              <w:left w:val="nil"/>
              <w:bottom w:val="nil"/>
              <w:right w:val="nil"/>
            </w:tcBorders>
          </w:tcPr>
          <w:p w:rsidR="008F4514" w:rsidRPr="00B31BEB" w:rsidRDefault="003F205B" w:rsidP="003F205B">
            <w:pPr>
              <w:pStyle w:val="Newparagraph"/>
              <w:ind w:firstLine="0"/>
            </w:pPr>
            <w:r w:rsidRPr="00B31BEB">
              <w:rPr>
                <w:position w:val="-12"/>
              </w:rPr>
              <w:object w:dxaOrig="279" w:dyaOrig="360">
                <v:shape id="_x0000_i1028" type="#_x0000_t75" style="width:13.8pt;height:18pt" o:ole="">
                  <v:imagedata r:id="rId21" o:title=""/>
                </v:shape>
                <o:OLEObject Type="Embed" ProgID="Equation.DSMT4" ShapeID="_x0000_i1028" DrawAspect="Content" ObjectID="_1649081630" r:id="rId22"/>
              </w:object>
            </w:r>
          </w:p>
        </w:tc>
        <w:tc>
          <w:tcPr>
            <w:tcW w:w="3887" w:type="dxa"/>
            <w:tcBorders>
              <w:top w:val="nil"/>
              <w:left w:val="nil"/>
              <w:bottom w:val="nil"/>
              <w:right w:val="nil"/>
            </w:tcBorders>
          </w:tcPr>
          <w:p w:rsidR="008F4514" w:rsidRPr="00B31BEB" w:rsidRDefault="00A96C4C" w:rsidP="008F4514">
            <w:pPr>
              <w:pStyle w:val="Newparagraph"/>
              <w:ind w:firstLine="0"/>
            </w:pPr>
            <w:r w:rsidRPr="00B31BEB">
              <w:t>Shipping costs of item returns when ordered on the webshop</w:t>
            </w:r>
          </w:p>
        </w:tc>
        <w:tc>
          <w:tcPr>
            <w:tcW w:w="1823" w:type="dxa"/>
            <w:tcBorders>
              <w:top w:val="nil"/>
              <w:left w:val="nil"/>
              <w:bottom w:val="nil"/>
              <w:right w:val="nil"/>
            </w:tcBorders>
          </w:tcPr>
          <w:p w:rsidR="00A74A1F" w:rsidRPr="00B31BEB" w:rsidRDefault="0029570D" w:rsidP="008F4514">
            <w:pPr>
              <w:pStyle w:val="Newparagraph"/>
              <w:ind w:firstLine="0"/>
            </w:pPr>
            <w:r w:rsidRPr="00B31BEB">
              <w:t xml:space="preserve">Free (0), </w:t>
            </w:r>
          </w:p>
          <w:p w:rsidR="008F4514" w:rsidRPr="00B31BEB" w:rsidRDefault="0029570D" w:rsidP="008F4514">
            <w:pPr>
              <w:pStyle w:val="Newparagraph"/>
              <w:ind w:firstLine="0"/>
            </w:pPr>
            <w:r w:rsidRPr="00B31BEB">
              <w:t>Own cost (1)</w:t>
            </w:r>
          </w:p>
        </w:tc>
      </w:tr>
      <w:tr w:rsidR="00B31BEB" w:rsidRPr="00B31BEB" w:rsidTr="0035609B">
        <w:trPr>
          <w:jc w:val="center"/>
        </w:trPr>
        <w:tc>
          <w:tcPr>
            <w:tcW w:w="1716" w:type="dxa"/>
            <w:tcBorders>
              <w:top w:val="nil"/>
              <w:left w:val="nil"/>
              <w:bottom w:val="nil"/>
              <w:right w:val="nil"/>
            </w:tcBorders>
          </w:tcPr>
          <w:p w:rsidR="008F4514" w:rsidRPr="00B31BEB" w:rsidRDefault="008F4514" w:rsidP="008F4514">
            <w:pPr>
              <w:pStyle w:val="Newparagraph"/>
              <w:ind w:firstLine="0"/>
            </w:pPr>
            <w:r w:rsidRPr="00B31BEB">
              <w:t>Rating</w:t>
            </w:r>
          </w:p>
        </w:tc>
        <w:tc>
          <w:tcPr>
            <w:tcW w:w="1176" w:type="dxa"/>
            <w:tcBorders>
              <w:top w:val="nil"/>
              <w:left w:val="nil"/>
              <w:bottom w:val="nil"/>
              <w:right w:val="nil"/>
            </w:tcBorders>
          </w:tcPr>
          <w:p w:rsidR="008F4514" w:rsidRPr="00B31BEB" w:rsidRDefault="003F205B" w:rsidP="003F205B">
            <w:pPr>
              <w:pStyle w:val="Newparagraph"/>
              <w:ind w:firstLine="0"/>
            </w:pPr>
            <w:r w:rsidRPr="00B31BEB">
              <w:rPr>
                <w:position w:val="-12"/>
              </w:rPr>
              <w:object w:dxaOrig="279" w:dyaOrig="360">
                <v:shape id="_x0000_i1029" type="#_x0000_t75" style="width:13.8pt;height:18pt" o:ole="">
                  <v:imagedata r:id="rId23" o:title=""/>
                </v:shape>
                <o:OLEObject Type="Embed" ProgID="Equation.DSMT4" ShapeID="_x0000_i1029" DrawAspect="Content" ObjectID="_1649081631" r:id="rId24"/>
              </w:object>
            </w:r>
          </w:p>
        </w:tc>
        <w:tc>
          <w:tcPr>
            <w:tcW w:w="3887" w:type="dxa"/>
            <w:tcBorders>
              <w:top w:val="nil"/>
              <w:left w:val="nil"/>
              <w:bottom w:val="nil"/>
              <w:right w:val="nil"/>
            </w:tcBorders>
          </w:tcPr>
          <w:p w:rsidR="008F4514" w:rsidRPr="00B31BEB" w:rsidRDefault="00D14873" w:rsidP="008F4514">
            <w:pPr>
              <w:pStyle w:val="Newparagraph"/>
              <w:ind w:firstLine="0"/>
            </w:pPr>
            <w:r w:rsidRPr="00B31BEB">
              <w:t>Webshop ease of usability rating (out of 5)</w:t>
            </w:r>
          </w:p>
        </w:tc>
        <w:tc>
          <w:tcPr>
            <w:tcW w:w="1823" w:type="dxa"/>
            <w:tcBorders>
              <w:top w:val="nil"/>
              <w:left w:val="nil"/>
              <w:bottom w:val="nil"/>
              <w:right w:val="nil"/>
            </w:tcBorders>
          </w:tcPr>
          <w:p w:rsidR="008F4514" w:rsidRPr="00B31BEB" w:rsidRDefault="00E3176B" w:rsidP="008F4514">
            <w:pPr>
              <w:pStyle w:val="Newparagraph"/>
              <w:ind w:firstLine="0"/>
            </w:pPr>
            <w:r w:rsidRPr="00B31BEB">
              <w:t>1, 2, 3, 4, 5</w:t>
            </w:r>
          </w:p>
        </w:tc>
      </w:tr>
      <w:tr w:rsidR="00B31BEB" w:rsidRPr="00B31BEB" w:rsidTr="00397777">
        <w:trPr>
          <w:jc w:val="center"/>
        </w:trPr>
        <w:tc>
          <w:tcPr>
            <w:tcW w:w="1716" w:type="dxa"/>
            <w:tcBorders>
              <w:top w:val="nil"/>
              <w:left w:val="nil"/>
              <w:bottom w:val="nil"/>
              <w:right w:val="nil"/>
            </w:tcBorders>
          </w:tcPr>
          <w:p w:rsidR="008F4514" w:rsidRPr="00B31BEB" w:rsidRDefault="008F4514" w:rsidP="008F4514">
            <w:pPr>
              <w:pStyle w:val="Newparagraph"/>
              <w:ind w:firstLine="0"/>
            </w:pPr>
            <w:r w:rsidRPr="00B31BEB">
              <w:t>Discount</w:t>
            </w:r>
          </w:p>
        </w:tc>
        <w:tc>
          <w:tcPr>
            <w:tcW w:w="1176" w:type="dxa"/>
            <w:tcBorders>
              <w:top w:val="nil"/>
              <w:left w:val="nil"/>
              <w:bottom w:val="nil"/>
              <w:right w:val="nil"/>
            </w:tcBorders>
          </w:tcPr>
          <w:p w:rsidR="008F4514" w:rsidRPr="00B31BEB" w:rsidRDefault="003F205B" w:rsidP="003F205B">
            <w:pPr>
              <w:pStyle w:val="Newparagraph"/>
              <w:ind w:firstLine="0"/>
            </w:pPr>
            <w:r w:rsidRPr="00B31BEB">
              <w:rPr>
                <w:position w:val="-12"/>
              </w:rPr>
              <w:object w:dxaOrig="279" w:dyaOrig="360">
                <v:shape id="_x0000_i1030" type="#_x0000_t75" style="width:13.8pt;height:18pt" o:ole="">
                  <v:imagedata r:id="rId25" o:title=""/>
                </v:shape>
                <o:OLEObject Type="Embed" ProgID="Equation.DSMT4" ShapeID="_x0000_i1030" DrawAspect="Content" ObjectID="_1649081632" r:id="rId26"/>
              </w:object>
            </w:r>
          </w:p>
        </w:tc>
        <w:tc>
          <w:tcPr>
            <w:tcW w:w="3887" w:type="dxa"/>
            <w:tcBorders>
              <w:top w:val="nil"/>
              <w:left w:val="nil"/>
              <w:bottom w:val="nil"/>
              <w:right w:val="nil"/>
            </w:tcBorders>
          </w:tcPr>
          <w:p w:rsidR="008F4514" w:rsidRPr="00B31BEB" w:rsidRDefault="00A1437D" w:rsidP="008F4514">
            <w:pPr>
              <w:pStyle w:val="Newparagraph"/>
              <w:ind w:firstLine="0"/>
            </w:pPr>
            <w:r w:rsidRPr="00B31BEB">
              <w:t>Discount (in %) offered on a repeat purchase on the webshop</w:t>
            </w:r>
          </w:p>
        </w:tc>
        <w:tc>
          <w:tcPr>
            <w:tcW w:w="1823" w:type="dxa"/>
            <w:tcBorders>
              <w:top w:val="nil"/>
              <w:left w:val="nil"/>
              <w:bottom w:val="nil"/>
              <w:right w:val="nil"/>
            </w:tcBorders>
          </w:tcPr>
          <w:p w:rsidR="008F4514" w:rsidRPr="00B31BEB" w:rsidRDefault="0068272D" w:rsidP="008F4514">
            <w:pPr>
              <w:pStyle w:val="Newparagraph"/>
              <w:ind w:firstLine="0"/>
            </w:pPr>
            <w:r w:rsidRPr="00B31BEB">
              <w:t>0, 5, 15</w:t>
            </w:r>
          </w:p>
        </w:tc>
      </w:tr>
      <w:tr w:rsidR="00B31BEB" w:rsidRPr="00B31BEB" w:rsidTr="00397777">
        <w:trPr>
          <w:jc w:val="center"/>
        </w:trPr>
        <w:tc>
          <w:tcPr>
            <w:tcW w:w="1716" w:type="dxa"/>
            <w:tcBorders>
              <w:top w:val="nil"/>
              <w:left w:val="nil"/>
              <w:bottom w:val="nil"/>
              <w:right w:val="nil"/>
            </w:tcBorders>
          </w:tcPr>
          <w:p w:rsidR="008F4514" w:rsidRPr="00B31BEB" w:rsidRDefault="008F4514" w:rsidP="008F4514">
            <w:pPr>
              <w:pStyle w:val="Newparagraph"/>
              <w:ind w:firstLine="0"/>
            </w:pPr>
            <w:r w:rsidRPr="00B31BEB">
              <w:t>Trust label</w:t>
            </w:r>
          </w:p>
        </w:tc>
        <w:tc>
          <w:tcPr>
            <w:tcW w:w="1176" w:type="dxa"/>
            <w:tcBorders>
              <w:top w:val="nil"/>
              <w:left w:val="nil"/>
              <w:bottom w:val="nil"/>
              <w:right w:val="nil"/>
            </w:tcBorders>
          </w:tcPr>
          <w:p w:rsidR="008F4514" w:rsidRPr="00B31BEB" w:rsidRDefault="00521771" w:rsidP="00521771">
            <w:pPr>
              <w:pStyle w:val="Newparagraph"/>
              <w:ind w:firstLine="0"/>
            </w:pPr>
            <w:r w:rsidRPr="00B31BEB">
              <w:rPr>
                <w:position w:val="-12"/>
              </w:rPr>
              <w:object w:dxaOrig="279" w:dyaOrig="360">
                <v:shape id="_x0000_i1031" type="#_x0000_t75" style="width:13.8pt;height:18pt" o:ole="">
                  <v:imagedata r:id="rId27" o:title=""/>
                </v:shape>
                <o:OLEObject Type="Embed" ProgID="Equation.DSMT4" ShapeID="_x0000_i1031" DrawAspect="Content" ObjectID="_1649081633" r:id="rId28"/>
              </w:object>
            </w:r>
          </w:p>
        </w:tc>
        <w:tc>
          <w:tcPr>
            <w:tcW w:w="3887" w:type="dxa"/>
            <w:tcBorders>
              <w:top w:val="nil"/>
              <w:left w:val="nil"/>
              <w:bottom w:val="nil"/>
              <w:right w:val="nil"/>
            </w:tcBorders>
          </w:tcPr>
          <w:p w:rsidR="008F4514" w:rsidRPr="00B31BEB" w:rsidRDefault="00BD730A" w:rsidP="008F4514">
            <w:pPr>
              <w:pStyle w:val="Newparagraph"/>
              <w:ind w:firstLine="0"/>
            </w:pPr>
            <w:r w:rsidRPr="00B31BEB">
              <w:t>Webshop certified by an independent agency &amp; is reliable</w:t>
            </w:r>
          </w:p>
        </w:tc>
        <w:tc>
          <w:tcPr>
            <w:tcW w:w="1823" w:type="dxa"/>
            <w:tcBorders>
              <w:top w:val="nil"/>
              <w:left w:val="nil"/>
              <w:bottom w:val="nil"/>
              <w:right w:val="nil"/>
            </w:tcBorders>
          </w:tcPr>
          <w:p w:rsidR="008F4514" w:rsidRPr="00B31BEB" w:rsidRDefault="00CC511F" w:rsidP="008F4514">
            <w:pPr>
              <w:pStyle w:val="Newparagraph"/>
              <w:ind w:firstLine="0"/>
            </w:pPr>
            <w:r w:rsidRPr="00B31BEB">
              <w:t>No (0), Yes (1)</w:t>
            </w:r>
          </w:p>
        </w:tc>
      </w:tr>
      <w:tr w:rsidR="00B31BEB" w:rsidRPr="00B31BEB" w:rsidTr="00397777">
        <w:trPr>
          <w:jc w:val="center"/>
        </w:trPr>
        <w:tc>
          <w:tcPr>
            <w:tcW w:w="1716" w:type="dxa"/>
            <w:tcBorders>
              <w:top w:val="nil"/>
              <w:left w:val="nil"/>
              <w:bottom w:val="nil"/>
              <w:right w:val="nil"/>
            </w:tcBorders>
          </w:tcPr>
          <w:p w:rsidR="008F4514" w:rsidRPr="00B31BEB" w:rsidRDefault="008F4514" w:rsidP="008F4514">
            <w:pPr>
              <w:pStyle w:val="Newparagraph"/>
              <w:ind w:firstLine="0"/>
            </w:pPr>
            <w:r w:rsidRPr="00B31BEB">
              <w:t>Headquarters</w:t>
            </w:r>
          </w:p>
        </w:tc>
        <w:tc>
          <w:tcPr>
            <w:tcW w:w="1176" w:type="dxa"/>
            <w:tcBorders>
              <w:top w:val="nil"/>
              <w:left w:val="nil"/>
              <w:bottom w:val="nil"/>
              <w:right w:val="nil"/>
            </w:tcBorders>
          </w:tcPr>
          <w:p w:rsidR="008F4514" w:rsidRPr="00B31BEB" w:rsidRDefault="00521771" w:rsidP="00521771">
            <w:pPr>
              <w:pStyle w:val="Newparagraph"/>
              <w:ind w:firstLine="0"/>
            </w:pPr>
            <w:r w:rsidRPr="00B31BEB">
              <w:rPr>
                <w:position w:val="-12"/>
              </w:rPr>
              <w:object w:dxaOrig="279" w:dyaOrig="360">
                <v:shape id="_x0000_i1032" type="#_x0000_t75" style="width:13.8pt;height:18pt" o:ole="">
                  <v:imagedata r:id="rId29" o:title=""/>
                </v:shape>
                <o:OLEObject Type="Embed" ProgID="Equation.DSMT4" ShapeID="_x0000_i1032" DrawAspect="Content" ObjectID="_1649081634" r:id="rId30"/>
              </w:object>
            </w:r>
          </w:p>
        </w:tc>
        <w:tc>
          <w:tcPr>
            <w:tcW w:w="3887" w:type="dxa"/>
            <w:tcBorders>
              <w:top w:val="nil"/>
              <w:left w:val="nil"/>
              <w:bottom w:val="nil"/>
              <w:right w:val="nil"/>
            </w:tcBorders>
          </w:tcPr>
          <w:p w:rsidR="008F4514" w:rsidRPr="00B31BEB" w:rsidRDefault="00F01454" w:rsidP="008F4514">
            <w:pPr>
              <w:pStyle w:val="Newparagraph"/>
              <w:ind w:firstLine="0"/>
            </w:pPr>
            <w:r w:rsidRPr="00B31BEB">
              <w:t>Webshop’s head office location</w:t>
            </w:r>
          </w:p>
        </w:tc>
        <w:tc>
          <w:tcPr>
            <w:tcW w:w="1823" w:type="dxa"/>
            <w:tcBorders>
              <w:top w:val="nil"/>
              <w:left w:val="nil"/>
              <w:bottom w:val="nil"/>
              <w:right w:val="nil"/>
            </w:tcBorders>
          </w:tcPr>
          <w:p w:rsidR="00A74A1F" w:rsidRPr="00B31BEB" w:rsidRDefault="00F01454" w:rsidP="008F4514">
            <w:pPr>
              <w:pStyle w:val="Newparagraph"/>
              <w:ind w:firstLine="0"/>
            </w:pPr>
            <w:r w:rsidRPr="00B31BEB">
              <w:t xml:space="preserve">Not </w:t>
            </w:r>
            <w:r w:rsidR="00EE09D9" w:rsidRPr="00B31BEB">
              <w:t xml:space="preserve">Belgian </w:t>
            </w:r>
            <w:r w:rsidRPr="00B31BEB">
              <w:t xml:space="preserve">(0), </w:t>
            </w:r>
          </w:p>
          <w:p w:rsidR="008F4514" w:rsidRPr="00B31BEB" w:rsidRDefault="00EE09D9" w:rsidP="008F4514">
            <w:pPr>
              <w:pStyle w:val="Newparagraph"/>
              <w:ind w:firstLine="0"/>
            </w:pPr>
            <w:r w:rsidRPr="00B31BEB">
              <w:t xml:space="preserve">Belgian </w:t>
            </w:r>
            <w:r w:rsidR="00F01454" w:rsidRPr="00B31BEB">
              <w:t>(1)</w:t>
            </w:r>
          </w:p>
        </w:tc>
      </w:tr>
      <w:tr w:rsidR="003F205B" w:rsidRPr="00B31BEB" w:rsidTr="00397777">
        <w:trPr>
          <w:jc w:val="center"/>
        </w:trPr>
        <w:tc>
          <w:tcPr>
            <w:tcW w:w="1716" w:type="dxa"/>
            <w:tcBorders>
              <w:top w:val="nil"/>
              <w:left w:val="nil"/>
              <w:bottom w:val="single" w:sz="4" w:space="0" w:color="auto"/>
              <w:right w:val="nil"/>
            </w:tcBorders>
          </w:tcPr>
          <w:p w:rsidR="008F4514" w:rsidRPr="00B31BEB" w:rsidRDefault="008F4514" w:rsidP="008F4514">
            <w:pPr>
              <w:pStyle w:val="Newparagraph"/>
              <w:ind w:firstLine="0"/>
            </w:pPr>
            <w:r w:rsidRPr="00B31BEB">
              <w:t>Distance</w:t>
            </w:r>
          </w:p>
        </w:tc>
        <w:tc>
          <w:tcPr>
            <w:tcW w:w="1176" w:type="dxa"/>
            <w:tcBorders>
              <w:top w:val="nil"/>
              <w:left w:val="nil"/>
              <w:bottom w:val="single" w:sz="4" w:space="0" w:color="auto"/>
              <w:right w:val="nil"/>
            </w:tcBorders>
          </w:tcPr>
          <w:p w:rsidR="008F4514" w:rsidRPr="00B31BEB" w:rsidRDefault="00521771" w:rsidP="00521771">
            <w:pPr>
              <w:pStyle w:val="Newparagraph"/>
              <w:ind w:firstLine="0"/>
            </w:pPr>
            <w:r w:rsidRPr="00B31BEB">
              <w:rPr>
                <w:position w:val="-12"/>
              </w:rPr>
              <w:object w:dxaOrig="279" w:dyaOrig="360">
                <v:shape id="_x0000_i1033" type="#_x0000_t75" style="width:13.8pt;height:18pt" o:ole="">
                  <v:imagedata r:id="rId31" o:title=""/>
                </v:shape>
                <o:OLEObject Type="Embed" ProgID="Equation.DSMT4" ShapeID="_x0000_i1033" DrawAspect="Content" ObjectID="_1649081635" r:id="rId32"/>
              </w:object>
            </w:r>
          </w:p>
        </w:tc>
        <w:tc>
          <w:tcPr>
            <w:tcW w:w="3887" w:type="dxa"/>
            <w:tcBorders>
              <w:top w:val="nil"/>
              <w:left w:val="nil"/>
              <w:bottom w:val="single" w:sz="4" w:space="0" w:color="auto"/>
              <w:right w:val="nil"/>
            </w:tcBorders>
          </w:tcPr>
          <w:p w:rsidR="008F4514" w:rsidRPr="00B31BEB" w:rsidRDefault="00C34B3F" w:rsidP="00356E59">
            <w:pPr>
              <w:pStyle w:val="Newparagraph"/>
              <w:ind w:firstLine="0"/>
            </w:pPr>
            <w:r w:rsidRPr="00B31BEB">
              <w:t>Shipping distance (kms) for the item</w:t>
            </w:r>
          </w:p>
        </w:tc>
        <w:tc>
          <w:tcPr>
            <w:tcW w:w="1823" w:type="dxa"/>
            <w:tcBorders>
              <w:top w:val="nil"/>
              <w:left w:val="nil"/>
              <w:bottom w:val="single" w:sz="4" w:space="0" w:color="auto"/>
              <w:right w:val="nil"/>
            </w:tcBorders>
          </w:tcPr>
          <w:p w:rsidR="008F4514" w:rsidRPr="00B31BEB" w:rsidRDefault="003D64CD" w:rsidP="008F4514">
            <w:pPr>
              <w:pStyle w:val="Newparagraph"/>
              <w:ind w:firstLine="0"/>
            </w:pPr>
            <w:r w:rsidRPr="00B31BEB">
              <w:t>100, 300, 1000</w:t>
            </w:r>
          </w:p>
        </w:tc>
      </w:tr>
    </w:tbl>
    <w:p w:rsidR="00CA3B54" w:rsidRPr="00B31BEB" w:rsidRDefault="00CA3B54" w:rsidP="00CA3B54">
      <w:pPr>
        <w:pStyle w:val="Newparagraph"/>
      </w:pPr>
    </w:p>
    <w:p w:rsidR="001D2768" w:rsidRDefault="00221792">
      <w:pPr>
        <w:tabs>
          <w:tab w:val="center" w:pos="4800"/>
          <w:tab w:val="right" w:pos="9500"/>
        </w:tabs>
        <w:ind w:firstLine="720"/>
        <w:rPr>
          <w:noProof/>
        </w:rPr>
      </w:pPr>
      <w:r w:rsidRPr="00B31BEB">
        <w:rPr>
          <w:noProof/>
        </w:rPr>
        <w:t>A D-efficient design for estimating multinomial logit models was generated in NGENE</w:t>
      </w:r>
      <w:r w:rsidR="00474112" w:rsidRPr="00B31BEB">
        <w:rPr>
          <w:noProof/>
        </w:rPr>
        <w:t xml:space="preserve"> </w:t>
      </w:r>
      <w:r w:rsidR="00474112" w:rsidRPr="00B31BEB">
        <w:rPr>
          <w:noProof/>
        </w:rPr>
        <w:fldChar w:fldCharType="begin" w:fldLock="1"/>
      </w:r>
      <w:r w:rsidR="008B6C5B" w:rsidRPr="00B31BEB">
        <w:rPr>
          <w:noProof/>
        </w:rPr>
        <w:instrText>ADDIN CSL_CITATION {"citationItems":[{"id":"ITEM-1","itemData":{"author":[{"dropping-particle":"","family":"ChoiceMetrics","given":"","non-dropping-particle":"","parse-names":false,"suffix":""}],"container-title":"USA: Choice Metrics","id":"ITEM-1","issued":{"date-parts":[["2012"]]},"page":"248","title":"Ngene 1.1.1 User manual and reference guide: The Cutting Edge in Experimental Design","type":"article-journal"},"uris":["http://www.mendeley.com/documents/?uuid=3a3d0f76-dd3a-42e4-97a1-4e5edc22bb4c"]}],"mendeley":{"formattedCitation":"[8]","plainTextFormattedCitation":"[8]","previouslyFormattedCitation":"[8]"},"properties":{"noteIndex":0},"schema":"https://github.com/citation-style-language/schema/raw/master/csl-citation.json"}</w:instrText>
      </w:r>
      <w:r w:rsidR="00474112" w:rsidRPr="00B31BEB">
        <w:rPr>
          <w:noProof/>
        </w:rPr>
        <w:fldChar w:fldCharType="separate"/>
      </w:r>
      <w:r w:rsidR="00DE5DC0" w:rsidRPr="00B31BEB">
        <w:rPr>
          <w:noProof/>
        </w:rPr>
        <w:t>[8]</w:t>
      </w:r>
      <w:r w:rsidR="00474112" w:rsidRPr="00B31BEB">
        <w:rPr>
          <w:noProof/>
        </w:rPr>
        <w:fldChar w:fldCharType="end"/>
      </w:r>
      <w:r w:rsidRPr="00B31BEB">
        <w:rPr>
          <w:noProof/>
        </w:rPr>
        <w:t>. The prior values for the eight attributes (from Delivery time to Distance as ordered in Table 1) were -0.15, -0.05, -0.5, 0.15, 0.05, 0.4, 0.4 and -0.001. The resulting design comprised of twelve choice sets of three webshops and an opt-out option. The prior utility for opting out was 1.8. All participants got the same twelve choice sets in the same order. Table 2 shows an example of a choice set used in the study</w:t>
      </w:r>
      <w:r w:rsidR="001D2768" w:rsidRPr="00B31BEB">
        <w:rPr>
          <w:noProof/>
        </w:rPr>
        <w:t>.</w:t>
      </w:r>
    </w:p>
    <w:p w:rsidR="003D41D6" w:rsidRDefault="003D41D6">
      <w:pPr>
        <w:tabs>
          <w:tab w:val="center" w:pos="4800"/>
          <w:tab w:val="right" w:pos="9500"/>
        </w:tabs>
        <w:ind w:firstLine="720"/>
        <w:rPr>
          <w:noProof/>
        </w:rPr>
      </w:pPr>
    </w:p>
    <w:p w:rsidR="003D41D6" w:rsidRPr="00B31BEB" w:rsidRDefault="003D41D6">
      <w:pPr>
        <w:tabs>
          <w:tab w:val="center" w:pos="4800"/>
          <w:tab w:val="right" w:pos="9500"/>
        </w:tabs>
        <w:ind w:firstLine="720"/>
        <w:rPr>
          <w:noProof/>
        </w:rPr>
      </w:pPr>
    </w:p>
    <w:p w:rsidR="00A8157D" w:rsidRPr="00B31BEB" w:rsidRDefault="001F64CE" w:rsidP="00C62B1C">
      <w:pPr>
        <w:tabs>
          <w:tab w:val="center" w:pos="4800"/>
          <w:tab w:val="right" w:pos="9500"/>
        </w:tabs>
        <w:ind w:firstLine="720"/>
        <w:jc w:val="both"/>
        <w:rPr>
          <w:noProof/>
        </w:rPr>
      </w:pPr>
      <w:r w:rsidRPr="00B31BEB">
        <w:lastRenderedPageBreak/>
        <w:t>Table 2</w:t>
      </w:r>
      <w:r w:rsidR="00737E49" w:rsidRPr="00B31BEB">
        <w:t xml:space="preserve">. </w:t>
      </w:r>
      <w:r w:rsidRPr="00B31BEB">
        <w:rPr>
          <w:noProof/>
        </w:rPr>
        <w:t>Choice set example</w:t>
      </w:r>
    </w:p>
    <w:tbl>
      <w:tblPr>
        <w:tblStyle w:val="TableGrid"/>
        <w:tblW w:w="8607" w:type="dxa"/>
        <w:jc w:val="center"/>
        <w:tblLook w:val="04A0" w:firstRow="1" w:lastRow="0" w:firstColumn="1" w:lastColumn="0" w:noHBand="0" w:noVBand="1"/>
      </w:tblPr>
      <w:tblGrid>
        <w:gridCol w:w="3827"/>
        <w:gridCol w:w="1310"/>
        <w:gridCol w:w="2030"/>
        <w:gridCol w:w="1440"/>
      </w:tblGrid>
      <w:tr w:rsidR="00B31BEB" w:rsidRPr="00B31BEB" w:rsidTr="001A5DEC">
        <w:trPr>
          <w:jc w:val="center"/>
        </w:trPr>
        <w:tc>
          <w:tcPr>
            <w:tcW w:w="3827" w:type="dxa"/>
            <w:tcBorders>
              <w:top w:val="single" w:sz="4" w:space="0" w:color="auto"/>
              <w:left w:val="nil"/>
              <w:bottom w:val="single" w:sz="4" w:space="0" w:color="auto"/>
              <w:right w:val="nil"/>
            </w:tcBorders>
          </w:tcPr>
          <w:p w:rsidR="00BD279D" w:rsidRPr="00B31BEB" w:rsidRDefault="00BD279D" w:rsidP="00C62B1C">
            <w:pPr>
              <w:tabs>
                <w:tab w:val="center" w:pos="4800"/>
                <w:tab w:val="right" w:pos="9500"/>
              </w:tabs>
              <w:jc w:val="both"/>
              <w:rPr>
                <w:noProof/>
              </w:rPr>
            </w:pPr>
            <w:r w:rsidRPr="00B31BEB">
              <w:rPr>
                <w:noProof/>
              </w:rPr>
              <w:t>Webshop</w:t>
            </w:r>
          </w:p>
        </w:tc>
        <w:tc>
          <w:tcPr>
            <w:tcW w:w="1310" w:type="dxa"/>
            <w:tcBorders>
              <w:top w:val="single" w:sz="4" w:space="0" w:color="auto"/>
              <w:left w:val="nil"/>
              <w:bottom w:val="single" w:sz="4" w:space="0" w:color="auto"/>
              <w:right w:val="nil"/>
            </w:tcBorders>
          </w:tcPr>
          <w:p w:rsidR="00BD279D" w:rsidRPr="00B31BEB" w:rsidRDefault="00BD279D" w:rsidP="00104FF7">
            <w:pPr>
              <w:tabs>
                <w:tab w:val="center" w:pos="4800"/>
                <w:tab w:val="right" w:pos="9500"/>
              </w:tabs>
              <w:jc w:val="center"/>
              <w:rPr>
                <w:noProof/>
              </w:rPr>
            </w:pPr>
            <w:r w:rsidRPr="00B31BEB">
              <w:rPr>
                <w:noProof/>
              </w:rPr>
              <w:t>A</w:t>
            </w:r>
          </w:p>
        </w:tc>
        <w:tc>
          <w:tcPr>
            <w:tcW w:w="2030" w:type="dxa"/>
            <w:tcBorders>
              <w:top w:val="single" w:sz="4" w:space="0" w:color="auto"/>
              <w:left w:val="nil"/>
              <w:bottom w:val="single" w:sz="4" w:space="0" w:color="auto"/>
              <w:right w:val="nil"/>
            </w:tcBorders>
          </w:tcPr>
          <w:p w:rsidR="00BD279D" w:rsidRPr="00B31BEB" w:rsidRDefault="00BD279D" w:rsidP="00104FF7">
            <w:pPr>
              <w:tabs>
                <w:tab w:val="center" w:pos="4800"/>
                <w:tab w:val="right" w:pos="9500"/>
              </w:tabs>
              <w:jc w:val="center"/>
              <w:rPr>
                <w:noProof/>
              </w:rPr>
            </w:pPr>
            <w:r w:rsidRPr="00B31BEB">
              <w:rPr>
                <w:noProof/>
              </w:rPr>
              <w:t>B</w:t>
            </w:r>
          </w:p>
        </w:tc>
        <w:tc>
          <w:tcPr>
            <w:tcW w:w="1440" w:type="dxa"/>
            <w:tcBorders>
              <w:top w:val="single" w:sz="4" w:space="0" w:color="auto"/>
              <w:left w:val="nil"/>
              <w:bottom w:val="single" w:sz="4" w:space="0" w:color="auto"/>
              <w:right w:val="nil"/>
            </w:tcBorders>
          </w:tcPr>
          <w:p w:rsidR="00BD279D" w:rsidRPr="00B31BEB" w:rsidRDefault="00BD279D" w:rsidP="00104FF7">
            <w:pPr>
              <w:tabs>
                <w:tab w:val="center" w:pos="4800"/>
                <w:tab w:val="right" w:pos="9500"/>
              </w:tabs>
              <w:jc w:val="center"/>
              <w:rPr>
                <w:noProof/>
              </w:rPr>
            </w:pPr>
            <w:r w:rsidRPr="00B31BEB">
              <w:rPr>
                <w:noProof/>
              </w:rPr>
              <w:t>C</w:t>
            </w:r>
          </w:p>
        </w:tc>
      </w:tr>
      <w:tr w:rsidR="00B31BEB" w:rsidRPr="00B31BEB" w:rsidTr="001A5DEC">
        <w:trPr>
          <w:jc w:val="center"/>
        </w:trPr>
        <w:tc>
          <w:tcPr>
            <w:tcW w:w="3827" w:type="dxa"/>
            <w:tcBorders>
              <w:top w:val="single" w:sz="4" w:space="0" w:color="auto"/>
              <w:left w:val="nil"/>
              <w:bottom w:val="nil"/>
              <w:right w:val="nil"/>
            </w:tcBorders>
          </w:tcPr>
          <w:p w:rsidR="00BD279D" w:rsidRPr="00B31BEB" w:rsidRDefault="004239EA" w:rsidP="00C62B1C">
            <w:pPr>
              <w:tabs>
                <w:tab w:val="center" w:pos="4800"/>
                <w:tab w:val="right" w:pos="9500"/>
              </w:tabs>
              <w:jc w:val="both"/>
              <w:rPr>
                <w:noProof/>
              </w:rPr>
            </w:pPr>
            <w:r w:rsidRPr="00B31BEB">
              <w:t>Delivery time (days)</w:t>
            </w:r>
          </w:p>
        </w:tc>
        <w:tc>
          <w:tcPr>
            <w:tcW w:w="1310" w:type="dxa"/>
            <w:tcBorders>
              <w:top w:val="single" w:sz="4" w:space="0" w:color="auto"/>
              <w:left w:val="nil"/>
              <w:bottom w:val="nil"/>
              <w:right w:val="nil"/>
            </w:tcBorders>
          </w:tcPr>
          <w:p w:rsidR="00BD279D" w:rsidRPr="00B31BEB" w:rsidRDefault="002A3386" w:rsidP="00104FF7">
            <w:pPr>
              <w:tabs>
                <w:tab w:val="center" w:pos="4800"/>
                <w:tab w:val="right" w:pos="9500"/>
              </w:tabs>
              <w:jc w:val="center"/>
              <w:rPr>
                <w:noProof/>
              </w:rPr>
            </w:pPr>
            <w:r w:rsidRPr="00B31BEB">
              <w:rPr>
                <w:noProof/>
              </w:rPr>
              <w:t>6</w:t>
            </w:r>
          </w:p>
        </w:tc>
        <w:tc>
          <w:tcPr>
            <w:tcW w:w="2030" w:type="dxa"/>
            <w:tcBorders>
              <w:top w:val="single" w:sz="4" w:space="0" w:color="auto"/>
              <w:left w:val="nil"/>
              <w:bottom w:val="nil"/>
              <w:right w:val="nil"/>
            </w:tcBorders>
          </w:tcPr>
          <w:p w:rsidR="00BD279D" w:rsidRPr="00B31BEB" w:rsidRDefault="002A3386" w:rsidP="004D4BA3">
            <w:pPr>
              <w:tabs>
                <w:tab w:val="center" w:pos="4800"/>
                <w:tab w:val="right" w:pos="9500"/>
              </w:tabs>
              <w:jc w:val="center"/>
              <w:rPr>
                <w:noProof/>
              </w:rPr>
            </w:pPr>
            <w:r w:rsidRPr="00B31BEB">
              <w:rPr>
                <w:noProof/>
              </w:rPr>
              <w:t>1</w:t>
            </w:r>
          </w:p>
        </w:tc>
        <w:tc>
          <w:tcPr>
            <w:tcW w:w="1440" w:type="dxa"/>
            <w:tcBorders>
              <w:top w:val="single" w:sz="4" w:space="0" w:color="auto"/>
              <w:left w:val="nil"/>
              <w:bottom w:val="nil"/>
              <w:right w:val="nil"/>
            </w:tcBorders>
          </w:tcPr>
          <w:p w:rsidR="00BD279D" w:rsidRPr="00B31BEB" w:rsidRDefault="002A3386" w:rsidP="00104FF7">
            <w:pPr>
              <w:tabs>
                <w:tab w:val="center" w:pos="4800"/>
                <w:tab w:val="right" w:pos="9500"/>
              </w:tabs>
              <w:jc w:val="center"/>
              <w:rPr>
                <w:noProof/>
              </w:rPr>
            </w:pPr>
            <w:r w:rsidRPr="00B31BEB">
              <w:rPr>
                <w:noProof/>
              </w:rPr>
              <w:t>6</w:t>
            </w:r>
          </w:p>
        </w:tc>
      </w:tr>
      <w:tr w:rsidR="00B31BEB" w:rsidRPr="00B31BEB" w:rsidTr="001A5DEC">
        <w:trPr>
          <w:jc w:val="center"/>
        </w:trPr>
        <w:tc>
          <w:tcPr>
            <w:tcW w:w="3827" w:type="dxa"/>
            <w:tcBorders>
              <w:top w:val="nil"/>
              <w:left w:val="nil"/>
              <w:bottom w:val="nil"/>
              <w:right w:val="nil"/>
            </w:tcBorders>
          </w:tcPr>
          <w:p w:rsidR="00BD279D" w:rsidRPr="00B31BEB" w:rsidRDefault="00B36FB9" w:rsidP="00AA4184">
            <w:pPr>
              <w:tabs>
                <w:tab w:val="center" w:pos="4800"/>
                <w:tab w:val="right" w:pos="9500"/>
              </w:tabs>
              <w:jc w:val="both"/>
              <w:rPr>
                <w:noProof/>
              </w:rPr>
            </w:pPr>
            <w:r w:rsidRPr="00B31BEB">
              <w:t>Delivery price (</w:t>
            </w:r>
            <w:r w:rsidR="00AA4184" w:rsidRPr="00B31BEB">
              <w:rPr>
                <w:position w:val="-6"/>
              </w:rPr>
              <w:object w:dxaOrig="200" w:dyaOrig="279">
                <v:shape id="_x0000_i1034" type="#_x0000_t75" style="width:10.8pt;height:13.8pt" o:ole="">
                  <v:imagedata r:id="rId33" o:title=""/>
                </v:shape>
                <o:OLEObject Type="Embed" ProgID="Equation.DSMT4" ShapeID="_x0000_i1034" DrawAspect="Content" ObjectID="_1649081636" r:id="rId34"/>
              </w:object>
            </w:r>
            <w:r w:rsidRPr="00B31BEB">
              <w:t>)</w:t>
            </w:r>
          </w:p>
        </w:tc>
        <w:tc>
          <w:tcPr>
            <w:tcW w:w="1310" w:type="dxa"/>
            <w:tcBorders>
              <w:top w:val="nil"/>
              <w:left w:val="nil"/>
              <w:bottom w:val="nil"/>
              <w:right w:val="nil"/>
            </w:tcBorders>
          </w:tcPr>
          <w:p w:rsidR="00BD279D" w:rsidRPr="00B31BEB" w:rsidRDefault="00837634" w:rsidP="00104FF7">
            <w:pPr>
              <w:tabs>
                <w:tab w:val="center" w:pos="4800"/>
                <w:tab w:val="right" w:pos="9500"/>
              </w:tabs>
              <w:jc w:val="center"/>
              <w:rPr>
                <w:noProof/>
              </w:rPr>
            </w:pPr>
            <w:r w:rsidRPr="00B31BEB">
              <w:rPr>
                <w:noProof/>
              </w:rPr>
              <w:t>4</w:t>
            </w:r>
          </w:p>
        </w:tc>
        <w:tc>
          <w:tcPr>
            <w:tcW w:w="2030" w:type="dxa"/>
            <w:tcBorders>
              <w:top w:val="nil"/>
              <w:left w:val="nil"/>
              <w:bottom w:val="nil"/>
              <w:right w:val="nil"/>
            </w:tcBorders>
          </w:tcPr>
          <w:p w:rsidR="00BD279D" w:rsidRPr="00B31BEB" w:rsidRDefault="00837634" w:rsidP="004D4BA3">
            <w:pPr>
              <w:tabs>
                <w:tab w:val="center" w:pos="4800"/>
                <w:tab w:val="right" w:pos="9500"/>
              </w:tabs>
              <w:jc w:val="center"/>
              <w:rPr>
                <w:noProof/>
              </w:rPr>
            </w:pPr>
            <w:r w:rsidRPr="00B31BEB">
              <w:rPr>
                <w:noProof/>
              </w:rPr>
              <w:t>0</w:t>
            </w:r>
          </w:p>
        </w:tc>
        <w:tc>
          <w:tcPr>
            <w:tcW w:w="1440" w:type="dxa"/>
            <w:tcBorders>
              <w:top w:val="nil"/>
              <w:left w:val="nil"/>
              <w:bottom w:val="nil"/>
              <w:right w:val="nil"/>
            </w:tcBorders>
          </w:tcPr>
          <w:p w:rsidR="00BD279D" w:rsidRPr="00B31BEB" w:rsidRDefault="00837634" w:rsidP="00104FF7">
            <w:pPr>
              <w:tabs>
                <w:tab w:val="center" w:pos="4800"/>
                <w:tab w:val="right" w:pos="9500"/>
              </w:tabs>
              <w:jc w:val="center"/>
              <w:rPr>
                <w:noProof/>
              </w:rPr>
            </w:pPr>
            <w:r w:rsidRPr="00B31BEB">
              <w:rPr>
                <w:noProof/>
              </w:rPr>
              <w:t>8</w:t>
            </w:r>
          </w:p>
        </w:tc>
      </w:tr>
      <w:tr w:rsidR="00B31BEB" w:rsidRPr="00B31BEB" w:rsidTr="001A5DEC">
        <w:trPr>
          <w:jc w:val="center"/>
        </w:trPr>
        <w:tc>
          <w:tcPr>
            <w:tcW w:w="3827" w:type="dxa"/>
            <w:tcBorders>
              <w:top w:val="nil"/>
              <w:left w:val="nil"/>
              <w:bottom w:val="nil"/>
              <w:right w:val="nil"/>
            </w:tcBorders>
          </w:tcPr>
          <w:p w:rsidR="008631FA" w:rsidRPr="00B31BEB" w:rsidRDefault="008631FA" w:rsidP="008631FA">
            <w:pPr>
              <w:tabs>
                <w:tab w:val="center" w:pos="4800"/>
                <w:tab w:val="right" w:pos="9500"/>
              </w:tabs>
              <w:jc w:val="both"/>
              <w:rPr>
                <w:noProof/>
              </w:rPr>
            </w:pPr>
            <w:r w:rsidRPr="00B31BEB">
              <w:t>Returns</w:t>
            </w:r>
          </w:p>
        </w:tc>
        <w:tc>
          <w:tcPr>
            <w:tcW w:w="1310" w:type="dxa"/>
            <w:tcBorders>
              <w:top w:val="nil"/>
              <w:left w:val="nil"/>
              <w:bottom w:val="nil"/>
              <w:right w:val="nil"/>
            </w:tcBorders>
          </w:tcPr>
          <w:p w:rsidR="008631FA" w:rsidRPr="00B31BEB" w:rsidRDefault="008631FA" w:rsidP="00104FF7">
            <w:pPr>
              <w:tabs>
                <w:tab w:val="center" w:pos="4800"/>
                <w:tab w:val="right" w:pos="9500"/>
              </w:tabs>
              <w:jc w:val="center"/>
            </w:pPr>
            <w:r w:rsidRPr="00B31BEB">
              <w:t>Free</w:t>
            </w:r>
          </w:p>
        </w:tc>
        <w:tc>
          <w:tcPr>
            <w:tcW w:w="2030" w:type="dxa"/>
            <w:tcBorders>
              <w:top w:val="nil"/>
              <w:left w:val="nil"/>
              <w:bottom w:val="nil"/>
              <w:right w:val="nil"/>
            </w:tcBorders>
          </w:tcPr>
          <w:p w:rsidR="008631FA" w:rsidRPr="00B31BEB" w:rsidRDefault="008631FA" w:rsidP="004D4BA3">
            <w:pPr>
              <w:tabs>
                <w:tab w:val="center" w:pos="4800"/>
                <w:tab w:val="right" w:pos="9500"/>
              </w:tabs>
              <w:jc w:val="center"/>
            </w:pPr>
            <w:r w:rsidRPr="00B31BEB">
              <w:t>Own cost</w:t>
            </w:r>
          </w:p>
        </w:tc>
        <w:tc>
          <w:tcPr>
            <w:tcW w:w="1440" w:type="dxa"/>
            <w:tcBorders>
              <w:top w:val="nil"/>
              <w:left w:val="nil"/>
              <w:bottom w:val="nil"/>
              <w:right w:val="nil"/>
            </w:tcBorders>
          </w:tcPr>
          <w:p w:rsidR="008631FA" w:rsidRPr="00B31BEB" w:rsidRDefault="008631FA" w:rsidP="00C56850">
            <w:pPr>
              <w:tabs>
                <w:tab w:val="center" w:pos="4800"/>
                <w:tab w:val="right" w:pos="9500"/>
              </w:tabs>
              <w:jc w:val="center"/>
            </w:pPr>
            <w:r w:rsidRPr="00B31BEB">
              <w:t>Free</w:t>
            </w:r>
          </w:p>
        </w:tc>
      </w:tr>
      <w:tr w:rsidR="00B31BEB" w:rsidRPr="00B31BEB" w:rsidTr="001A5DEC">
        <w:trPr>
          <w:jc w:val="center"/>
        </w:trPr>
        <w:tc>
          <w:tcPr>
            <w:tcW w:w="3827" w:type="dxa"/>
            <w:tcBorders>
              <w:top w:val="nil"/>
              <w:left w:val="nil"/>
              <w:bottom w:val="nil"/>
              <w:right w:val="nil"/>
            </w:tcBorders>
          </w:tcPr>
          <w:p w:rsidR="00C17027" w:rsidRPr="00B31BEB" w:rsidRDefault="00C17027" w:rsidP="00C17027">
            <w:pPr>
              <w:tabs>
                <w:tab w:val="center" w:pos="4800"/>
                <w:tab w:val="right" w:pos="9500"/>
              </w:tabs>
              <w:jc w:val="both"/>
              <w:rPr>
                <w:noProof/>
              </w:rPr>
            </w:pPr>
            <w:r w:rsidRPr="00B31BEB">
              <w:t>Rating (1 = very bad, 5 = very good)</w:t>
            </w:r>
          </w:p>
        </w:tc>
        <w:tc>
          <w:tcPr>
            <w:tcW w:w="1310" w:type="dxa"/>
            <w:tcBorders>
              <w:top w:val="nil"/>
              <w:left w:val="nil"/>
              <w:bottom w:val="nil"/>
              <w:right w:val="nil"/>
            </w:tcBorders>
          </w:tcPr>
          <w:p w:rsidR="00C17027" w:rsidRPr="00B31BEB" w:rsidRDefault="00C17027" w:rsidP="004D4BA3">
            <w:pPr>
              <w:tabs>
                <w:tab w:val="center" w:pos="4800"/>
                <w:tab w:val="right" w:pos="9500"/>
              </w:tabs>
              <w:jc w:val="center"/>
            </w:pPr>
            <w:r w:rsidRPr="00B31BEB">
              <w:t>3</w:t>
            </w:r>
          </w:p>
        </w:tc>
        <w:tc>
          <w:tcPr>
            <w:tcW w:w="2030" w:type="dxa"/>
            <w:tcBorders>
              <w:top w:val="nil"/>
              <w:left w:val="nil"/>
              <w:bottom w:val="nil"/>
              <w:right w:val="nil"/>
            </w:tcBorders>
          </w:tcPr>
          <w:p w:rsidR="00C17027" w:rsidRPr="00B31BEB" w:rsidRDefault="00C17027" w:rsidP="004D4BA3">
            <w:pPr>
              <w:tabs>
                <w:tab w:val="center" w:pos="4800"/>
                <w:tab w:val="right" w:pos="9500"/>
              </w:tabs>
              <w:ind w:firstLine="720"/>
            </w:pPr>
            <w:r w:rsidRPr="00B31BEB">
              <w:t>1</w:t>
            </w:r>
          </w:p>
        </w:tc>
        <w:tc>
          <w:tcPr>
            <w:tcW w:w="1440" w:type="dxa"/>
            <w:tcBorders>
              <w:top w:val="nil"/>
              <w:left w:val="nil"/>
              <w:bottom w:val="nil"/>
              <w:right w:val="nil"/>
            </w:tcBorders>
          </w:tcPr>
          <w:p w:rsidR="00C17027" w:rsidRPr="00B31BEB" w:rsidRDefault="00C17027" w:rsidP="00C17027">
            <w:pPr>
              <w:tabs>
                <w:tab w:val="center" w:pos="4800"/>
                <w:tab w:val="right" w:pos="9500"/>
              </w:tabs>
              <w:ind w:firstLine="720"/>
              <w:jc w:val="both"/>
            </w:pPr>
            <w:r w:rsidRPr="00B31BEB">
              <w:t xml:space="preserve"> 5 </w:t>
            </w:r>
          </w:p>
        </w:tc>
      </w:tr>
      <w:tr w:rsidR="00B31BEB" w:rsidRPr="00B31BEB" w:rsidTr="001A5DEC">
        <w:trPr>
          <w:jc w:val="center"/>
        </w:trPr>
        <w:tc>
          <w:tcPr>
            <w:tcW w:w="3827" w:type="dxa"/>
            <w:tcBorders>
              <w:top w:val="nil"/>
              <w:left w:val="nil"/>
              <w:bottom w:val="nil"/>
              <w:right w:val="nil"/>
            </w:tcBorders>
          </w:tcPr>
          <w:p w:rsidR="00C17027" w:rsidRPr="00B31BEB" w:rsidRDefault="00680C34" w:rsidP="00C17027">
            <w:pPr>
              <w:tabs>
                <w:tab w:val="center" w:pos="4800"/>
                <w:tab w:val="right" w:pos="9500"/>
              </w:tabs>
              <w:jc w:val="both"/>
              <w:rPr>
                <w:noProof/>
              </w:rPr>
            </w:pPr>
            <w:r w:rsidRPr="00B31BEB">
              <w:t>Discount (%)</w:t>
            </w:r>
          </w:p>
        </w:tc>
        <w:tc>
          <w:tcPr>
            <w:tcW w:w="1310" w:type="dxa"/>
            <w:tcBorders>
              <w:top w:val="nil"/>
              <w:left w:val="nil"/>
              <w:bottom w:val="nil"/>
              <w:right w:val="nil"/>
            </w:tcBorders>
          </w:tcPr>
          <w:p w:rsidR="00C17027" w:rsidRPr="00B31BEB" w:rsidRDefault="00C17027" w:rsidP="004D4BA3">
            <w:pPr>
              <w:tabs>
                <w:tab w:val="center" w:pos="4800"/>
                <w:tab w:val="right" w:pos="9500"/>
              </w:tabs>
              <w:jc w:val="center"/>
            </w:pPr>
            <w:r w:rsidRPr="00B31BEB">
              <w:t>0</w:t>
            </w:r>
          </w:p>
        </w:tc>
        <w:tc>
          <w:tcPr>
            <w:tcW w:w="2030" w:type="dxa"/>
            <w:tcBorders>
              <w:top w:val="nil"/>
              <w:left w:val="nil"/>
              <w:bottom w:val="nil"/>
              <w:right w:val="nil"/>
            </w:tcBorders>
          </w:tcPr>
          <w:p w:rsidR="00C17027" w:rsidRPr="00B31BEB" w:rsidRDefault="00C17027" w:rsidP="004D4BA3">
            <w:pPr>
              <w:tabs>
                <w:tab w:val="center" w:pos="4800"/>
                <w:tab w:val="right" w:pos="9500"/>
              </w:tabs>
              <w:ind w:firstLine="720"/>
            </w:pPr>
            <w:r w:rsidRPr="00B31BEB">
              <w:t>15</w:t>
            </w:r>
          </w:p>
        </w:tc>
        <w:tc>
          <w:tcPr>
            <w:tcW w:w="1440" w:type="dxa"/>
            <w:tcBorders>
              <w:top w:val="nil"/>
              <w:left w:val="nil"/>
              <w:bottom w:val="nil"/>
              <w:right w:val="nil"/>
            </w:tcBorders>
          </w:tcPr>
          <w:p w:rsidR="00C17027" w:rsidRPr="00B31BEB" w:rsidRDefault="00C17027" w:rsidP="00C17027">
            <w:pPr>
              <w:tabs>
                <w:tab w:val="center" w:pos="4800"/>
                <w:tab w:val="right" w:pos="9500"/>
              </w:tabs>
              <w:ind w:firstLine="720"/>
              <w:jc w:val="both"/>
            </w:pPr>
            <w:r w:rsidRPr="00B31BEB">
              <w:t xml:space="preserve"> 5 </w:t>
            </w:r>
          </w:p>
        </w:tc>
      </w:tr>
      <w:tr w:rsidR="00B31BEB" w:rsidRPr="00B31BEB" w:rsidTr="001A5DEC">
        <w:trPr>
          <w:jc w:val="center"/>
        </w:trPr>
        <w:tc>
          <w:tcPr>
            <w:tcW w:w="3827" w:type="dxa"/>
            <w:tcBorders>
              <w:top w:val="nil"/>
              <w:left w:val="nil"/>
              <w:bottom w:val="nil"/>
              <w:right w:val="nil"/>
            </w:tcBorders>
          </w:tcPr>
          <w:p w:rsidR="00C17027" w:rsidRPr="00B31BEB" w:rsidRDefault="00680C34" w:rsidP="00C17027">
            <w:pPr>
              <w:tabs>
                <w:tab w:val="center" w:pos="4800"/>
                <w:tab w:val="right" w:pos="9500"/>
              </w:tabs>
              <w:jc w:val="both"/>
              <w:rPr>
                <w:noProof/>
              </w:rPr>
            </w:pPr>
            <w:r w:rsidRPr="00B31BEB">
              <w:t>Trust label</w:t>
            </w:r>
          </w:p>
        </w:tc>
        <w:tc>
          <w:tcPr>
            <w:tcW w:w="1310" w:type="dxa"/>
            <w:tcBorders>
              <w:top w:val="nil"/>
              <w:left w:val="nil"/>
              <w:bottom w:val="nil"/>
              <w:right w:val="nil"/>
            </w:tcBorders>
          </w:tcPr>
          <w:p w:rsidR="00C17027" w:rsidRPr="00B31BEB" w:rsidRDefault="00C17027" w:rsidP="004D4BA3">
            <w:pPr>
              <w:tabs>
                <w:tab w:val="center" w:pos="4800"/>
                <w:tab w:val="right" w:pos="9500"/>
              </w:tabs>
              <w:jc w:val="center"/>
            </w:pPr>
            <w:r w:rsidRPr="00B31BEB">
              <w:t>Yes</w:t>
            </w:r>
          </w:p>
        </w:tc>
        <w:tc>
          <w:tcPr>
            <w:tcW w:w="2030" w:type="dxa"/>
            <w:tcBorders>
              <w:top w:val="nil"/>
              <w:left w:val="nil"/>
              <w:bottom w:val="nil"/>
              <w:right w:val="nil"/>
            </w:tcBorders>
          </w:tcPr>
          <w:p w:rsidR="00C17027" w:rsidRPr="00B31BEB" w:rsidRDefault="00C17027" w:rsidP="004D4BA3">
            <w:pPr>
              <w:tabs>
                <w:tab w:val="center" w:pos="4800"/>
                <w:tab w:val="right" w:pos="9500"/>
              </w:tabs>
              <w:ind w:firstLine="720"/>
            </w:pPr>
            <w:r w:rsidRPr="00B31BEB">
              <w:t>No</w:t>
            </w:r>
          </w:p>
        </w:tc>
        <w:tc>
          <w:tcPr>
            <w:tcW w:w="1440" w:type="dxa"/>
            <w:tcBorders>
              <w:top w:val="nil"/>
              <w:left w:val="nil"/>
              <w:bottom w:val="nil"/>
              <w:right w:val="nil"/>
            </w:tcBorders>
          </w:tcPr>
          <w:p w:rsidR="00C17027" w:rsidRPr="00B31BEB" w:rsidRDefault="00C17027" w:rsidP="0075320E">
            <w:pPr>
              <w:tabs>
                <w:tab w:val="center" w:pos="4800"/>
                <w:tab w:val="right" w:pos="9500"/>
              </w:tabs>
              <w:jc w:val="center"/>
            </w:pPr>
            <w:r w:rsidRPr="00B31BEB">
              <w:t>Yes</w:t>
            </w:r>
          </w:p>
        </w:tc>
      </w:tr>
      <w:tr w:rsidR="00B31BEB" w:rsidRPr="00B31BEB" w:rsidTr="001A5DEC">
        <w:trPr>
          <w:jc w:val="center"/>
        </w:trPr>
        <w:tc>
          <w:tcPr>
            <w:tcW w:w="3827" w:type="dxa"/>
            <w:tcBorders>
              <w:top w:val="nil"/>
              <w:left w:val="nil"/>
              <w:bottom w:val="nil"/>
              <w:right w:val="nil"/>
            </w:tcBorders>
          </w:tcPr>
          <w:p w:rsidR="00C17027" w:rsidRPr="00B31BEB" w:rsidRDefault="00680C34" w:rsidP="00C17027">
            <w:pPr>
              <w:tabs>
                <w:tab w:val="center" w:pos="4800"/>
                <w:tab w:val="right" w:pos="9500"/>
              </w:tabs>
              <w:jc w:val="both"/>
              <w:rPr>
                <w:noProof/>
              </w:rPr>
            </w:pPr>
            <w:r w:rsidRPr="00B31BEB">
              <w:t>Headquarters</w:t>
            </w:r>
          </w:p>
        </w:tc>
        <w:tc>
          <w:tcPr>
            <w:tcW w:w="1310" w:type="dxa"/>
            <w:tcBorders>
              <w:top w:val="nil"/>
              <w:left w:val="nil"/>
              <w:bottom w:val="nil"/>
              <w:right w:val="nil"/>
            </w:tcBorders>
          </w:tcPr>
          <w:p w:rsidR="00C17027" w:rsidRPr="00B31BEB" w:rsidRDefault="007D39A3" w:rsidP="004D4BA3">
            <w:pPr>
              <w:tabs>
                <w:tab w:val="center" w:pos="4800"/>
                <w:tab w:val="right" w:pos="9500"/>
              </w:tabs>
              <w:jc w:val="center"/>
            </w:pPr>
            <w:r w:rsidRPr="00B31BEB">
              <w:t>Belgian</w:t>
            </w:r>
          </w:p>
        </w:tc>
        <w:tc>
          <w:tcPr>
            <w:tcW w:w="2030" w:type="dxa"/>
            <w:tcBorders>
              <w:top w:val="nil"/>
              <w:left w:val="nil"/>
              <w:bottom w:val="nil"/>
              <w:right w:val="nil"/>
            </w:tcBorders>
          </w:tcPr>
          <w:p w:rsidR="00C17027" w:rsidRPr="00B31BEB" w:rsidRDefault="007D39A3" w:rsidP="004D4BA3">
            <w:pPr>
              <w:tabs>
                <w:tab w:val="center" w:pos="4800"/>
                <w:tab w:val="right" w:pos="9500"/>
              </w:tabs>
              <w:ind w:firstLine="720"/>
            </w:pPr>
            <w:r w:rsidRPr="00B31BEB">
              <w:t>Belgian</w:t>
            </w:r>
          </w:p>
        </w:tc>
        <w:tc>
          <w:tcPr>
            <w:tcW w:w="1440" w:type="dxa"/>
            <w:tcBorders>
              <w:top w:val="nil"/>
              <w:left w:val="nil"/>
              <w:bottom w:val="nil"/>
              <w:right w:val="nil"/>
            </w:tcBorders>
          </w:tcPr>
          <w:p w:rsidR="00C17027" w:rsidRPr="00B31BEB" w:rsidRDefault="00C17027">
            <w:pPr>
              <w:tabs>
                <w:tab w:val="center" w:pos="4800"/>
                <w:tab w:val="right" w:pos="9500"/>
              </w:tabs>
              <w:jc w:val="center"/>
            </w:pPr>
            <w:r w:rsidRPr="00B31BEB">
              <w:t xml:space="preserve">Not </w:t>
            </w:r>
            <w:r w:rsidR="00395AB8" w:rsidRPr="00B31BEB">
              <w:t>B</w:t>
            </w:r>
            <w:r w:rsidR="007D39A3" w:rsidRPr="00B31BEB">
              <w:t>elgian</w:t>
            </w:r>
          </w:p>
        </w:tc>
      </w:tr>
      <w:tr w:rsidR="00B31BEB" w:rsidRPr="00B31BEB" w:rsidTr="001A5DEC">
        <w:trPr>
          <w:jc w:val="center"/>
        </w:trPr>
        <w:tc>
          <w:tcPr>
            <w:tcW w:w="3827" w:type="dxa"/>
            <w:tcBorders>
              <w:top w:val="nil"/>
              <w:left w:val="nil"/>
              <w:bottom w:val="single" w:sz="4" w:space="0" w:color="auto"/>
              <w:right w:val="nil"/>
            </w:tcBorders>
          </w:tcPr>
          <w:p w:rsidR="00C17027" w:rsidRPr="00B31BEB" w:rsidRDefault="00680C34" w:rsidP="00C17027">
            <w:pPr>
              <w:tabs>
                <w:tab w:val="center" w:pos="4800"/>
                <w:tab w:val="right" w:pos="9500"/>
              </w:tabs>
              <w:jc w:val="both"/>
              <w:rPr>
                <w:noProof/>
              </w:rPr>
            </w:pPr>
            <w:r w:rsidRPr="00B31BEB">
              <w:t>Distance (kms)</w:t>
            </w:r>
          </w:p>
        </w:tc>
        <w:tc>
          <w:tcPr>
            <w:tcW w:w="1310" w:type="dxa"/>
            <w:tcBorders>
              <w:top w:val="nil"/>
              <w:left w:val="nil"/>
              <w:bottom w:val="single" w:sz="4" w:space="0" w:color="auto"/>
              <w:right w:val="nil"/>
            </w:tcBorders>
          </w:tcPr>
          <w:p w:rsidR="00C17027" w:rsidRPr="00B31BEB" w:rsidRDefault="00C17027" w:rsidP="004D4BA3">
            <w:pPr>
              <w:tabs>
                <w:tab w:val="center" w:pos="4800"/>
                <w:tab w:val="right" w:pos="9500"/>
              </w:tabs>
              <w:jc w:val="center"/>
            </w:pPr>
            <w:r w:rsidRPr="00B31BEB">
              <w:t>1000</w:t>
            </w:r>
          </w:p>
        </w:tc>
        <w:tc>
          <w:tcPr>
            <w:tcW w:w="2030" w:type="dxa"/>
            <w:tcBorders>
              <w:top w:val="nil"/>
              <w:left w:val="nil"/>
              <w:bottom w:val="single" w:sz="4" w:space="0" w:color="auto"/>
              <w:right w:val="nil"/>
            </w:tcBorders>
          </w:tcPr>
          <w:p w:rsidR="00C17027" w:rsidRPr="00B31BEB" w:rsidRDefault="00C17027" w:rsidP="004D4BA3">
            <w:pPr>
              <w:tabs>
                <w:tab w:val="center" w:pos="4800"/>
                <w:tab w:val="right" w:pos="9500"/>
              </w:tabs>
              <w:ind w:firstLine="720"/>
            </w:pPr>
            <w:r w:rsidRPr="00B31BEB">
              <w:t>100</w:t>
            </w:r>
          </w:p>
        </w:tc>
        <w:tc>
          <w:tcPr>
            <w:tcW w:w="1440" w:type="dxa"/>
            <w:tcBorders>
              <w:top w:val="nil"/>
              <w:left w:val="nil"/>
              <w:bottom w:val="single" w:sz="4" w:space="0" w:color="auto"/>
              <w:right w:val="nil"/>
            </w:tcBorders>
          </w:tcPr>
          <w:p w:rsidR="00C17027" w:rsidRPr="00B31BEB" w:rsidRDefault="00C17027" w:rsidP="00C17027">
            <w:pPr>
              <w:tabs>
                <w:tab w:val="center" w:pos="4800"/>
                <w:tab w:val="right" w:pos="9500"/>
              </w:tabs>
              <w:ind w:firstLine="720"/>
              <w:jc w:val="both"/>
            </w:pPr>
            <w:r w:rsidRPr="00B31BEB">
              <w:t xml:space="preserve"> 300 </w:t>
            </w:r>
          </w:p>
        </w:tc>
      </w:tr>
    </w:tbl>
    <w:p w:rsidR="00F1106F" w:rsidRPr="00B31BEB" w:rsidRDefault="00F1106F" w:rsidP="00C62B1C">
      <w:pPr>
        <w:tabs>
          <w:tab w:val="center" w:pos="4800"/>
          <w:tab w:val="right" w:pos="9500"/>
        </w:tabs>
        <w:ind w:firstLine="720"/>
        <w:jc w:val="both"/>
        <w:rPr>
          <w:noProof/>
        </w:rPr>
      </w:pPr>
      <w:r w:rsidRPr="00B31BEB">
        <w:rPr>
          <w:noProof/>
        </w:rPr>
        <w:t>At which web store would you prefer to make your online purchase?</w:t>
      </w:r>
    </w:p>
    <w:p w:rsidR="0022731D" w:rsidRPr="00B31BEB" w:rsidRDefault="004B3533" w:rsidP="00C62B1C">
      <w:pPr>
        <w:tabs>
          <w:tab w:val="center" w:pos="4800"/>
          <w:tab w:val="right" w:pos="9500"/>
        </w:tabs>
        <w:ind w:firstLine="720"/>
        <w:jc w:val="both"/>
        <w:rPr>
          <w:noProof/>
        </w:rPr>
      </w:pPr>
      <w:r w:rsidRPr="00B31BEB">
        <w:rPr>
          <w:noProof/>
        </w:rPr>
        <w:tab/>
      </w:r>
      <w:r w:rsidR="0022731D" w:rsidRPr="00B31BEB">
        <w:rPr>
          <w:noProof/>
          <w:position w:val="-4"/>
        </w:rPr>
        <w:object w:dxaOrig="160" w:dyaOrig="180">
          <v:shape id="_x0000_i1035" type="#_x0000_t75" style="width:7.8pt;height:10.2pt" o:ole="">
            <v:imagedata r:id="rId35" o:title=""/>
          </v:shape>
          <o:OLEObject Type="Embed" ProgID="Equation.DSMT4" ShapeID="_x0000_i1035" DrawAspect="Content" ObjectID="_1649081637" r:id="rId36"/>
        </w:object>
      </w:r>
      <w:r w:rsidR="0022731D" w:rsidRPr="00B31BEB">
        <w:rPr>
          <w:noProof/>
        </w:rPr>
        <w:t xml:space="preserve"> Webshop A  </w:t>
      </w:r>
      <w:r w:rsidR="0022731D" w:rsidRPr="00B31BEB">
        <w:rPr>
          <w:noProof/>
          <w:position w:val="-4"/>
        </w:rPr>
        <w:object w:dxaOrig="160" w:dyaOrig="180">
          <v:shape id="_x0000_i1036" type="#_x0000_t75" style="width:7.8pt;height:10.2pt" o:ole="">
            <v:imagedata r:id="rId37" o:title=""/>
          </v:shape>
          <o:OLEObject Type="Embed" ProgID="Equation.DSMT4" ShapeID="_x0000_i1036" DrawAspect="Content" ObjectID="_1649081638" r:id="rId38"/>
        </w:object>
      </w:r>
      <w:r w:rsidR="0022731D" w:rsidRPr="00B31BEB">
        <w:rPr>
          <w:noProof/>
        </w:rPr>
        <w:t xml:space="preserve"> Webshop B  </w:t>
      </w:r>
      <w:r w:rsidR="0022731D" w:rsidRPr="00B31BEB">
        <w:rPr>
          <w:noProof/>
          <w:position w:val="-4"/>
        </w:rPr>
        <w:object w:dxaOrig="160" w:dyaOrig="180">
          <v:shape id="_x0000_i1037" type="#_x0000_t75" style="width:7.8pt;height:10.2pt" o:ole="">
            <v:imagedata r:id="rId39" o:title=""/>
          </v:shape>
          <o:OLEObject Type="Embed" ProgID="Equation.DSMT4" ShapeID="_x0000_i1037" DrawAspect="Content" ObjectID="_1649081639" r:id="rId40"/>
        </w:object>
      </w:r>
      <w:r w:rsidR="0022731D" w:rsidRPr="00B31BEB">
        <w:rPr>
          <w:noProof/>
        </w:rPr>
        <w:t xml:space="preserve"> Webshop C  </w:t>
      </w:r>
      <w:r w:rsidR="0022731D" w:rsidRPr="00B31BEB">
        <w:rPr>
          <w:noProof/>
          <w:position w:val="-4"/>
        </w:rPr>
        <w:object w:dxaOrig="160" w:dyaOrig="180">
          <v:shape id="_x0000_i1038" type="#_x0000_t75" style="width:7.8pt;height:10.2pt" o:ole="">
            <v:imagedata r:id="rId41" o:title=""/>
          </v:shape>
          <o:OLEObject Type="Embed" ProgID="Equation.DSMT4" ShapeID="_x0000_i1038" DrawAspect="Content" ObjectID="_1649081640" r:id="rId42"/>
        </w:object>
      </w:r>
      <w:r w:rsidR="0022731D" w:rsidRPr="00B31BEB">
        <w:rPr>
          <w:noProof/>
        </w:rPr>
        <w:t xml:space="preserve"> None</w:t>
      </w:r>
    </w:p>
    <w:p w:rsidR="00997B0F" w:rsidRPr="00B31BEB" w:rsidRDefault="00697D0F" w:rsidP="00697D0F">
      <w:pPr>
        <w:pStyle w:val="Heading2"/>
      </w:pPr>
      <w:r w:rsidRPr="00B31BEB">
        <w:t>Survey and Questionnaire</w:t>
      </w:r>
    </w:p>
    <w:p w:rsidR="00F10FB3" w:rsidRPr="00B31BEB" w:rsidRDefault="00F10FB3" w:rsidP="004529A6">
      <w:pPr>
        <w:tabs>
          <w:tab w:val="center" w:pos="4800"/>
          <w:tab w:val="right" w:pos="9500"/>
        </w:tabs>
        <w:ind w:firstLine="720"/>
        <w:rPr>
          <w:noProof/>
        </w:rPr>
      </w:pPr>
      <w:r w:rsidRPr="00B31BEB">
        <w:rPr>
          <w:noProof/>
        </w:rPr>
        <w:t xml:space="preserve">Participants were provided with questionnaires divided into three </w:t>
      </w:r>
      <w:r w:rsidR="00D75A2C" w:rsidRPr="00B31BEB">
        <w:rPr>
          <w:noProof/>
        </w:rPr>
        <w:t>parts</w:t>
      </w:r>
      <w:r w:rsidRPr="00B31BEB">
        <w:rPr>
          <w:noProof/>
        </w:rPr>
        <w:t xml:space="preserve">. The first </w:t>
      </w:r>
      <w:r w:rsidR="00D75A2C" w:rsidRPr="00B31BEB">
        <w:rPr>
          <w:noProof/>
        </w:rPr>
        <w:t xml:space="preserve">part </w:t>
      </w:r>
      <w:r w:rsidRPr="00B31BEB">
        <w:rPr>
          <w:noProof/>
        </w:rPr>
        <w:t xml:space="preserve">was concerned with online purchases frequency and behavior. Respondents were asked to indicate how often they made online purchases (with response options: daily, weekly, monthly, every three months, every six months, once per year, less than once per year and never). They were then asked to indicate the categories in which they placed most of their online purchases (clothing, travel &amp; leisure, computer &amp; electronics). Lastly, they were asked to indicate why they purchased or have not yet purchased items online. </w:t>
      </w:r>
    </w:p>
    <w:p w:rsidR="00F10FB3" w:rsidRPr="00B31BEB" w:rsidRDefault="00F10FB3" w:rsidP="004529A6">
      <w:pPr>
        <w:tabs>
          <w:tab w:val="center" w:pos="4800"/>
          <w:tab w:val="right" w:pos="9500"/>
        </w:tabs>
        <w:ind w:firstLine="720"/>
        <w:rPr>
          <w:noProof/>
        </w:rPr>
      </w:pPr>
      <w:r w:rsidRPr="00B31BEB">
        <w:rPr>
          <w:noProof/>
        </w:rPr>
        <w:t xml:space="preserve">The second part comprised of the choice experiment. A series of twelve choice sets of three webshop alternatives and an opt-out option was used. The twelve choice sets were further divided into two blocks: Block 1 </w:t>
      </w:r>
      <w:r w:rsidR="00AC1CEE" w:rsidRPr="00B31BEB">
        <w:rPr>
          <w:noProof/>
        </w:rPr>
        <w:t>for</w:t>
      </w:r>
      <w:r w:rsidRPr="00B31BEB">
        <w:rPr>
          <w:noProof/>
        </w:rPr>
        <w:t xml:space="preserve"> choice sets 1-6, and Block 2</w:t>
      </w:r>
      <w:r w:rsidR="00C72DE7" w:rsidRPr="00B31BEB">
        <w:rPr>
          <w:noProof/>
        </w:rPr>
        <w:t xml:space="preserve"> for</w:t>
      </w:r>
      <w:r w:rsidR="00803E85" w:rsidRPr="00B31BEB">
        <w:rPr>
          <w:noProof/>
        </w:rPr>
        <w:t xml:space="preserve"> </w:t>
      </w:r>
      <w:r w:rsidRPr="00B31BEB">
        <w:rPr>
          <w:noProof/>
        </w:rPr>
        <w:t>choice sets 7-12. To assess changes in consumer</w:t>
      </w:r>
      <w:r w:rsidR="0084379D" w:rsidRPr="00B31BEB">
        <w:rPr>
          <w:noProof/>
        </w:rPr>
        <w:t xml:space="preserve"> behavior, additional </w:t>
      </w:r>
      <w:r w:rsidRPr="00B31BEB">
        <w:rPr>
          <w:noProof/>
        </w:rPr>
        <w:t xml:space="preserve">information on </w:t>
      </w:r>
      <w:r w:rsidRPr="00B31BEB">
        <w:rPr>
          <w:noProof/>
        </w:rPr>
        <w:lastRenderedPageBreak/>
        <w:t xml:space="preserve">trust label, headquarters and distance attributes was provided between the two blocks of choice sets. Table 3 shows the attributes and the information given after the first block.  </w:t>
      </w:r>
    </w:p>
    <w:p w:rsidR="00C83A73" w:rsidRPr="00B31BEB" w:rsidRDefault="001A55B5" w:rsidP="00C83A73">
      <w:pPr>
        <w:tabs>
          <w:tab w:val="center" w:pos="4800"/>
          <w:tab w:val="right" w:pos="9500"/>
        </w:tabs>
        <w:ind w:firstLine="720"/>
        <w:jc w:val="both"/>
        <w:rPr>
          <w:noProof/>
        </w:rPr>
      </w:pPr>
      <w:r w:rsidRPr="00B31BEB">
        <w:t>Table 3</w:t>
      </w:r>
      <w:r w:rsidR="00C83A73" w:rsidRPr="00B31BEB">
        <w:t xml:space="preserve">. </w:t>
      </w:r>
      <w:r w:rsidR="00E11F25" w:rsidRPr="00B31BEB">
        <w:rPr>
          <w:noProof/>
        </w:rPr>
        <w:t>I</w:t>
      </w:r>
      <w:r w:rsidRPr="00B31BEB">
        <w:rPr>
          <w:noProof/>
        </w:rPr>
        <w:t>nformation given on trust label, headquarters and distance attributes</w:t>
      </w:r>
    </w:p>
    <w:tbl>
      <w:tblPr>
        <w:tblStyle w:val="TableGrid"/>
        <w:tblW w:w="8602" w:type="dxa"/>
        <w:jc w:val="center"/>
        <w:tblLook w:val="04A0" w:firstRow="1" w:lastRow="0" w:firstColumn="1" w:lastColumn="0" w:noHBand="0" w:noVBand="1"/>
      </w:tblPr>
      <w:tblGrid>
        <w:gridCol w:w="1616"/>
        <w:gridCol w:w="6986"/>
      </w:tblGrid>
      <w:tr w:rsidR="00B31BEB" w:rsidRPr="00B31BEB" w:rsidTr="000C6C97">
        <w:trPr>
          <w:jc w:val="center"/>
        </w:trPr>
        <w:tc>
          <w:tcPr>
            <w:tcW w:w="1616" w:type="dxa"/>
            <w:tcBorders>
              <w:top w:val="single" w:sz="4" w:space="0" w:color="auto"/>
              <w:left w:val="nil"/>
              <w:bottom w:val="single" w:sz="4" w:space="0" w:color="auto"/>
              <w:right w:val="nil"/>
            </w:tcBorders>
          </w:tcPr>
          <w:p w:rsidR="000C6C97" w:rsidRPr="00B31BEB" w:rsidRDefault="000C6C97">
            <w:pPr>
              <w:pStyle w:val="Paragraph"/>
            </w:pPr>
            <w:r w:rsidRPr="00B31BEB">
              <w:t>Attribute</w:t>
            </w:r>
          </w:p>
        </w:tc>
        <w:tc>
          <w:tcPr>
            <w:tcW w:w="6986" w:type="dxa"/>
            <w:tcBorders>
              <w:top w:val="single" w:sz="4" w:space="0" w:color="auto"/>
              <w:left w:val="nil"/>
              <w:bottom w:val="single" w:sz="4" w:space="0" w:color="auto"/>
              <w:right w:val="nil"/>
            </w:tcBorders>
          </w:tcPr>
          <w:p w:rsidR="000C6C97" w:rsidRPr="00B31BEB" w:rsidRDefault="000C6C97">
            <w:pPr>
              <w:pStyle w:val="Paragraph"/>
            </w:pPr>
            <w:r w:rsidRPr="00B31BEB">
              <w:t>Information</w:t>
            </w:r>
          </w:p>
        </w:tc>
      </w:tr>
      <w:tr w:rsidR="00B31BEB" w:rsidRPr="00B31BEB" w:rsidTr="000C6C97">
        <w:trPr>
          <w:jc w:val="center"/>
        </w:trPr>
        <w:tc>
          <w:tcPr>
            <w:tcW w:w="1616" w:type="dxa"/>
            <w:tcBorders>
              <w:top w:val="single" w:sz="4" w:space="0" w:color="auto"/>
              <w:left w:val="nil"/>
              <w:bottom w:val="nil"/>
              <w:right w:val="nil"/>
            </w:tcBorders>
          </w:tcPr>
          <w:p w:rsidR="000C6C97" w:rsidRPr="00B31BEB" w:rsidRDefault="000C6C97" w:rsidP="00BC0F25">
            <w:pPr>
              <w:pStyle w:val="Paragraph"/>
            </w:pPr>
            <w:r w:rsidRPr="00B31BEB">
              <w:t>Trust label</w:t>
            </w:r>
          </w:p>
        </w:tc>
        <w:tc>
          <w:tcPr>
            <w:tcW w:w="6986" w:type="dxa"/>
            <w:tcBorders>
              <w:top w:val="single" w:sz="4" w:space="0" w:color="auto"/>
              <w:left w:val="nil"/>
              <w:bottom w:val="nil"/>
              <w:right w:val="nil"/>
            </w:tcBorders>
          </w:tcPr>
          <w:p w:rsidR="000C6C97" w:rsidRPr="00B31BEB" w:rsidRDefault="000C6C97" w:rsidP="00BC0F25">
            <w:pPr>
              <w:pStyle w:val="Paragraph"/>
            </w:pPr>
            <w:r w:rsidRPr="00B31BEB">
              <w:t>Some websites have a trust label. This label shows that online purchases are reliable at this website (Federal Public Service - FPS - Economy, 2018). The presence of a label implies that payments are secure and your data will not be misused.</w:t>
            </w:r>
          </w:p>
        </w:tc>
      </w:tr>
      <w:tr w:rsidR="00B31BEB" w:rsidRPr="00B31BEB" w:rsidTr="000C6C97">
        <w:trPr>
          <w:jc w:val="center"/>
        </w:trPr>
        <w:tc>
          <w:tcPr>
            <w:tcW w:w="1616" w:type="dxa"/>
            <w:tcBorders>
              <w:top w:val="nil"/>
              <w:left w:val="nil"/>
              <w:bottom w:val="nil"/>
              <w:right w:val="nil"/>
            </w:tcBorders>
          </w:tcPr>
          <w:p w:rsidR="000C6C97" w:rsidRPr="00B31BEB" w:rsidRDefault="000C6C97">
            <w:pPr>
              <w:pStyle w:val="Paragraph"/>
            </w:pPr>
            <w:r w:rsidRPr="00B31BEB">
              <w:t>Headquarters</w:t>
            </w:r>
          </w:p>
        </w:tc>
        <w:tc>
          <w:tcPr>
            <w:tcW w:w="6986" w:type="dxa"/>
            <w:tcBorders>
              <w:top w:val="nil"/>
              <w:left w:val="nil"/>
              <w:bottom w:val="nil"/>
              <w:right w:val="nil"/>
            </w:tcBorders>
          </w:tcPr>
          <w:p w:rsidR="000C6C97" w:rsidRPr="00B31BEB" w:rsidRDefault="000C6C97" w:rsidP="000C6C97">
            <w:pPr>
              <w:pStyle w:val="Paragraph"/>
            </w:pPr>
            <w:r w:rsidRPr="00B31BEB">
              <w:t>Scientific studies show that online and offline stores with Belgian headquarters are facing hard times. This is because they have to compete against foreign webshops such as Zalando, Bol.com, Amazon ... These foreign e-commerce webshops collected 5.5 billion euros in sales in the Belgian market in 2018 alone. Yet, purchases on foreign webshops do not contribute to the Belgian economy.</w:t>
            </w:r>
          </w:p>
        </w:tc>
      </w:tr>
      <w:tr w:rsidR="00770061" w:rsidRPr="00B31BEB" w:rsidTr="000C6C97">
        <w:trPr>
          <w:jc w:val="center"/>
        </w:trPr>
        <w:tc>
          <w:tcPr>
            <w:tcW w:w="1616" w:type="dxa"/>
            <w:tcBorders>
              <w:top w:val="nil"/>
              <w:left w:val="nil"/>
              <w:bottom w:val="single" w:sz="4" w:space="0" w:color="auto"/>
              <w:right w:val="nil"/>
            </w:tcBorders>
          </w:tcPr>
          <w:p w:rsidR="00770061" w:rsidRPr="00B31BEB" w:rsidRDefault="00770061" w:rsidP="00770061">
            <w:pPr>
              <w:pStyle w:val="Paragraph"/>
            </w:pPr>
            <w:r w:rsidRPr="00B31BEB">
              <w:t>Distance</w:t>
            </w:r>
          </w:p>
        </w:tc>
        <w:tc>
          <w:tcPr>
            <w:tcW w:w="6986" w:type="dxa"/>
            <w:tcBorders>
              <w:top w:val="nil"/>
              <w:left w:val="nil"/>
              <w:bottom w:val="single" w:sz="4" w:space="0" w:color="auto"/>
              <w:right w:val="nil"/>
            </w:tcBorders>
          </w:tcPr>
          <w:p w:rsidR="00770061" w:rsidRPr="00B31BEB" w:rsidRDefault="00770061" w:rsidP="00770061">
            <w:pPr>
              <w:pStyle w:val="Paragraph"/>
            </w:pPr>
            <w:r w:rsidRPr="00B31BEB">
              <w:t>Scientific studies show that e-commerce is not very sustainable. The greater the distance a package must travel to reach the consumer, the greater the impact on the environment</w:t>
            </w:r>
            <w:r w:rsidR="00F509BF" w:rsidRPr="00B31BEB">
              <w:t>.</w:t>
            </w:r>
          </w:p>
        </w:tc>
      </w:tr>
    </w:tbl>
    <w:p w:rsidR="00487956" w:rsidRPr="00B31BEB" w:rsidRDefault="00487956" w:rsidP="004B2D2B">
      <w:pPr>
        <w:tabs>
          <w:tab w:val="center" w:pos="4800"/>
          <w:tab w:val="right" w:pos="9500"/>
        </w:tabs>
        <w:ind w:firstLine="720"/>
        <w:rPr>
          <w:noProof/>
        </w:rPr>
      </w:pPr>
    </w:p>
    <w:p w:rsidR="004B2D2B" w:rsidRPr="00B31BEB" w:rsidRDefault="004B2D2B" w:rsidP="004B2D2B">
      <w:pPr>
        <w:tabs>
          <w:tab w:val="center" w:pos="4800"/>
          <w:tab w:val="right" w:pos="9500"/>
        </w:tabs>
        <w:ind w:firstLine="720"/>
        <w:rPr>
          <w:noProof/>
        </w:rPr>
      </w:pPr>
      <w:r w:rsidRPr="00B31BEB">
        <w:rPr>
          <w:noProof/>
        </w:rPr>
        <w:t xml:space="preserve">The third </w:t>
      </w:r>
      <w:r w:rsidR="0089037D" w:rsidRPr="00B31BEB">
        <w:rPr>
          <w:noProof/>
        </w:rPr>
        <w:t xml:space="preserve">part </w:t>
      </w:r>
      <w:r w:rsidRPr="00B31BEB">
        <w:rPr>
          <w:noProof/>
        </w:rPr>
        <w:t xml:space="preserve">comprised of socio-economic and attitudinal questions. The socio-economic questions asked for respondent’s age, </w:t>
      </w:r>
      <w:r w:rsidR="002E0555" w:rsidRPr="00B31BEB">
        <w:rPr>
          <w:noProof/>
        </w:rPr>
        <w:t>gender</w:t>
      </w:r>
      <w:r w:rsidRPr="00B31BEB">
        <w:rPr>
          <w:noProof/>
        </w:rPr>
        <w:t xml:space="preserve">, education level, current employment status, income and the number of family members in their households. </w:t>
      </w:r>
    </w:p>
    <w:p w:rsidR="004B2D2B" w:rsidRPr="00B31BEB" w:rsidRDefault="004B2D2B" w:rsidP="004B2D2B">
      <w:pPr>
        <w:tabs>
          <w:tab w:val="center" w:pos="4800"/>
          <w:tab w:val="right" w:pos="9500"/>
        </w:tabs>
        <w:ind w:firstLine="720"/>
        <w:rPr>
          <w:noProof/>
        </w:rPr>
      </w:pPr>
      <w:r w:rsidRPr="00B31BEB">
        <w:rPr>
          <w:noProof/>
        </w:rPr>
        <w:t>The New Environmental Paradigm (NEP) scale</w:t>
      </w:r>
      <w:r w:rsidR="002B1CE5" w:rsidRPr="00B31BEB">
        <w:rPr>
          <w:noProof/>
        </w:rPr>
        <w:t xml:space="preserve"> </w:t>
      </w:r>
      <w:r w:rsidR="000A3492" w:rsidRPr="00B31BEB">
        <w:rPr>
          <w:rStyle w:val="FootnoteReference"/>
          <w:noProof/>
        </w:rPr>
        <w:fldChar w:fldCharType="begin" w:fldLock="1"/>
      </w:r>
      <w:r w:rsidR="00B8448F" w:rsidRPr="00B31BEB">
        <w:rPr>
          <w:noProof/>
        </w:rPr>
        <w:instrText>ADDIN CSL_CITATION {"citationItems":[{"id":"ITEM-1","itemData":{"DOI":"10.1111/0022-4537.00176","ISSN":"0022-4537","abstract":"Dunlap and Van Liere’s New Environmental Paradigm (NEP) Scale, published in 1978, has become a widely used measure of proenvironmental orientation. This article develops a revised NEP Scale designed to improve upon the original one in several respects: (1) It taps a wider range of facets of an ecological worldview, (2) It offers a balanced set of pro- and anti-NEP items, and (3) It avoids outmoded terminology. The new scale, termed the New Ecological Paradigm Scale, consists of 15 items. Results of a 1990 Washington State survey suggest that the items can be treated as an internally consistent summated rating scale and also indicate a modest growth in pro-NEP responses among Washington residents over the 14 years since the original study.","author":[{"dropping-particle":"","family":"Dunlap","given":"Riley E.","non-dropping-particle":"","parse-names":false,"suffix":""},{"dropping-particle":"","family":"Liere","given":"Kent D.","non-dropping-particle":"Van","parse-names":false,"suffix":""},{"dropping-particle":"","family":"Mertig","given":"Angela G.","non-dropping-particle":"","parse-names":false,"suffix":""},{"dropping-particle":"","family":"Jones","given":"Robert Emmet","non-dropping-particle":"","parse-names":false,"suffix":""}],"container-title":"Journal of Social Issues","id":"ITEM-1","issue":"3","issued":{"date-parts":[["2000"]]},"page":"425-442","title":"New Trends in Measuring Environmental Attitudes: Measuring Endorsement of the New Ecological Paradigm: A Revised NEP Scale","type":"article-journal","volume":"56"},"uris":["http://www.mendeley.com/documents/?uuid=c415bfe0-d786-49be-bede-475016a8ca1a"]}],"mendeley":{"formattedCitation":"[18]","plainTextFormattedCitation":"[18]","previouslyFormattedCitation":"[18]"},"properties":{"noteIndex":0},"schema":"https://github.com/citation-style-language/schema/raw/master/csl-citation.json"}</w:instrText>
      </w:r>
      <w:r w:rsidR="000A3492" w:rsidRPr="00B31BEB">
        <w:rPr>
          <w:rStyle w:val="FootnoteReference"/>
          <w:noProof/>
        </w:rPr>
        <w:fldChar w:fldCharType="separate"/>
      </w:r>
      <w:r w:rsidR="00102417" w:rsidRPr="00B31BEB">
        <w:rPr>
          <w:noProof/>
        </w:rPr>
        <w:t>[18]</w:t>
      </w:r>
      <w:r w:rsidR="000A3492" w:rsidRPr="00B31BEB">
        <w:rPr>
          <w:rStyle w:val="FootnoteReference"/>
          <w:noProof/>
        </w:rPr>
        <w:fldChar w:fldCharType="end"/>
      </w:r>
      <w:r w:rsidR="002B1CE5" w:rsidRPr="00B31BEB">
        <w:rPr>
          <w:noProof/>
        </w:rPr>
        <w:t xml:space="preserve"> </w:t>
      </w:r>
      <w:r w:rsidRPr="00B31BEB">
        <w:rPr>
          <w:noProof/>
        </w:rPr>
        <w:t>was used to elicit environmental concerns. The NEP scale comprised of the fifteen items as presented by Dunlap et al.</w:t>
      </w:r>
      <w:r w:rsidR="00CF5DC4" w:rsidRPr="00B31BEB">
        <w:rPr>
          <w:noProof/>
        </w:rPr>
        <w:t xml:space="preserve"> </w:t>
      </w:r>
      <w:r w:rsidR="000A3492" w:rsidRPr="00B31BEB">
        <w:rPr>
          <w:rStyle w:val="FootnoteReference"/>
          <w:noProof/>
        </w:rPr>
        <w:fldChar w:fldCharType="begin" w:fldLock="1"/>
      </w:r>
      <w:r w:rsidR="00B8448F" w:rsidRPr="00B31BEB">
        <w:rPr>
          <w:noProof/>
        </w:rPr>
        <w:instrText>ADDIN CSL_CITATION {"citationItems":[{"id":"ITEM-1","itemData":{"DOI":"10.1111/0022-4537.00176","ISSN":"0022-4537","abstract":"Dunlap and Van Liere’s New Environmental Paradigm (NEP) Scale, published in 1978, has become a widely used measure of proenvironmental orientation. This article develops a revised NEP Scale designed to improve upon the original one in several respects: (1) It taps a wider range of facets of an ecological worldview, (2) It offers a balanced set of pro- and anti-NEP items, and (3) It avoids outmoded terminology. The new scale, termed the New Ecological Paradigm Scale, consists of 15 items. Results of a 1990 Washington State survey suggest that the items can be treated as an internally consistent summated rating scale and also indicate a modest growth in pro-NEP responses among Washington residents over the 14 years since the original study.","author":[{"dropping-particle":"","family":"Dunlap","given":"Riley E.","non-dropping-particle":"","parse-names":false,"suffix":""},{"dropping-particle":"","family":"Liere","given":"Kent D.","non-dropping-particle":"Van","parse-names":false,"suffix":""},{"dropping-particle":"","family":"Mertig","given":"Angela G.","non-dropping-particle":"","parse-names":false,"suffix":""},{"dropping-particle":"","family":"Jones","given":"Robert Emmet","non-dropping-particle":"","parse-names":false,"suffix":""}],"container-title":"Journal of Social Issues","id":"ITEM-1","issue":"3","issued":{"date-parts":[["2000"]]},"page":"425-442","title":"New Trends in Measuring Environmental Attitudes: Measuring Endorsement of the New Ecological Paradigm: A Revised NEP Scale","type":"article-journal","volume":"56"},"uris":["http://www.mendeley.com/documents/?uuid=c415bfe0-d786-49be-bede-475016a8ca1a"]}],"mendeley":{"formattedCitation":"[18]","plainTextFormattedCitation":"[18]","previouslyFormattedCitation":"[18]"},"properties":{"noteIndex":0},"schema":"https://github.com/citation-style-language/schema/raw/master/csl-citation.json"}</w:instrText>
      </w:r>
      <w:r w:rsidR="000A3492" w:rsidRPr="00B31BEB">
        <w:rPr>
          <w:rStyle w:val="FootnoteReference"/>
          <w:noProof/>
        </w:rPr>
        <w:fldChar w:fldCharType="separate"/>
      </w:r>
      <w:r w:rsidR="00102417" w:rsidRPr="00B31BEB">
        <w:rPr>
          <w:noProof/>
        </w:rPr>
        <w:t>[18]</w:t>
      </w:r>
      <w:r w:rsidR="000A3492" w:rsidRPr="00B31BEB">
        <w:rPr>
          <w:rStyle w:val="FootnoteReference"/>
          <w:noProof/>
        </w:rPr>
        <w:fldChar w:fldCharType="end"/>
      </w:r>
      <w:r w:rsidRPr="00B31BEB">
        <w:rPr>
          <w:noProof/>
        </w:rPr>
        <w:t xml:space="preserve">. The even-numbered items were reversed so that the scale indicates </w:t>
      </w:r>
      <w:r w:rsidRPr="00B31BEB">
        <w:rPr>
          <w:noProof/>
        </w:rPr>
        <w:lastRenderedPageBreak/>
        <w:t>pro-environmentalism. Respondents with higher pro-environmental concerns were expected to be more attentive to the shipment distance attribute. The nationalism scale comprised of three items</w:t>
      </w:r>
      <w:r w:rsidR="004111B0"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{"citationItems":[{"id":"ITEM-1","itemData":{"DOI":"10.1162/ISEC_a_00265","ISSN":"15314804","author":[{"dropping-particle":"","family":"Johnston","given":"Alastair Iain","non-dropping-particle":"","parse-names":false,"suffix":""}],"container-title":"International Security","id":"ITEM-1","issue":"3","issued":{"date-parts":[["2017"]]},"page":"7-43","title":"Is Chinese nationalism rising? Evidence from Beijing","type":"article-journal","volume":"41"},"uris":["http://www.mendeley.com/documents/?uuid=7a88ffc8-4afe-4583-8485-71d6616b2ef1"]}],"mendeley":{"formattedCitation":"[34]","plainTextFormattedCitation":"[34]","previouslyFormattedCitation":"[34]"},"properties":{"noteIndex":0},"schema":"https://github.com/citation-style-language/schema/raw/master/csl-citation.json"}</w:instrText>
      </w:r>
      <w:r w:rsidR="000A3492" w:rsidRPr="00B31BEB">
        <w:rPr>
          <w:rStyle w:val="FootnoteReference"/>
          <w:noProof/>
        </w:rPr>
        <w:fldChar w:fldCharType="separate"/>
      </w:r>
      <w:r w:rsidR="00F8005E" w:rsidRPr="00B31BEB">
        <w:rPr>
          <w:noProof/>
        </w:rPr>
        <w:t>[34]</w:t>
      </w:r>
      <w:r w:rsidR="000A3492" w:rsidRPr="00B31BEB">
        <w:rPr>
          <w:rStyle w:val="FootnoteReference"/>
          <w:noProof/>
        </w:rPr>
        <w:fldChar w:fldCharType="end"/>
      </w:r>
      <w:r w:rsidR="001B0D02" w:rsidRPr="00B31BEB">
        <w:rPr>
          <w:noProof/>
        </w:rPr>
        <w:t xml:space="preserve"> </w:t>
      </w:r>
      <w:r w:rsidRPr="00B31BEB">
        <w:rPr>
          <w:noProof/>
        </w:rPr>
        <w:t xml:space="preserve">which were adapted for </w:t>
      </w:r>
      <w:r w:rsidR="00D442AD" w:rsidRPr="00B31BEB">
        <w:rPr>
          <w:noProof/>
        </w:rPr>
        <w:t xml:space="preserve">Belgium </w:t>
      </w:r>
      <w:r w:rsidRPr="00B31BEB">
        <w:rPr>
          <w:noProof/>
        </w:rPr>
        <w:t xml:space="preserve">and are shown in Table 4. Respondents with higher nationalism views were expected to attend more to the headquarters attribute and prefer purchasing from webshops with </w:t>
      </w:r>
      <w:r w:rsidR="00D442AD" w:rsidRPr="00B31BEB">
        <w:rPr>
          <w:noProof/>
        </w:rPr>
        <w:t xml:space="preserve">Belgian </w:t>
      </w:r>
      <w:r w:rsidRPr="00B31BEB">
        <w:rPr>
          <w:noProof/>
        </w:rPr>
        <w:t xml:space="preserve">head-offices.  </w:t>
      </w:r>
    </w:p>
    <w:p w:rsidR="002331AB" w:rsidRPr="00B31BEB" w:rsidRDefault="00090D89" w:rsidP="004B2D2B">
      <w:pPr>
        <w:tabs>
          <w:tab w:val="center" w:pos="4800"/>
          <w:tab w:val="right" w:pos="9500"/>
        </w:tabs>
        <w:ind w:firstLine="720"/>
        <w:rPr>
          <w:noProof/>
        </w:rPr>
      </w:pPr>
      <w:r w:rsidRPr="00B31BEB">
        <w:t xml:space="preserve">Table 4. </w:t>
      </w:r>
      <w:r w:rsidR="00CA0778" w:rsidRPr="00B31BEB">
        <w:rPr>
          <w:noProof/>
        </w:rPr>
        <w:t xml:space="preserve">Nationalism views </w:t>
      </w:r>
      <w:r w:rsidR="000A3492" w:rsidRPr="00B31BEB">
        <w:rPr>
          <w:rStyle w:val="FootnoteReference"/>
          <w:noProof/>
        </w:rPr>
        <w:fldChar w:fldCharType="begin" w:fldLock="1"/>
      </w:r>
      <w:r w:rsidR="00E23587" w:rsidRPr="00B31BEB">
        <w:rPr>
          <w:noProof/>
        </w:rPr>
        <w:instrText>ADDIN CSL_CITATION {"citationItems":[{"id":"ITEM-1","itemData":{"DOI":"10.1162/ISEC_a_00265","ISSN":"15314804","author":[{"dropping-particle":"","family":"Johnston","given":"Alastair Iain","non-dropping-particle":"","parse-names":false,"suffix":""}],"container-title":"International Security","id":"ITEM-1","issue":"3","issued":{"date-parts":[["2017"]]},"page":"7-43","title":"Is Chinese nationalism rising? Evidence from Beijing","type":"article-journal","volume":"41"},"uris":["http://www.mendeley.com/documents/?uuid=7a88ffc8-4afe-4583-8485-71d6616b2ef1"]}],"mendeley":{"formattedCitation":"[34]","plainTextFormattedCitation":"[34]","previouslyFormattedCitation":"[34]"},"properties":{"noteIndex":0},"schema":"https://github.com/citation-style-language/schema/raw/master/csl-citation.json"}</w:instrText>
      </w:r>
      <w:r w:rsidR="000A3492" w:rsidRPr="00B31BEB">
        <w:rPr>
          <w:rStyle w:val="FootnoteReference"/>
          <w:noProof/>
        </w:rPr>
        <w:fldChar w:fldCharType="separate"/>
      </w:r>
      <w:r w:rsidR="00F8005E" w:rsidRPr="00B31BEB">
        <w:rPr>
          <w:noProof/>
        </w:rPr>
        <w:t>[34]</w:t>
      </w:r>
      <w:r w:rsidR="000A3492" w:rsidRPr="00B31BEB">
        <w:rPr>
          <w:rStyle w:val="FootnoteReference"/>
          <w:noProof/>
        </w:rPr>
        <w:fldChar w:fldCharType="end"/>
      </w:r>
    </w:p>
    <w:tbl>
      <w:tblPr>
        <w:tblStyle w:val="TableGrid"/>
        <w:tblW w:w="0" w:type="auto"/>
        <w:jc w:val="center"/>
        <w:tblLook w:val="04A0" w:firstRow="1" w:lastRow="0" w:firstColumn="1" w:lastColumn="0" w:noHBand="0" w:noVBand="1"/>
      </w:tblPr>
      <w:tblGrid>
        <w:gridCol w:w="6423"/>
      </w:tblGrid>
      <w:tr w:rsidR="00B31BEB" w:rsidRPr="00B31BEB" w:rsidTr="00444F59">
        <w:trPr>
          <w:jc w:val="center"/>
        </w:trPr>
        <w:tc>
          <w:tcPr>
            <w:tcW w:w="6423" w:type="dxa"/>
            <w:tcBorders>
              <w:top w:val="single" w:sz="4" w:space="0" w:color="auto"/>
              <w:left w:val="nil"/>
              <w:bottom w:val="single" w:sz="4" w:space="0" w:color="auto"/>
              <w:right w:val="nil"/>
            </w:tcBorders>
          </w:tcPr>
          <w:p w:rsidR="00682025" w:rsidRPr="00B31BEB" w:rsidRDefault="00682025" w:rsidP="00B97CE3">
            <w:pPr>
              <w:pStyle w:val="Paragraph"/>
              <w:jc w:val="center"/>
            </w:pPr>
            <w:r w:rsidRPr="00B31BEB">
              <w:t>Item description</w:t>
            </w:r>
          </w:p>
        </w:tc>
      </w:tr>
      <w:tr w:rsidR="00682025" w:rsidRPr="00B31BEB" w:rsidTr="00DE6B40">
        <w:trPr>
          <w:jc w:val="center"/>
        </w:trPr>
        <w:tc>
          <w:tcPr>
            <w:tcW w:w="6423" w:type="dxa"/>
            <w:tcBorders>
              <w:top w:val="single" w:sz="4" w:space="0" w:color="auto"/>
              <w:left w:val="nil"/>
              <w:bottom w:val="single" w:sz="4" w:space="0" w:color="auto"/>
              <w:right w:val="nil"/>
            </w:tcBorders>
          </w:tcPr>
          <w:p w:rsidR="00C67705" w:rsidRPr="00B31BEB" w:rsidRDefault="00F77235" w:rsidP="00C67705">
            <w:pPr>
              <w:pStyle w:val="Numberedlist"/>
            </w:pPr>
            <w:r w:rsidRPr="00B31BEB">
              <w:t xml:space="preserve">I would prefer to be a citizen of </w:t>
            </w:r>
            <w:r w:rsidR="00BF6ED6" w:rsidRPr="00B31BEB">
              <w:t>Belgium</w:t>
            </w:r>
          </w:p>
          <w:p w:rsidR="00C67705" w:rsidRPr="00B31BEB" w:rsidRDefault="00BF6ED6" w:rsidP="00C67705">
            <w:pPr>
              <w:pStyle w:val="Numberedlist"/>
            </w:pPr>
            <w:r w:rsidRPr="00B31BEB">
              <w:t xml:space="preserve">Belgium </w:t>
            </w:r>
            <w:r w:rsidR="00F77235" w:rsidRPr="00B31BEB">
              <w:t>is a better country than most</w:t>
            </w:r>
          </w:p>
          <w:p w:rsidR="00F77235" w:rsidRPr="00B31BEB" w:rsidRDefault="00F77235" w:rsidP="00C67705">
            <w:pPr>
              <w:pStyle w:val="Numberedlist"/>
            </w:pPr>
            <w:r w:rsidRPr="00B31BEB">
              <w:t>You should support your country even when it is wrong</w:t>
            </w:r>
          </w:p>
        </w:tc>
      </w:tr>
    </w:tbl>
    <w:p w:rsidR="0041301C" w:rsidRPr="00B31BEB" w:rsidRDefault="0041301C" w:rsidP="0041301C">
      <w:pPr>
        <w:tabs>
          <w:tab w:val="center" w:pos="4800"/>
          <w:tab w:val="right" w:pos="9500"/>
        </w:tabs>
        <w:ind w:firstLine="720"/>
        <w:rPr>
          <w:noProof/>
        </w:rPr>
      </w:pPr>
    </w:p>
    <w:p w:rsidR="000361B1" w:rsidRPr="00B31BEB" w:rsidRDefault="000361B1" w:rsidP="0041301C">
      <w:pPr>
        <w:tabs>
          <w:tab w:val="center" w:pos="4800"/>
          <w:tab w:val="right" w:pos="9500"/>
        </w:tabs>
        <w:ind w:firstLine="720"/>
        <w:rPr>
          <w:noProof/>
        </w:rPr>
      </w:pPr>
      <w:r w:rsidRPr="00B31BEB">
        <w:rPr>
          <w:noProof/>
        </w:rPr>
        <w:t>The NEP and nationalism scales were both translated to Dutch. Respondents were then asked to indicate on a nine-point Likert scale whether they strongly disagreed (value 1) or strongly agreed (9) with each of the scale’s statements. To maximize information from each scale, we performed a principal components analysis and retained the first component. The reliability scores</w:t>
      </w:r>
      <w:r w:rsidR="003707BC"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{"citationItems":[{"id":"ITEM-1","itemData":{"DOI":"10.1177/001316447403400104","ISSN":"0013-1644","abstract":"Intraclass correlation reliablity estimates are based on the assumption that the various measures are equivalent. Jöreskog's (1970) general model for the analysis of covariance structures can be used to test the validity of this assumption.","author":[{"dropping-particle":"","family":"Werts","given":"C.E.","non-dropping-particle":"","parse-names":false,"suffix":""},{"dropping-particle":"","family":"Linn","given":"R.L.","non-dropping-particle":"","parse-names":false,"suffix":""},{"dropping-particle":"","family":"Jöreskog","given":"K.G.","non-dropping-particle":"","parse-names":false,"suffix":""}],"container-title":"Educational and Psychological Measurement","id":"ITEM-1","issue":"1","issued":{"date-parts":[["1974"]]},"page":"25-33","title":"Intraclass Reliability Estimates: Testing Structural Assumptions","type":"article-journal","volume":"34"},"uris":["http://www.mendeley.com/documents/?uuid=9454be32-b5f8-4963-820b-24404c550ddd"]},{"id":"ITEM-2","itemData":{"DOI":"10.2307/2290163","ISBN":"0534349749","ISSN":"01621459","abstract":"Offering the latest teaching and practice of applied multivariate statistics, this text is perfect for students who need an applied introduction to the subject. Lattin, Carroll, and Green have created a text that speaks to the needs of applied students who have advanced beyond the beginning level, but are not advanced statistics majors. The text provides a three-part structure. First, the authors begin each major topic by developing students' statistical intuition through applications. Then, they providing illustrative examples for support. Finally, for those courses where it will be valuable, they describe relevant mathematical underpinnings with vectors and matrix algebra. Additionally, each chapter follows a standard format. This format begins by discussing a general set of research objectives, followed by illustrative examples of problems in different areas. Then it provides an explanation of how each method works, followed by a sample problem, application of the technique, and interpretation of results.","author":[{"dropping-particle":"","family":"Maxwell","given":"Scott E.","non-dropping-particle":"","parse-names":false,"suffix":""},{"dropping-particle":"","family":"Cliff","given":"Norman","non-dropping-particle":"","parse-names":false,"suffix":""}],"container-title":"Journal of the American Statistical Association","edition":"1st","id":"ITEM-2","issue":"404","issued":{"date-parts":[["1988"]]},"number-of-pages":"1214","publisher":"Pacific Grove, CA : Thomson Brooks/Cole","title":"Analyzing Multivariate Data.","type":"book","volume":"83"},"uris":["http://www.mendeley.com/documents/?uuid=2bcc28ca-22b5-4a51-8bb1-a279c8b21126"]}],"mendeley":{"formattedCitation":"[50; 85]","plainTextFormattedCitation":"[50; 85]","previouslyFormattedCitation":"[50; 85]"},"properties":{"noteIndex":0},"schema":"https://github.com/citation-style-language/schema/raw/master/csl-citation.json"}</w:instrText>
      </w:r>
      <w:r w:rsidR="000A3492" w:rsidRPr="00B31BEB">
        <w:rPr>
          <w:rStyle w:val="FootnoteReference"/>
          <w:noProof/>
        </w:rPr>
        <w:fldChar w:fldCharType="separate"/>
      </w:r>
      <w:r w:rsidR="00F8005E" w:rsidRPr="00B31BEB">
        <w:rPr>
          <w:noProof/>
        </w:rPr>
        <w:t>[50; 85]</w:t>
      </w:r>
      <w:r w:rsidR="000A3492" w:rsidRPr="00B31BEB">
        <w:rPr>
          <w:rStyle w:val="FootnoteReference"/>
          <w:noProof/>
        </w:rPr>
        <w:fldChar w:fldCharType="end"/>
      </w:r>
      <w:r w:rsidRPr="00B31BEB">
        <w:rPr>
          <w:noProof/>
        </w:rPr>
        <w:t xml:space="preserve"> of the first principal components for the NEP and nationalism scales were 0.84 and 0.77 respectively.</w:t>
      </w:r>
    </w:p>
    <w:p w:rsidR="004E13B1" w:rsidRPr="00B31BEB" w:rsidRDefault="004E13B1" w:rsidP="004E13B1">
      <w:pPr>
        <w:pStyle w:val="Heading2"/>
      </w:pPr>
      <w:r w:rsidRPr="00B31BEB">
        <w:t>Data collection and Sample characteristics</w:t>
      </w:r>
    </w:p>
    <w:p w:rsidR="005F3597" w:rsidRPr="00B31BEB" w:rsidRDefault="005F3597" w:rsidP="005513AB">
      <w:pPr>
        <w:tabs>
          <w:tab w:val="center" w:pos="4800"/>
          <w:tab w:val="right" w:pos="9500"/>
        </w:tabs>
        <w:ind w:firstLine="720"/>
        <w:rPr>
          <w:noProof/>
        </w:rPr>
      </w:pPr>
      <w:r w:rsidRPr="00B31BEB">
        <w:rPr>
          <w:noProof/>
        </w:rPr>
        <w:t>Participants were recruited via the Qualtrics online survey tool</w:t>
      </w:r>
      <w:r w:rsidR="009743B4" w:rsidRPr="00B31BEB">
        <w:rPr>
          <w:noProof/>
        </w:rPr>
        <w:t xml:space="preserve"> </w:t>
      </w:r>
      <w:r w:rsidR="009743B4" w:rsidRPr="00B31BEB">
        <w:rPr>
          <w:noProof/>
        </w:rPr>
        <w:fldChar w:fldCharType="begin" w:fldLock="1"/>
      </w:r>
      <w:r w:rsidR="00D7380B" w:rsidRPr="00B31BEB">
        <w:rPr>
          <w:noProof/>
        </w:rPr>
        <w:instrText>ADDIN CSL_CITATION {"citationItems":[{"id":"ITEM-1","itemData":{"DOI":"https://www.qualtrics.com","URL":"https://www.qualtrics.com","accessed":{"date-parts":[["2020","3","30"]]},"id":"ITEM-1","issued":{"date-parts":[["0"]]},"title":"Qualtrics. https://www.qualtrics.com (accessed on March 2020)","type":"webpage"},"uris":["http://www.mendeley.com/documents/?uuid=57be0136-8eae-47de-9cdc-8a32db2816fb"]}],"mendeley":{"formattedCitation":"[64]","plainTextFormattedCitation":"[64]","previouslyFormattedCitation":"[64]"},"properties":{"noteIndex":0},"schema":"https://github.com/citation-style-language/schema/raw/master/csl-citation.json"}</w:instrText>
      </w:r>
      <w:r w:rsidR="009743B4" w:rsidRPr="00B31BEB">
        <w:rPr>
          <w:noProof/>
        </w:rPr>
        <w:fldChar w:fldCharType="separate"/>
      </w:r>
      <w:r w:rsidR="00F8005E" w:rsidRPr="00B31BEB">
        <w:rPr>
          <w:noProof/>
        </w:rPr>
        <w:t>[64]</w:t>
      </w:r>
      <w:r w:rsidR="009743B4" w:rsidRPr="00B31BEB">
        <w:rPr>
          <w:noProof/>
        </w:rPr>
        <w:fldChar w:fldCharType="end"/>
      </w:r>
      <w:r w:rsidRPr="00B31BEB">
        <w:rPr>
          <w:noProof/>
        </w:rPr>
        <w:t xml:space="preserve">. Master of Business administration students at the university were invited to participate in the survey using emails and social media by two students who were collecting the data as part of their theses. The recruits were then asked to invite potential participants from amongst their social circles. Privacy assurances on the anonymity and usage of the collected data was provided as part of the survey preamble. </w:t>
      </w:r>
    </w:p>
    <w:p w:rsidR="005F3597" w:rsidRPr="00B31BEB" w:rsidRDefault="005F3597" w:rsidP="009F7BBB">
      <w:pPr>
        <w:tabs>
          <w:tab w:val="center" w:pos="4800"/>
          <w:tab w:val="right" w:pos="9500"/>
        </w:tabs>
        <w:ind w:firstLine="720"/>
        <w:rPr>
          <w:noProof/>
        </w:rPr>
      </w:pPr>
      <w:r w:rsidRPr="00B31BEB">
        <w:rPr>
          <w:noProof/>
        </w:rPr>
        <w:lastRenderedPageBreak/>
        <w:t>In total there were 452 participants, of which 256 completed the survey. 203 of these were used in the analyses after excluding those who chose the opt-out option more than once. The exclusion was done to minimize effects from responses that were done with minimal trade-offs among the alternatives. The 53 excluded profiles showed patterns of selecting all the opt-outs in one block or in later choice sets in blocks. These may imply decreasing interest in choice making, which is a behavioral dimension that is beyond the scope of this article. Sensitivity analyses on the results showed that although the coefficients differed slightly depending on the criteria used to exclude respondents, neither the model selected via the Bayesian Information criterion (BIC) nor the conclusions changed substantially.</w:t>
      </w:r>
    </w:p>
    <w:p w:rsidR="004E13B1" w:rsidRDefault="005F3597" w:rsidP="005F3597">
      <w:pPr>
        <w:tabs>
          <w:tab w:val="center" w:pos="4800"/>
          <w:tab w:val="right" w:pos="9500"/>
        </w:tabs>
        <w:ind w:firstLine="720"/>
        <w:rPr>
          <w:noProof/>
        </w:rPr>
      </w:pPr>
      <w:r w:rsidRPr="00B31BEB">
        <w:rPr>
          <w:noProof/>
        </w:rPr>
        <w:t>An overview of the socio-demographic and online purchasing frequency is provided in Table 5. Close to 70% were females while the youngest (oldest) participant was 14 (74) years old. Slightly over 60% had a post-high school diploma. Over 80% purchased items online at least every three months. This implies habitual online purchases in this sample. The three most common reasons for purchasing online were: home delivery service (chosen by 62.1%), save time (58.6%) and 24-hour clock purchase possibilities (46.3%). Most respondents placed their online orders in clothing (69%) followed by computer &amp; electronics (38%) and travel &amp; leisure (33.5%).</w:t>
      </w:r>
    </w:p>
    <w:p w:rsidR="00907DB5" w:rsidRPr="00B31BEB" w:rsidRDefault="00907DB5" w:rsidP="00907DB5">
      <w:pPr>
        <w:pStyle w:val="Heading2"/>
      </w:pPr>
      <w:r w:rsidRPr="00B31BEB">
        <w:t>Statistical modeling</w:t>
      </w:r>
    </w:p>
    <w:p w:rsidR="00907DB5" w:rsidRDefault="00907DB5" w:rsidP="00C10C0A">
      <w:pPr>
        <w:pStyle w:val="Newparagraph"/>
        <w:ind w:firstLine="0"/>
        <w:rPr>
          <w:noProof/>
        </w:rPr>
      </w:pPr>
      <w:r w:rsidRPr="00B31BEB">
        <w:rPr>
          <w:noProof/>
        </w:rPr>
        <w:t xml:space="preserve">Four models were estimated. We first fit a multinomial logit (MNL) model </w:t>
      </w:r>
      <w:r w:rsidRPr="00B31BEB">
        <w:rPr>
          <w:rStyle w:val="FootnoteReference"/>
          <w:noProof/>
        </w:rPr>
        <w:fldChar w:fldCharType="begin" w:fldLock="1"/>
      </w:r>
      <w:r w:rsidRPr="00B31BEB">
        <w:rPr>
          <w:noProof/>
        </w:rPr>
        <w:instrText>ADDIN CSL_CITATION {"citationItems":[{"id":"ITEM-1","itemData":{"abstract":"106 DANIEL MCFADDEN because the econometrician cannot observe or control all the factors influencing behavior , and because the process of observation itself influences acts of the decision-maker through the vehicle of experience. It becomes necessary to make ...","author":[{"dropping-particle":"","family":"McFadden","given":"D","non-dropping-particle":"","parse-names":false,"suffix":""}],"container-title":"Frontiers in Econometrics","id":"ITEM-1","issue":"4","issued":{"date-parts":[["1973"]]},"page":"105-141","publisher":"Academic Press","title":"Conditional Logit Analysis of Qualitative Choice Behavior","type":"chapter"},"uris":["http://www.mendeley.com/documents/?uuid=ecaf4b8c-a7b2-4060-8126-6611f4d734af"]},{"id":"ITEM-2","itemData":{"DOI":"10.1017/CBO9780511805271","ISBN":"9780511805271","ISSN":"00222437","abstract":"This book describes the new generation of discrete choice methods, focusing on the many advances that are made possible by simulation. Researchers use these statistical methods to examine the choices that consumers, households, firms, and other agents make. Each of the major models is covered: logit, generalized extreme value, or GEV (including nested and cross-nested logits), probit, and mixed logit, plus a variety of specifications that build on these basics. Recent advances in Bayesian procedures are explored, including the use of the Metropolis-Hastings algorithm and its variant Gibbs sampling. This second edition adds chapters on endogeneity and expectation-maximization (EM) algorithms. No other book incorporates all these fields, which have arisen in the past 25 years. The procedures are applicable in many fields, including energy, transportation, environmental studies, health, labor, and marketing.","author":[{"dropping-particle":"","family":"Train","given":"Kenneth E.","non-dropping-particle":"","parse-names":false,"suffix":""}],"container-title":"Discrete Choice Methods with Simulation, Second Edition","id":"ITEM-2","issue":"3","issued":{"date-parts":[["2009","8"]]},"number-of-pages":"1-388","publisher":"Cambridge University Press","publisher-place":"Cambridge","title":"Discrete choice methods with simulation, second edition","type":"book","volume":"9780521766"},"uris":["http://www.mendeley.com/documents/?uuid=3b7308b9-5d63-4241-ad7d-3bd66f51eaf2"]}],"mendeley":{"formattedCitation":"[52; 77]","plainTextFormattedCitation":"[52; 77]","previouslyFormattedCitation":"[52; 77]"},"properties":{"noteIndex":0},"schema":"https://github.com/citation-style-language/schema/raw/master/csl-citation.json"}</w:instrText>
      </w:r>
      <w:r w:rsidRPr="00B31BEB">
        <w:rPr>
          <w:rStyle w:val="FootnoteReference"/>
          <w:noProof/>
        </w:rPr>
        <w:fldChar w:fldCharType="separate"/>
      </w:r>
      <w:r w:rsidRPr="00B31BEB">
        <w:rPr>
          <w:noProof/>
        </w:rPr>
        <w:t>[52; 77]</w:t>
      </w:r>
      <w:r w:rsidRPr="00B31BEB">
        <w:rPr>
          <w:rStyle w:val="FootnoteReference"/>
          <w:noProof/>
        </w:rPr>
        <w:fldChar w:fldCharType="end"/>
      </w:r>
      <w:r w:rsidRPr="00B31BEB">
        <w:rPr>
          <w:noProof/>
        </w:rPr>
        <w:t xml:space="preserve"> with interaction effects for the three attributes (</w:t>
      </w:r>
      <w:r w:rsidRPr="00B31BEB">
        <w:rPr>
          <w:position w:val="-12"/>
        </w:rPr>
        <w:object w:dxaOrig="279" w:dyaOrig="360">
          <v:shape id="_x0000_i1039" type="#_x0000_t75" style="width:13.8pt;height:18pt" o:ole="">
            <v:imagedata r:id="rId43" o:title=""/>
          </v:shape>
          <o:OLEObject Type="Embed" ProgID="Equation.DSMT4" ShapeID="_x0000_i1039" DrawAspect="Content" ObjectID="_1649081641" r:id="rId44"/>
        </w:object>
      </w:r>
      <w:r w:rsidRPr="00B31BEB">
        <w:t xml:space="preserve"> </w:t>
      </w:r>
      <w:r w:rsidRPr="00B31BEB">
        <w:rPr>
          <w:noProof/>
        </w:rPr>
        <w:t xml:space="preserve">- </w:t>
      </w:r>
      <w:r w:rsidRPr="00B31BEB">
        <w:rPr>
          <w:position w:val="-12"/>
        </w:rPr>
        <w:object w:dxaOrig="279" w:dyaOrig="360">
          <v:shape id="_x0000_i1040" type="#_x0000_t75" style="width:13.8pt;height:18pt" o:ole="">
            <v:imagedata r:id="rId45" o:title=""/>
          </v:shape>
          <o:OLEObject Type="Embed" ProgID="Equation.DSMT4" ShapeID="_x0000_i1040" DrawAspect="Content" ObjectID="_1649081642" r:id="rId46"/>
        </w:object>
      </w:r>
      <w:r w:rsidRPr="00B31BEB">
        <w:rPr>
          <w:noProof/>
        </w:rPr>
        <w:t xml:space="preserve"> in Table 1) where information was provided after the first block of choice sets. These interaction effects </w:t>
      </w:r>
      <w:r w:rsidR="00665151" w:rsidRPr="00B31BEB">
        <w:rPr>
          <w:noProof/>
        </w:rPr>
        <w:t>(denoted as</w:t>
      </w:r>
      <w:r w:rsidR="00665151" w:rsidRPr="00B31BEB">
        <w:rPr>
          <w:position w:val="-12"/>
        </w:rPr>
        <w:object w:dxaOrig="740" w:dyaOrig="360">
          <v:shape id="_x0000_i1041" type="#_x0000_t75" style="width:37.2pt;height:18pt" o:ole="">
            <v:imagedata r:id="rId47" o:title=""/>
          </v:shape>
          <o:OLEObject Type="Embed" ProgID="Equation.DSMT4" ShapeID="_x0000_i1041" DrawAspect="Content" ObjectID="_1649081643" r:id="rId48"/>
        </w:object>
      </w:r>
      <w:r w:rsidR="00665151" w:rsidRPr="00B31BEB">
        <w:rPr>
          <w:noProof/>
        </w:rPr>
        <w:t>) were used to show the modifying effects of providing additional information on consumers’ preference parameters.</w:t>
      </w:r>
      <w:r w:rsidR="003263FD">
        <w:rPr>
          <w:noProof/>
        </w:rPr>
        <w:t xml:space="preserve"> </w:t>
      </w:r>
      <w:r w:rsidR="003263FD" w:rsidRPr="00B31BEB">
        <w:rPr>
          <w:noProof/>
        </w:rPr>
        <w:t>Positive and significant interaction</w:t>
      </w:r>
      <w:r w:rsidR="00B503AB">
        <w:rPr>
          <w:noProof/>
        </w:rPr>
        <w:t xml:space="preserve"> </w:t>
      </w:r>
      <w:r w:rsidR="00B503AB" w:rsidRPr="00B31BEB">
        <w:rPr>
          <w:noProof/>
        </w:rPr>
        <w:t>effects imply positive shifts in the preference parameters attributable to the information provided.</w:t>
      </w:r>
    </w:p>
    <w:p w:rsidR="00CB066F" w:rsidRDefault="00CB066F" w:rsidP="007205CC">
      <w:pPr>
        <w:tabs>
          <w:tab w:val="center" w:pos="4800"/>
          <w:tab w:val="right" w:pos="9500"/>
        </w:tabs>
        <w:ind w:firstLine="720"/>
      </w:pPr>
    </w:p>
    <w:p w:rsidR="000361B1" w:rsidRPr="00B31BEB" w:rsidRDefault="001B31DE" w:rsidP="007205CC">
      <w:pPr>
        <w:tabs>
          <w:tab w:val="center" w:pos="4800"/>
          <w:tab w:val="right" w:pos="9500"/>
        </w:tabs>
        <w:ind w:firstLine="720"/>
        <w:rPr>
          <w:noProof/>
        </w:rPr>
      </w:pPr>
      <w:r w:rsidRPr="00B31BEB">
        <w:t xml:space="preserve">Table 5. </w:t>
      </w:r>
      <w:r w:rsidR="007725FB" w:rsidRPr="00B31BEB">
        <w:rPr>
          <w:noProof/>
        </w:rPr>
        <w:t>Socio-economic characteristics and online-purchasing behavior</w:t>
      </w:r>
    </w:p>
    <w:tbl>
      <w:tblPr>
        <w:tblStyle w:val="TableGrid"/>
        <w:tblW w:w="7923" w:type="dxa"/>
        <w:jc w:val="center"/>
        <w:tblLook w:val="04A0" w:firstRow="1" w:lastRow="0" w:firstColumn="1" w:lastColumn="0" w:noHBand="0" w:noVBand="1"/>
      </w:tblPr>
      <w:tblGrid>
        <w:gridCol w:w="1943"/>
        <w:gridCol w:w="768"/>
        <w:gridCol w:w="978"/>
        <w:gridCol w:w="2549"/>
        <w:gridCol w:w="1685"/>
      </w:tblGrid>
      <w:tr w:rsidR="00B31BEB" w:rsidRPr="00B31BEB" w:rsidTr="001A5DEC">
        <w:trPr>
          <w:jc w:val="center"/>
        </w:trPr>
        <w:tc>
          <w:tcPr>
            <w:tcW w:w="1943" w:type="dxa"/>
            <w:tcBorders>
              <w:top w:val="single" w:sz="4" w:space="0" w:color="auto"/>
              <w:left w:val="nil"/>
              <w:bottom w:val="single" w:sz="4" w:space="0" w:color="auto"/>
              <w:right w:val="nil"/>
            </w:tcBorders>
          </w:tcPr>
          <w:p w:rsidR="003B67FA" w:rsidRPr="00B31BEB" w:rsidRDefault="003B67FA" w:rsidP="0082504E">
            <w:pPr>
              <w:pStyle w:val="Newparagraph"/>
              <w:ind w:firstLine="0"/>
            </w:pPr>
            <w:r w:rsidRPr="00B31BEB">
              <w:t>Characteristic</w:t>
            </w:r>
          </w:p>
        </w:tc>
        <w:tc>
          <w:tcPr>
            <w:tcW w:w="768" w:type="dxa"/>
            <w:tcBorders>
              <w:top w:val="single" w:sz="4" w:space="0" w:color="auto"/>
              <w:left w:val="nil"/>
              <w:bottom w:val="single" w:sz="4" w:space="0" w:color="auto"/>
              <w:right w:val="nil"/>
            </w:tcBorders>
          </w:tcPr>
          <w:p w:rsidR="003B67FA" w:rsidRPr="00B31BEB" w:rsidRDefault="003B67FA" w:rsidP="0082504E">
            <w:pPr>
              <w:pStyle w:val="Newparagraph"/>
              <w:ind w:firstLine="0"/>
            </w:pPr>
            <w:r w:rsidRPr="00B31BEB">
              <w:t>%</w:t>
            </w:r>
          </w:p>
        </w:tc>
        <w:tc>
          <w:tcPr>
            <w:tcW w:w="978" w:type="dxa"/>
            <w:tcBorders>
              <w:top w:val="single" w:sz="4" w:space="0" w:color="auto"/>
              <w:left w:val="nil"/>
              <w:bottom w:val="single" w:sz="4" w:space="0" w:color="auto"/>
              <w:right w:val="nil"/>
            </w:tcBorders>
          </w:tcPr>
          <w:p w:rsidR="003B67FA" w:rsidRPr="00B31BEB" w:rsidRDefault="003B67FA" w:rsidP="0082504E">
            <w:pPr>
              <w:pStyle w:val="Newparagraph"/>
              <w:ind w:firstLine="0"/>
            </w:pPr>
          </w:p>
        </w:tc>
        <w:tc>
          <w:tcPr>
            <w:tcW w:w="2549" w:type="dxa"/>
            <w:tcBorders>
              <w:top w:val="single" w:sz="4" w:space="0" w:color="auto"/>
              <w:left w:val="nil"/>
              <w:bottom w:val="single" w:sz="4" w:space="0" w:color="auto"/>
              <w:right w:val="nil"/>
            </w:tcBorders>
          </w:tcPr>
          <w:p w:rsidR="003B67FA" w:rsidRPr="00B31BEB" w:rsidRDefault="003B67FA" w:rsidP="0082504E">
            <w:pPr>
              <w:pStyle w:val="Newparagraph"/>
              <w:ind w:firstLine="0"/>
            </w:pPr>
            <w:r w:rsidRPr="00B31BEB">
              <w:t>Characteristic</w:t>
            </w:r>
          </w:p>
        </w:tc>
        <w:tc>
          <w:tcPr>
            <w:tcW w:w="1685" w:type="dxa"/>
            <w:tcBorders>
              <w:top w:val="single" w:sz="4" w:space="0" w:color="auto"/>
              <w:left w:val="nil"/>
              <w:bottom w:val="single" w:sz="4" w:space="0" w:color="auto"/>
              <w:right w:val="nil"/>
            </w:tcBorders>
          </w:tcPr>
          <w:p w:rsidR="003B67FA" w:rsidRPr="00B31BEB" w:rsidRDefault="003B67FA" w:rsidP="0082504E">
            <w:pPr>
              <w:pStyle w:val="Newparagraph"/>
              <w:ind w:firstLine="0"/>
            </w:pPr>
            <w:r w:rsidRPr="00B31BEB">
              <w:t>%</w:t>
            </w:r>
          </w:p>
        </w:tc>
      </w:tr>
      <w:tr w:rsidR="00B31BEB" w:rsidRPr="00B31BEB" w:rsidTr="00030148">
        <w:trPr>
          <w:jc w:val="center"/>
        </w:trPr>
        <w:tc>
          <w:tcPr>
            <w:tcW w:w="1943" w:type="dxa"/>
            <w:tcBorders>
              <w:top w:val="single" w:sz="4" w:space="0" w:color="auto"/>
              <w:left w:val="nil"/>
              <w:bottom w:val="nil"/>
              <w:right w:val="nil"/>
            </w:tcBorders>
          </w:tcPr>
          <w:p w:rsidR="003B67FA" w:rsidRPr="00B31BEB" w:rsidRDefault="003B67FA" w:rsidP="0082504E">
            <w:pPr>
              <w:tabs>
                <w:tab w:val="center" w:pos="4800"/>
                <w:tab w:val="right" w:pos="9500"/>
              </w:tabs>
              <w:ind w:firstLine="720"/>
              <w:jc w:val="both"/>
            </w:pPr>
            <w:r w:rsidRPr="00B31BEB">
              <w:t xml:space="preserve">Female </w:t>
            </w:r>
          </w:p>
        </w:tc>
        <w:tc>
          <w:tcPr>
            <w:tcW w:w="768" w:type="dxa"/>
            <w:tcBorders>
              <w:top w:val="single" w:sz="4" w:space="0" w:color="auto"/>
              <w:left w:val="nil"/>
              <w:bottom w:val="nil"/>
              <w:right w:val="nil"/>
            </w:tcBorders>
          </w:tcPr>
          <w:p w:rsidR="003B67FA" w:rsidRPr="00B31BEB" w:rsidRDefault="003B67FA" w:rsidP="0082504E">
            <w:pPr>
              <w:tabs>
                <w:tab w:val="center" w:pos="4800"/>
                <w:tab w:val="right" w:pos="9500"/>
              </w:tabs>
              <w:jc w:val="both"/>
            </w:pPr>
            <w:r w:rsidRPr="00B31BEB">
              <w:t xml:space="preserve">69.0 </w:t>
            </w:r>
          </w:p>
        </w:tc>
        <w:tc>
          <w:tcPr>
            <w:tcW w:w="978" w:type="dxa"/>
            <w:tcBorders>
              <w:top w:val="single" w:sz="4" w:space="0" w:color="auto"/>
              <w:left w:val="nil"/>
              <w:bottom w:val="nil"/>
              <w:right w:val="nil"/>
            </w:tcBorders>
          </w:tcPr>
          <w:p w:rsidR="003B67FA" w:rsidRPr="00B31BEB" w:rsidRDefault="003B67FA" w:rsidP="006A53D9">
            <w:pPr>
              <w:pStyle w:val="Newparagraph"/>
              <w:ind w:firstLine="0"/>
              <w:jc w:val="center"/>
            </w:pPr>
          </w:p>
        </w:tc>
        <w:tc>
          <w:tcPr>
            <w:tcW w:w="4234" w:type="dxa"/>
            <w:gridSpan w:val="2"/>
            <w:tcBorders>
              <w:top w:val="single" w:sz="4" w:space="0" w:color="auto"/>
              <w:left w:val="nil"/>
              <w:bottom w:val="nil"/>
              <w:right w:val="nil"/>
            </w:tcBorders>
          </w:tcPr>
          <w:p w:rsidR="003B67FA" w:rsidRPr="00B31BEB" w:rsidRDefault="003B67FA" w:rsidP="006A53D9">
            <w:pPr>
              <w:pStyle w:val="Newparagraph"/>
              <w:ind w:firstLine="0"/>
              <w:jc w:val="center"/>
            </w:pPr>
            <w:r w:rsidRPr="00B31BEB">
              <w:t>Social status</w:t>
            </w:r>
          </w:p>
        </w:tc>
      </w:tr>
      <w:tr w:rsidR="00B31BEB" w:rsidRPr="00B31BEB" w:rsidTr="001A5DEC">
        <w:trPr>
          <w:jc w:val="center"/>
        </w:trPr>
        <w:tc>
          <w:tcPr>
            <w:tcW w:w="2711" w:type="dxa"/>
            <w:gridSpan w:val="2"/>
            <w:tcBorders>
              <w:top w:val="nil"/>
              <w:left w:val="nil"/>
              <w:bottom w:val="nil"/>
              <w:right w:val="nil"/>
            </w:tcBorders>
          </w:tcPr>
          <w:p w:rsidR="003B67FA" w:rsidRPr="00B31BEB" w:rsidRDefault="003B67FA" w:rsidP="0082504E">
            <w:pPr>
              <w:pStyle w:val="Newparagraph"/>
              <w:ind w:firstLine="0"/>
              <w:jc w:val="center"/>
            </w:pPr>
            <w:r w:rsidRPr="00B31BEB">
              <w:t>Age groups</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Unemployed</w:t>
            </w:r>
          </w:p>
        </w:tc>
        <w:tc>
          <w:tcPr>
            <w:tcW w:w="1685" w:type="dxa"/>
            <w:tcBorders>
              <w:top w:val="nil"/>
              <w:left w:val="nil"/>
              <w:bottom w:val="nil"/>
              <w:right w:val="nil"/>
            </w:tcBorders>
          </w:tcPr>
          <w:p w:rsidR="003B67FA" w:rsidRPr="00B31BEB" w:rsidRDefault="003B67FA" w:rsidP="0082504E">
            <w:pPr>
              <w:pStyle w:val="Newparagraph"/>
              <w:ind w:firstLine="0"/>
            </w:pPr>
            <w:r w:rsidRPr="00B31BEB">
              <w:t>2.5</w:t>
            </w:r>
          </w:p>
        </w:tc>
      </w:tr>
      <w:tr w:rsidR="00B31BEB" w:rsidRPr="00B31BEB" w:rsidTr="001A5DEC">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14-24</w:t>
            </w:r>
          </w:p>
        </w:tc>
        <w:tc>
          <w:tcPr>
            <w:tcW w:w="768" w:type="dxa"/>
            <w:tcBorders>
              <w:top w:val="nil"/>
              <w:left w:val="nil"/>
              <w:bottom w:val="nil"/>
              <w:right w:val="nil"/>
            </w:tcBorders>
          </w:tcPr>
          <w:p w:rsidR="003B67FA" w:rsidRPr="00B31BEB" w:rsidRDefault="003B67FA" w:rsidP="0082504E">
            <w:pPr>
              <w:tabs>
                <w:tab w:val="center" w:pos="4800"/>
                <w:tab w:val="right" w:pos="9500"/>
              </w:tabs>
            </w:pPr>
            <w:r w:rsidRPr="00B31BEB">
              <w:t xml:space="preserve">43.3 </w:t>
            </w:r>
          </w:p>
        </w:tc>
        <w:tc>
          <w:tcPr>
            <w:tcW w:w="978" w:type="dxa"/>
            <w:tcBorders>
              <w:top w:val="nil"/>
              <w:left w:val="nil"/>
              <w:bottom w:val="nil"/>
              <w:right w:val="nil"/>
            </w:tcBorders>
          </w:tcPr>
          <w:p w:rsidR="003B67FA" w:rsidRPr="00B31BEB" w:rsidRDefault="003B67FA" w:rsidP="0082504E">
            <w:pPr>
              <w:pStyle w:val="Newparagraph"/>
              <w:ind w:firstLine="0"/>
              <w:rPr>
                <w:noProof/>
              </w:rPr>
            </w:pPr>
          </w:p>
        </w:tc>
        <w:tc>
          <w:tcPr>
            <w:tcW w:w="2549" w:type="dxa"/>
            <w:tcBorders>
              <w:top w:val="nil"/>
              <w:left w:val="nil"/>
              <w:bottom w:val="nil"/>
              <w:right w:val="nil"/>
            </w:tcBorders>
          </w:tcPr>
          <w:p w:rsidR="003B67FA" w:rsidRPr="00B31BEB" w:rsidRDefault="003B67FA" w:rsidP="0082504E">
            <w:pPr>
              <w:pStyle w:val="Newparagraph"/>
              <w:ind w:firstLine="0"/>
            </w:pPr>
            <w:r w:rsidRPr="00B31BEB">
              <w:rPr>
                <w:noProof/>
              </w:rPr>
              <w:t>Independent</w:t>
            </w:r>
          </w:p>
        </w:tc>
        <w:tc>
          <w:tcPr>
            <w:tcW w:w="1685" w:type="dxa"/>
            <w:tcBorders>
              <w:top w:val="nil"/>
              <w:left w:val="nil"/>
              <w:bottom w:val="nil"/>
              <w:right w:val="nil"/>
            </w:tcBorders>
          </w:tcPr>
          <w:p w:rsidR="003B67FA" w:rsidRPr="00B31BEB" w:rsidRDefault="003B67FA" w:rsidP="0082504E">
            <w:pPr>
              <w:pStyle w:val="Newparagraph"/>
              <w:ind w:firstLine="0"/>
            </w:pPr>
            <w:r w:rsidRPr="00B31BEB">
              <w:rPr>
                <w:noProof/>
              </w:rPr>
              <w:t>9.4</w:t>
            </w:r>
          </w:p>
        </w:tc>
      </w:tr>
      <w:tr w:rsidR="00B31BEB" w:rsidRPr="00B31BEB" w:rsidTr="001A5DEC">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25-29</w:t>
            </w:r>
          </w:p>
        </w:tc>
        <w:tc>
          <w:tcPr>
            <w:tcW w:w="768" w:type="dxa"/>
            <w:tcBorders>
              <w:top w:val="nil"/>
              <w:left w:val="nil"/>
              <w:bottom w:val="nil"/>
              <w:right w:val="nil"/>
            </w:tcBorders>
          </w:tcPr>
          <w:p w:rsidR="003B67FA" w:rsidRPr="00B31BEB" w:rsidRDefault="003B67FA" w:rsidP="0082504E">
            <w:pPr>
              <w:tabs>
                <w:tab w:val="center" w:pos="4800"/>
                <w:tab w:val="right" w:pos="9500"/>
              </w:tabs>
            </w:pPr>
            <w:r w:rsidRPr="00B31BEB">
              <w:t xml:space="preserve">6.9 </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Housewife/husband</w:t>
            </w:r>
          </w:p>
        </w:tc>
        <w:tc>
          <w:tcPr>
            <w:tcW w:w="1685" w:type="dxa"/>
            <w:tcBorders>
              <w:top w:val="nil"/>
              <w:left w:val="nil"/>
              <w:bottom w:val="nil"/>
              <w:right w:val="nil"/>
            </w:tcBorders>
          </w:tcPr>
          <w:p w:rsidR="003B67FA" w:rsidRPr="00B31BEB" w:rsidRDefault="003B67FA" w:rsidP="0082504E">
            <w:pPr>
              <w:pStyle w:val="Newparagraph"/>
              <w:ind w:firstLine="0"/>
            </w:pPr>
            <w:r w:rsidRPr="00B31BEB">
              <w:t>2.5</w:t>
            </w:r>
          </w:p>
        </w:tc>
      </w:tr>
      <w:tr w:rsidR="00B31BEB" w:rsidRPr="00B31BEB" w:rsidTr="001A5DEC">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30-44</w:t>
            </w:r>
          </w:p>
        </w:tc>
        <w:tc>
          <w:tcPr>
            <w:tcW w:w="768" w:type="dxa"/>
            <w:tcBorders>
              <w:top w:val="nil"/>
              <w:left w:val="nil"/>
              <w:bottom w:val="nil"/>
              <w:right w:val="nil"/>
            </w:tcBorders>
          </w:tcPr>
          <w:p w:rsidR="003B67FA" w:rsidRPr="00B31BEB" w:rsidRDefault="003B67FA" w:rsidP="0082504E">
            <w:pPr>
              <w:tabs>
                <w:tab w:val="center" w:pos="4800"/>
                <w:tab w:val="right" w:pos="9500"/>
              </w:tabs>
            </w:pPr>
            <w:r w:rsidRPr="00B31BEB">
              <w:t xml:space="preserve">18.2 </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Retired</w:t>
            </w:r>
          </w:p>
        </w:tc>
        <w:tc>
          <w:tcPr>
            <w:tcW w:w="1685" w:type="dxa"/>
            <w:tcBorders>
              <w:top w:val="nil"/>
              <w:left w:val="nil"/>
              <w:bottom w:val="nil"/>
              <w:right w:val="nil"/>
            </w:tcBorders>
          </w:tcPr>
          <w:p w:rsidR="003B67FA" w:rsidRPr="00B31BEB" w:rsidRDefault="003B67FA" w:rsidP="0082504E">
            <w:pPr>
              <w:pStyle w:val="Newparagraph"/>
              <w:ind w:firstLine="0"/>
            </w:pPr>
            <w:r w:rsidRPr="00B31BEB">
              <w:t>6.4</w:t>
            </w:r>
          </w:p>
        </w:tc>
      </w:tr>
      <w:tr w:rsidR="00B31BEB" w:rsidRPr="00B31BEB" w:rsidTr="001A5DEC">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45-54</w:t>
            </w:r>
          </w:p>
        </w:tc>
        <w:tc>
          <w:tcPr>
            <w:tcW w:w="768" w:type="dxa"/>
            <w:tcBorders>
              <w:top w:val="nil"/>
              <w:left w:val="nil"/>
              <w:bottom w:val="nil"/>
              <w:right w:val="nil"/>
            </w:tcBorders>
          </w:tcPr>
          <w:p w:rsidR="003B67FA" w:rsidRPr="00B31BEB" w:rsidRDefault="003B67FA" w:rsidP="0082504E">
            <w:pPr>
              <w:tabs>
                <w:tab w:val="center" w:pos="4800"/>
                <w:tab w:val="right" w:pos="9500"/>
              </w:tabs>
            </w:pPr>
            <w:r w:rsidRPr="00B31BEB">
              <w:t xml:space="preserve">17.2 </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Student</w:t>
            </w:r>
          </w:p>
        </w:tc>
        <w:tc>
          <w:tcPr>
            <w:tcW w:w="1685" w:type="dxa"/>
            <w:tcBorders>
              <w:top w:val="nil"/>
              <w:left w:val="nil"/>
              <w:bottom w:val="nil"/>
              <w:right w:val="nil"/>
            </w:tcBorders>
          </w:tcPr>
          <w:p w:rsidR="003B67FA" w:rsidRPr="00B31BEB" w:rsidRDefault="003B67FA" w:rsidP="0082504E">
            <w:pPr>
              <w:pStyle w:val="Newparagraph"/>
              <w:ind w:firstLine="0"/>
            </w:pPr>
            <w:r w:rsidRPr="00B31BEB">
              <w:t>32.5</w:t>
            </w:r>
          </w:p>
        </w:tc>
      </w:tr>
      <w:tr w:rsidR="00B31BEB" w:rsidRPr="00B31BEB" w:rsidTr="001A5DEC">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55-74</w:t>
            </w:r>
          </w:p>
        </w:tc>
        <w:tc>
          <w:tcPr>
            <w:tcW w:w="768" w:type="dxa"/>
            <w:tcBorders>
              <w:top w:val="nil"/>
              <w:left w:val="nil"/>
              <w:bottom w:val="nil"/>
              <w:right w:val="nil"/>
            </w:tcBorders>
          </w:tcPr>
          <w:p w:rsidR="003B67FA" w:rsidRPr="00B31BEB" w:rsidRDefault="003B67FA" w:rsidP="0082504E">
            <w:pPr>
              <w:pStyle w:val="Newparagraph"/>
              <w:ind w:firstLine="0"/>
            </w:pPr>
            <w:r w:rsidRPr="00B31BEB">
              <w:t>14.3</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Employed</w:t>
            </w:r>
          </w:p>
        </w:tc>
        <w:tc>
          <w:tcPr>
            <w:tcW w:w="1685" w:type="dxa"/>
            <w:tcBorders>
              <w:top w:val="nil"/>
              <w:left w:val="nil"/>
              <w:bottom w:val="nil"/>
              <w:right w:val="nil"/>
            </w:tcBorders>
          </w:tcPr>
          <w:p w:rsidR="003B67FA" w:rsidRPr="00B31BEB" w:rsidRDefault="003B67FA" w:rsidP="0082504E">
            <w:pPr>
              <w:pStyle w:val="Newparagraph"/>
              <w:ind w:firstLine="0"/>
            </w:pPr>
            <w:r w:rsidRPr="00B31BEB">
              <w:t>42.9</w:t>
            </w:r>
          </w:p>
        </w:tc>
      </w:tr>
      <w:tr w:rsidR="00B31BEB" w:rsidRPr="00B31BEB" w:rsidTr="001A5DEC">
        <w:trPr>
          <w:jc w:val="center"/>
        </w:trPr>
        <w:tc>
          <w:tcPr>
            <w:tcW w:w="2711" w:type="dxa"/>
            <w:gridSpan w:val="2"/>
            <w:tcBorders>
              <w:top w:val="nil"/>
              <w:left w:val="nil"/>
              <w:bottom w:val="nil"/>
              <w:right w:val="nil"/>
            </w:tcBorders>
          </w:tcPr>
          <w:p w:rsidR="003B67FA" w:rsidRPr="00B31BEB" w:rsidRDefault="003B67FA" w:rsidP="0082504E">
            <w:pPr>
              <w:pStyle w:val="Newparagraph"/>
              <w:ind w:firstLine="0"/>
              <w:jc w:val="center"/>
            </w:pPr>
            <w:r w:rsidRPr="00B31BEB">
              <w:t>Education level</w:t>
            </w:r>
          </w:p>
        </w:tc>
        <w:tc>
          <w:tcPr>
            <w:tcW w:w="978" w:type="dxa"/>
            <w:tcBorders>
              <w:top w:val="nil"/>
              <w:left w:val="nil"/>
              <w:bottom w:val="nil"/>
              <w:right w:val="nil"/>
            </w:tcBorders>
          </w:tcPr>
          <w:p w:rsidR="003B67FA" w:rsidRPr="00B31BEB" w:rsidRDefault="003B67FA" w:rsidP="0082504E">
            <w:pPr>
              <w:pStyle w:val="Newparagraph"/>
              <w:ind w:firstLine="0"/>
            </w:pPr>
          </w:p>
        </w:tc>
        <w:tc>
          <w:tcPr>
            <w:tcW w:w="2549" w:type="dxa"/>
            <w:tcBorders>
              <w:top w:val="nil"/>
              <w:left w:val="nil"/>
              <w:bottom w:val="nil"/>
              <w:right w:val="nil"/>
            </w:tcBorders>
          </w:tcPr>
          <w:p w:rsidR="003B67FA" w:rsidRPr="00B31BEB" w:rsidRDefault="003B67FA" w:rsidP="0082504E">
            <w:pPr>
              <w:pStyle w:val="Newparagraph"/>
              <w:ind w:firstLine="0"/>
            </w:pPr>
            <w:r w:rsidRPr="00B31BEB">
              <w:t>Other</w:t>
            </w:r>
          </w:p>
        </w:tc>
        <w:tc>
          <w:tcPr>
            <w:tcW w:w="1685" w:type="dxa"/>
            <w:tcBorders>
              <w:top w:val="nil"/>
              <w:left w:val="nil"/>
              <w:bottom w:val="nil"/>
              <w:right w:val="nil"/>
            </w:tcBorders>
          </w:tcPr>
          <w:p w:rsidR="003B67FA" w:rsidRPr="00B31BEB" w:rsidRDefault="003B67FA" w:rsidP="0082504E">
            <w:pPr>
              <w:pStyle w:val="Newparagraph"/>
              <w:ind w:firstLine="0"/>
            </w:pPr>
            <w:r w:rsidRPr="00B31BEB">
              <w:t>3.9</w:t>
            </w:r>
          </w:p>
        </w:tc>
      </w:tr>
      <w:tr w:rsidR="00B31BEB" w:rsidRPr="00B31BEB" w:rsidTr="00030148">
        <w:trPr>
          <w:jc w:val="center"/>
        </w:trPr>
        <w:tc>
          <w:tcPr>
            <w:tcW w:w="1943" w:type="dxa"/>
            <w:tcBorders>
              <w:top w:val="nil"/>
              <w:left w:val="nil"/>
              <w:bottom w:val="nil"/>
              <w:right w:val="nil"/>
            </w:tcBorders>
          </w:tcPr>
          <w:p w:rsidR="003B67FA" w:rsidRPr="00B31BEB" w:rsidRDefault="003B67FA" w:rsidP="0082504E">
            <w:pPr>
              <w:pStyle w:val="Newparagraph"/>
              <w:ind w:firstLine="0"/>
            </w:pPr>
            <w:r w:rsidRPr="00B31BEB">
              <w:t>Primary</w:t>
            </w:r>
          </w:p>
        </w:tc>
        <w:tc>
          <w:tcPr>
            <w:tcW w:w="768" w:type="dxa"/>
            <w:tcBorders>
              <w:top w:val="nil"/>
              <w:left w:val="nil"/>
              <w:bottom w:val="nil"/>
              <w:right w:val="nil"/>
            </w:tcBorders>
          </w:tcPr>
          <w:p w:rsidR="003B67FA" w:rsidRPr="00B31BEB" w:rsidRDefault="003B67FA" w:rsidP="0082504E">
            <w:pPr>
              <w:pStyle w:val="Newparagraph"/>
              <w:ind w:firstLine="0"/>
            </w:pPr>
            <w:r w:rsidRPr="00B31BEB">
              <w:t>1.5</w:t>
            </w:r>
          </w:p>
        </w:tc>
        <w:tc>
          <w:tcPr>
            <w:tcW w:w="978" w:type="dxa"/>
            <w:tcBorders>
              <w:top w:val="nil"/>
              <w:left w:val="nil"/>
              <w:bottom w:val="nil"/>
              <w:right w:val="nil"/>
            </w:tcBorders>
          </w:tcPr>
          <w:p w:rsidR="003B67FA" w:rsidRPr="00B31BEB" w:rsidRDefault="003B67FA" w:rsidP="0081388D">
            <w:pPr>
              <w:pStyle w:val="Newparagraph"/>
              <w:ind w:firstLine="0"/>
              <w:jc w:val="center"/>
            </w:pPr>
          </w:p>
        </w:tc>
        <w:tc>
          <w:tcPr>
            <w:tcW w:w="4234" w:type="dxa"/>
            <w:gridSpan w:val="2"/>
            <w:tcBorders>
              <w:top w:val="nil"/>
              <w:left w:val="nil"/>
              <w:bottom w:val="nil"/>
              <w:right w:val="nil"/>
            </w:tcBorders>
          </w:tcPr>
          <w:p w:rsidR="003B67FA" w:rsidRPr="00B31BEB" w:rsidRDefault="003B67FA" w:rsidP="0081388D">
            <w:pPr>
              <w:pStyle w:val="Newparagraph"/>
              <w:ind w:firstLine="0"/>
              <w:jc w:val="center"/>
            </w:pPr>
            <w:r w:rsidRPr="00B31BEB">
              <w:t>Online purchasing behavior</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Secondary</w:t>
            </w:r>
          </w:p>
        </w:tc>
        <w:tc>
          <w:tcPr>
            <w:tcW w:w="768" w:type="dxa"/>
            <w:tcBorders>
              <w:top w:val="nil"/>
              <w:left w:val="nil"/>
              <w:bottom w:val="nil"/>
              <w:right w:val="nil"/>
            </w:tcBorders>
          </w:tcPr>
          <w:p w:rsidR="003B67FA" w:rsidRPr="00B31BEB" w:rsidRDefault="003B67FA" w:rsidP="00970480">
            <w:pPr>
              <w:pStyle w:val="Newparagraph"/>
              <w:ind w:firstLine="0"/>
            </w:pPr>
            <w:r w:rsidRPr="00B31BEB">
              <w:t>34.5</w:t>
            </w:r>
          </w:p>
        </w:tc>
        <w:tc>
          <w:tcPr>
            <w:tcW w:w="978" w:type="dxa"/>
            <w:tcBorders>
              <w:top w:val="nil"/>
              <w:left w:val="nil"/>
              <w:bottom w:val="nil"/>
              <w:right w:val="nil"/>
            </w:tcBorders>
          </w:tcPr>
          <w:p w:rsidR="003B67FA" w:rsidRPr="00B31BEB" w:rsidDel="00BD648B" w:rsidRDefault="003B67FA" w:rsidP="00BD648B">
            <w:pPr>
              <w:tabs>
                <w:tab w:val="center" w:pos="4800"/>
                <w:tab w:val="right" w:pos="9500"/>
              </w:tabs>
            </w:pPr>
          </w:p>
        </w:tc>
        <w:tc>
          <w:tcPr>
            <w:tcW w:w="2549" w:type="dxa"/>
            <w:tcBorders>
              <w:top w:val="nil"/>
              <w:left w:val="nil"/>
              <w:bottom w:val="nil"/>
              <w:right w:val="nil"/>
            </w:tcBorders>
          </w:tcPr>
          <w:p w:rsidR="003B67FA" w:rsidRPr="00B31BEB" w:rsidRDefault="003B67FA" w:rsidP="001A5DEC">
            <w:pPr>
              <w:tabs>
                <w:tab w:val="center" w:pos="4800"/>
                <w:tab w:val="right" w:pos="9500"/>
              </w:tabs>
            </w:pPr>
            <w:r w:rsidRPr="00B31BEB">
              <w:t xml:space="preserve">Daily </w:t>
            </w:r>
          </w:p>
        </w:tc>
        <w:tc>
          <w:tcPr>
            <w:tcW w:w="1685" w:type="dxa"/>
            <w:tcBorders>
              <w:top w:val="nil"/>
              <w:left w:val="nil"/>
              <w:bottom w:val="nil"/>
              <w:right w:val="nil"/>
            </w:tcBorders>
          </w:tcPr>
          <w:p w:rsidR="003B67FA" w:rsidRPr="00B31BEB" w:rsidRDefault="003B67FA" w:rsidP="006E4EA8">
            <w:pPr>
              <w:tabs>
                <w:tab w:val="center" w:pos="4800"/>
                <w:tab w:val="right" w:pos="9500"/>
              </w:tabs>
            </w:pPr>
            <w:r w:rsidRPr="00B31BEB">
              <w:t xml:space="preserve">1.0 </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College</w:t>
            </w:r>
          </w:p>
        </w:tc>
        <w:tc>
          <w:tcPr>
            <w:tcW w:w="768" w:type="dxa"/>
            <w:tcBorders>
              <w:top w:val="nil"/>
              <w:left w:val="nil"/>
              <w:bottom w:val="nil"/>
              <w:right w:val="nil"/>
            </w:tcBorders>
          </w:tcPr>
          <w:p w:rsidR="003B67FA" w:rsidRPr="00B31BEB" w:rsidRDefault="003B67FA" w:rsidP="00970480">
            <w:pPr>
              <w:pStyle w:val="Newparagraph"/>
              <w:ind w:firstLine="0"/>
            </w:pPr>
            <w:r w:rsidRPr="00B31BEB">
              <w:t>29.1</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Weekly</w:t>
            </w:r>
          </w:p>
        </w:tc>
        <w:tc>
          <w:tcPr>
            <w:tcW w:w="1685" w:type="dxa"/>
            <w:tcBorders>
              <w:top w:val="nil"/>
              <w:left w:val="nil"/>
              <w:bottom w:val="nil"/>
              <w:right w:val="nil"/>
            </w:tcBorders>
          </w:tcPr>
          <w:p w:rsidR="003B67FA" w:rsidRPr="00B31BEB" w:rsidRDefault="003B67FA" w:rsidP="006E4EA8">
            <w:pPr>
              <w:tabs>
                <w:tab w:val="center" w:pos="4800"/>
                <w:tab w:val="right" w:pos="9500"/>
              </w:tabs>
              <w:jc w:val="both"/>
            </w:pPr>
            <w:r w:rsidRPr="00B31BEB">
              <w:t xml:space="preserve">10.8 </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University- BSc</w:t>
            </w:r>
          </w:p>
        </w:tc>
        <w:tc>
          <w:tcPr>
            <w:tcW w:w="768" w:type="dxa"/>
            <w:tcBorders>
              <w:top w:val="nil"/>
              <w:left w:val="nil"/>
              <w:bottom w:val="nil"/>
              <w:right w:val="nil"/>
            </w:tcBorders>
          </w:tcPr>
          <w:p w:rsidR="003B67FA" w:rsidRPr="00B31BEB" w:rsidRDefault="003B67FA" w:rsidP="00970480">
            <w:pPr>
              <w:pStyle w:val="Newparagraph"/>
              <w:ind w:firstLine="0"/>
            </w:pPr>
            <w:r w:rsidRPr="00B31BEB">
              <w:t>16.3</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Monthly</w:t>
            </w:r>
          </w:p>
        </w:tc>
        <w:tc>
          <w:tcPr>
            <w:tcW w:w="1685" w:type="dxa"/>
            <w:tcBorders>
              <w:top w:val="nil"/>
              <w:left w:val="nil"/>
              <w:bottom w:val="nil"/>
              <w:right w:val="nil"/>
            </w:tcBorders>
          </w:tcPr>
          <w:p w:rsidR="003B67FA" w:rsidRPr="00B31BEB" w:rsidRDefault="003B67FA" w:rsidP="00970480">
            <w:pPr>
              <w:pStyle w:val="Newparagraph"/>
              <w:ind w:firstLine="0"/>
            </w:pPr>
            <w:r w:rsidRPr="00B31BEB">
              <w:t>41.4</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University- MSc</w:t>
            </w:r>
          </w:p>
        </w:tc>
        <w:tc>
          <w:tcPr>
            <w:tcW w:w="768" w:type="dxa"/>
            <w:tcBorders>
              <w:top w:val="nil"/>
              <w:left w:val="nil"/>
              <w:bottom w:val="nil"/>
              <w:right w:val="nil"/>
            </w:tcBorders>
          </w:tcPr>
          <w:p w:rsidR="003B67FA" w:rsidRPr="00B31BEB" w:rsidRDefault="003B67FA" w:rsidP="00970480">
            <w:pPr>
              <w:pStyle w:val="Newparagraph"/>
              <w:ind w:firstLine="0"/>
            </w:pPr>
            <w:r w:rsidRPr="00B31BEB">
              <w:t>17.3</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Every 3 months</w:t>
            </w:r>
          </w:p>
        </w:tc>
        <w:tc>
          <w:tcPr>
            <w:tcW w:w="1685" w:type="dxa"/>
            <w:tcBorders>
              <w:top w:val="nil"/>
              <w:left w:val="nil"/>
              <w:bottom w:val="nil"/>
              <w:right w:val="nil"/>
            </w:tcBorders>
          </w:tcPr>
          <w:p w:rsidR="003B67FA" w:rsidRPr="00B31BEB" w:rsidRDefault="003B67FA" w:rsidP="00970480">
            <w:pPr>
              <w:pStyle w:val="Newparagraph"/>
              <w:ind w:firstLine="0"/>
            </w:pPr>
            <w:r w:rsidRPr="00B31BEB">
              <w:t>28.6</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Other</w:t>
            </w:r>
          </w:p>
        </w:tc>
        <w:tc>
          <w:tcPr>
            <w:tcW w:w="768" w:type="dxa"/>
            <w:tcBorders>
              <w:top w:val="nil"/>
              <w:left w:val="nil"/>
              <w:bottom w:val="nil"/>
              <w:right w:val="nil"/>
            </w:tcBorders>
          </w:tcPr>
          <w:p w:rsidR="003B67FA" w:rsidRPr="00B31BEB" w:rsidRDefault="003B67FA" w:rsidP="00970480">
            <w:pPr>
              <w:pStyle w:val="Newparagraph"/>
              <w:ind w:firstLine="0"/>
            </w:pPr>
            <w:r w:rsidRPr="00B31BEB">
              <w:t>1.5</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Every 6 months</w:t>
            </w:r>
          </w:p>
        </w:tc>
        <w:tc>
          <w:tcPr>
            <w:tcW w:w="1685" w:type="dxa"/>
            <w:tcBorders>
              <w:top w:val="nil"/>
              <w:left w:val="nil"/>
              <w:bottom w:val="nil"/>
              <w:right w:val="nil"/>
            </w:tcBorders>
          </w:tcPr>
          <w:p w:rsidR="003B67FA" w:rsidRPr="00B31BEB" w:rsidRDefault="003B67FA" w:rsidP="00970480">
            <w:pPr>
              <w:pStyle w:val="Newparagraph"/>
              <w:ind w:firstLine="0"/>
            </w:pPr>
            <w:r w:rsidRPr="00B31BEB">
              <w:t>11.3</w:t>
            </w:r>
          </w:p>
        </w:tc>
      </w:tr>
      <w:tr w:rsidR="00B31BEB" w:rsidRPr="00B31BEB" w:rsidTr="001A5DEC">
        <w:trPr>
          <w:jc w:val="center"/>
        </w:trPr>
        <w:tc>
          <w:tcPr>
            <w:tcW w:w="2711" w:type="dxa"/>
            <w:gridSpan w:val="2"/>
            <w:tcBorders>
              <w:top w:val="nil"/>
              <w:left w:val="nil"/>
              <w:bottom w:val="nil"/>
              <w:right w:val="nil"/>
            </w:tcBorders>
          </w:tcPr>
          <w:p w:rsidR="003B67FA" w:rsidRPr="00B31BEB" w:rsidRDefault="003B67FA" w:rsidP="00970480">
            <w:pPr>
              <w:pStyle w:val="Newparagraph"/>
              <w:ind w:firstLine="0"/>
            </w:pPr>
            <w:r w:rsidRPr="00B31BEB">
              <w:t>Net family income (</w:t>
            </w:r>
            <w:r w:rsidRPr="00B31BEB">
              <w:rPr>
                <w:position w:val="-6"/>
              </w:rPr>
              <w:object w:dxaOrig="200" w:dyaOrig="279">
                <v:shape id="_x0000_i1042" type="#_x0000_t75" style="width:10.8pt;height:13.8pt" o:ole="">
                  <v:imagedata r:id="rId49" o:title=""/>
                </v:shape>
                <o:OLEObject Type="Embed" ProgID="Equation.DSMT4" ShapeID="_x0000_i1042" DrawAspect="Content" ObjectID="_1649081644" r:id="rId50"/>
              </w:object>
            </w:r>
            <w:r w:rsidRPr="00B31BEB">
              <w:t>)</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Once/year</w:t>
            </w:r>
          </w:p>
        </w:tc>
        <w:tc>
          <w:tcPr>
            <w:tcW w:w="1685" w:type="dxa"/>
            <w:tcBorders>
              <w:top w:val="nil"/>
              <w:left w:val="nil"/>
              <w:bottom w:val="nil"/>
              <w:right w:val="nil"/>
            </w:tcBorders>
          </w:tcPr>
          <w:p w:rsidR="003B67FA" w:rsidRPr="00B31BEB" w:rsidRDefault="003B67FA" w:rsidP="00970480">
            <w:pPr>
              <w:pStyle w:val="Newparagraph"/>
              <w:ind w:firstLine="0"/>
            </w:pPr>
            <w:r w:rsidRPr="00B31BEB">
              <w:t>4.9</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&lt; 1500</w:t>
            </w:r>
          </w:p>
        </w:tc>
        <w:tc>
          <w:tcPr>
            <w:tcW w:w="768" w:type="dxa"/>
            <w:tcBorders>
              <w:top w:val="nil"/>
              <w:left w:val="nil"/>
              <w:bottom w:val="nil"/>
              <w:right w:val="nil"/>
            </w:tcBorders>
          </w:tcPr>
          <w:p w:rsidR="003B67FA" w:rsidRPr="00B31BEB" w:rsidRDefault="003B67FA" w:rsidP="00970480">
            <w:pPr>
              <w:pStyle w:val="Newparagraph"/>
              <w:ind w:firstLine="0"/>
            </w:pPr>
            <w:r w:rsidRPr="00B31BEB">
              <w:t>13.3</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&lt; Once/year</w:t>
            </w:r>
          </w:p>
        </w:tc>
        <w:tc>
          <w:tcPr>
            <w:tcW w:w="1685" w:type="dxa"/>
            <w:tcBorders>
              <w:top w:val="nil"/>
              <w:left w:val="nil"/>
              <w:bottom w:val="nil"/>
              <w:right w:val="nil"/>
            </w:tcBorders>
          </w:tcPr>
          <w:p w:rsidR="003B67FA" w:rsidRPr="00B31BEB" w:rsidRDefault="003B67FA" w:rsidP="00970480">
            <w:pPr>
              <w:pStyle w:val="Newparagraph"/>
              <w:ind w:firstLine="0"/>
            </w:pPr>
            <w:r w:rsidRPr="00B31BEB">
              <w:t>1.5</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1500-3000</w:t>
            </w:r>
          </w:p>
        </w:tc>
        <w:tc>
          <w:tcPr>
            <w:tcW w:w="768" w:type="dxa"/>
            <w:tcBorders>
              <w:top w:val="nil"/>
              <w:left w:val="nil"/>
              <w:bottom w:val="nil"/>
              <w:right w:val="nil"/>
            </w:tcBorders>
          </w:tcPr>
          <w:p w:rsidR="003B67FA" w:rsidRPr="00B31BEB" w:rsidRDefault="003B67FA" w:rsidP="00970480">
            <w:pPr>
              <w:pStyle w:val="Newparagraph"/>
              <w:ind w:firstLine="0"/>
            </w:pPr>
            <w:r w:rsidRPr="00B31BEB">
              <w:t>30.5</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Never</w:t>
            </w:r>
          </w:p>
        </w:tc>
        <w:tc>
          <w:tcPr>
            <w:tcW w:w="1685" w:type="dxa"/>
            <w:tcBorders>
              <w:top w:val="nil"/>
              <w:left w:val="nil"/>
              <w:bottom w:val="nil"/>
              <w:right w:val="nil"/>
            </w:tcBorders>
          </w:tcPr>
          <w:p w:rsidR="003B67FA" w:rsidRPr="00B31BEB" w:rsidRDefault="003B67FA" w:rsidP="00970480">
            <w:pPr>
              <w:pStyle w:val="Newparagraph"/>
              <w:ind w:firstLine="0"/>
            </w:pPr>
            <w:r w:rsidRPr="00B31BEB">
              <w:t>0.5</w:t>
            </w:r>
          </w:p>
        </w:tc>
      </w:tr>
      <w:tr w:rsidR="00B31BEB" w:rsidRPr="00B31BEB" w:rsidTr="00030148">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3000-4500</w:t>
            </w:r>
          </w:p>
        </w:tc>
        <w:tc>
          <w:tcPr>
            <w:tcW w:w="768" w:type="dxa"/>
            <w:tcBorders>
              <w:top w:val="nil"/>
              <w:left w:val="nil"/>
              <w:bottom w:val="nil"/>
              <w:right w:val="nil"/>
            </w:tcBorders>
          </w:tcPr>
          <w:p w:rsidR="003B67FA" w:rsidRPr="00B31BEB" w:rsidRDefault="003B67FA" w:rsidP="00970480">
            <w:pPr>
              <w:pStyle w:val="Newparagraph"/>
              <w:ind w:firstLine="0"/>
            </w:pPr>
            <w:r w:rsidRPr="00B31BEB">
              <w:t>16.7</w:t>
            </w:r>
          </w:p>
        </w:tc>
        <w:tc>
          <w:tcPr>
            <w:tcW w:w="978" w:type="dxa"/>
            <w:tcBorders>
              <w:top w:val="nil"/>
              <w:left w:val="nil"/>
              <w:bottom w:val="nil"/>
              <w:right w:val="nil"/>
            </w:tcBorders>
          </w:tcPr>
          <w:p w:rsidR="003B67FA" w:rsidRPr="00B31BEB" w:rsidRDefault="003B67FA" w:rsidP="0081388D">
            <w:pPr>
              <w:pStyle w:val="Newparagraph"/>
              <w:ind w:firstLine="0"/>
              <w:jc w:val="center"/>
            </w:pPr>
          </w:p>
        </w:tc>
        <w:tc>
          <w:tcPr>
            <w:tcW w:w="4234" w:type="dxa"/>
            <w:gridSpan w:val="2"/>
            <w:tcBorders>
              <w:top w:val="nil"/>
              <w:left w:val="nil"/>
              <w:bottom w:val="nil"/>
              <w:right w:val="nil"/>
            </w:tcBorders>
          </w:tcPr>
          <w:p w:rsidR="003B67FA" w:rsidRPr="00B31BEB" w:rsidRDefault="003B67FA" w:rsidP="0081388D">
            <w:pPr>
              <w:pStyle w:val="Newparagraph"/>
              <w:ind w:firstLine="0"/>
              <w:jc w:val="center"/>
            </w:pPr>
            <w:r w:rsidRPr="00B31BEB">
              <w:t>Main reasons for e-purchasing</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&gt;4500</w:t>
            </w:r>
          </w:p>
        </w:tc>
        <w:tc>
          <w:tcPr>
            <w:tcW w:w="768" w:type="dxa"/>
            <w:tcBorders>
              <w:top w:val="nil"/>
              <w:left w:val="nil"/>
              <w:bottom w:val="nil"/>
              <w:right w:val="nil"/>
            </w:tcBorders>
          </w:tcPr>
          <w:p w:rsidR="003B67FA" w:rsidRPr="00B31BEB" w:rsidRDefault="003B67FA" w:rsidP="00970480">
            <w:pPr>
              <w:pStyle w:val="Newparagraph"/>
              <w:ind w:firstLine="0"/>
            </w:pPr>
            <w:r w:rsidRPr="00B31BEB">
              <w:t>13.4</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Home delivery</w:t>
            </w:r>
          </w:p>
        </w:tc>
        <w:tc>
          <w:tcPr>
            <w:tcW w:w="1685" w:type="dxa"/>
            <w:tcBorders>
              <w:top w:val="nil"/>
              <w:left w:val="nil"/>
              <w:bottom w:val="nil"/>
              <w:right w:val="nil"/>
            </w:tcBorders>
          </w:tcPr>
          <w:p w:rsidR="003B67FA" w:rsidRPr="00B31BEB" w:rsidRDefault="003B67FA" w:rsidP="00970480">
            <w:pPr>
              <w:pStyle w:val="Newparagraph"/>
              <w:ind w:firstLine="0"/>
            </w:pPr>
            <w:r w:rsidRPr="00B31BEB">
              <w:t>62.1</w:t>
            </w:r>
          </w:p>
        </w:tc>
      </w:tr>
      <w:tr w:rsidR="00B31BEB" w:rsidRPr="00B31BEB" w:rsidTr="001A5DEC">
        <w:trPr>
          <w:jc w:val="center"/>
        </w:trPr>
        <w:tc>
          <w:tcPr>
            <w:tcW w:w="1943" w:type="dxa"/>
            <w:tcBorders>
              <w:top w:val="nil"/>
              <w:left w:val="nil"/>
              <w:bottom w:val="nil"/>
              <w:right w:val="nil"/>
            </w:tcBorders>
          </w:tcPr>
          <w:p w:rsidR="003B67FA" w:rsidRPr="00B31BEB" w:rsidRDefault="003B67FA" w:rsidP="00970480">
            <w:pPr>
              <w:pStyle w:val="Newparagraph"/>
              <w:ind w:firstLine="0"/>
            </w:pPr>
            <w:r w:rsidRPr="00B31BEB">
              <w:t>No answer</w:t>
            </w:r>
          </w:p>
        </w:tc>
        <w:tc>
          <w:tcPr>
            <w:tcW w:w="768" w:type="dxa"/>
            <w:tcBorders>
              <w:top w:val="nil"/>
              <w:left w:val="nil"/>
              <w:bottom w:val="nil"/>
              <w:right w:val="nil"/>
            </w:tcBorders>
          </w:tcPr>
          <w:p w:rsidR="003B67FA" w:rsidRPr="00B31BEB" w:rsidRDefault="003B67FA" w:rsidP="00970480">
            <w:pPr>
              <w:pStyle w:val="Newparagraph"/>
              <w:ind w:firstLine="0"/>
            </w:pPr>
            <w:r w:rsidRPr="00B31BEB">
              <w:t>26.1</w:t>
            </w:r>
          </w:p>
        </w:tc>
        <w:tc>
          <w:tcPr>
            <w:tcW w:w="978" w:type="dxa"/>
            <w:tcBorders>
              <w:top w:val="nil"/>
              <w:left w:val="nil"/>
              <w:bottom w:val="nil"/>
              <w:right w:val="nil"/>
            </w:tcBorders>
          </w:tcPr>
          <w:p w:rsidR="003B67FA" w:rsidRPr="00B31BEB" w:rsidRDefault="003B67FA" w:rsidP="00970480">
            <w:pPr>
              <w:pStyle w:val="Newparagraph"/>
              <w:ind w:firstLine="0"/>
            </w:pPr>
          </w:p>
        </w:tc>
        <w:tc>
          <w:tcPr>
            <w:tcW w:w="2549" w:type="dxa"/>
            <w:tcBorders>
              <w:top w:val="nil"/>
              <w:left w:val="nil"/>
              <w:bottom w:val="nil"/>
              <w:right w:val="nil"/>
            </w:tcBorders>
          </w:tcPr>
          <w:p w:rsidR="003B67FA" w:rsidRPr="00B31BEB" w:rsidRDefault="003B67FA" w:rsidP="00970480">
            <w:pPr>
              <w:pStyle w:val="Newparagraph"/>
              <w:ind w:firstLine="0"/>
            </w:pPr>
            <w:r w:rsidRPr="00B31BEB">
              <w:t>Time saving</w:t>
            </w:r>
          </w:p>
        </w:tc>
        <w:tc>
          <w:tcPr>
            <w:tcW w:w="1685" w:type="dxa"/>
            <w:tcBorders>
              <w:top w:val="nil"/>
              <w:left w:val="nil"/>
              <w:bottom w:val="nil"/>
              <w:right w:val="nil"/>
            </w:tcBorders>
          </w:tcPr>
          <w:p w:rsidR="003B67FA" w:rsidRPr="00B31BEB" w:rsidRDefault="003B67FA" w:rsidP="00970480">
            <w:pPr>
              <w:pStyle w:val="Newparagraph"/>
              <w:ind w:firstLine="0"/>
            </w:pPr>
            <w:r w:rsidRPr="00B31BEB">
              <w:t>58.6</w:t>
            </w:r>
          </w:p>
        </w:tc>
      </w:tr>
      <w:tr w:rsidR="003B67FA" w:rsidRPr="00B31BEB" w:rsidTr="001A5DEC">
        <w:trPr>
          <w:jc w:val="center"/>
        </w:trPr>
        <w:tc>
          <w:tcPr>
            <w:tcW w:w="1943" w:type="dxa"/>
            <w:tcBorders>
              <w:top w:val="nil"/>
              <w:left w:val="nil"/>
              <w:bottom w:val="single" w:sz="4" w:space="0" w:color="auto"/>
              <w:right w:val="nil"/>
            </w:tcBorders>
          </w:tcPr>
          <w:p w:rsidR="003B67FA" w:rsidRPr="00B31BEB" w:rsidRDefault="003B67FA" w:rsidP="00970480">
            <w:pPr>
              <w:pStyle w:val="Newparagraph"/>
              <w:ind w:firstLine="0"/>
            </w:pPr>
          </w:p>
        </w:tc>
        <w:tc>
          <w:tcPr>
            <w:tcW w:w="768" w:type="dxa"/>
            <w:tcBorders>
              <w:top w:val="nil"/>
              <w:left w:val="nil"/>
              <w:bottom w:val="single" w:sz="4" w:space="0" w:color="auto"/>
              <w:right w:val="nil"/>
            </w:tcBorders>
          </w:tcPr>
          <w:p w:rsidR="003B67FA" w:rsidRPr="00B31BEB" w:rsidRDefault="003B67FA" w:rsidP="00970480">
            <w:pPr>
              <w:pStyle w:val="Newparagraph"/>
              <w:ind w:firstLine="0"/>
            </w:pPr>
          </w:p>
        </w:tc>
        <w:tc>
          <w:tcPr>
            <w:tcW w:w="978" w:type="dxa"/>
            <w:tcBorders>
              <w:top w:val="nil"/>
              <w:left w:val="nil"/>
              <w:bottom w:val="single" w:sz="4" w:space="0" w:color="auto"/>
              <w:right w:val="nil"/>
            </w:tcBorders>
          </w:tcPr>
          <w:p w:rsidR="003B67FA" w:rsidRPr="00B31BEB" w:rsidRDefault="003B67FA" w:rsidP="00970480">
            <w:pPr>
              <w:pStyle w:val="Newparagraph"/>
              <w:ind w:firstLine="0"/>
            </w:pPr>
          </w:p>
        </w:tc>
        <w:tc>
          <w:tcPr>
            <w:tcW w:w="2549" w:type="dxa"/>
            <w:tcBorders>
              <w:top w:val="nil"/>
              <w:left w:val="nil"/>
              <w:bottom w:val="single" w:sz="4" w:space="0" w:color="auto"/>
              <w:right w:val="nil"/>
            </w:tcBorders>
          </w:tcPr>
          <w:p w:rsidR="003B67FA" w:rsidRPr="00B31BEB" w:rsidRDefault="003B67FA" w:rsidP="00970480">
            <w:pPr>
              <w:pStyle w:val="Newparagraph"/>
              <w:ind w:firstLine="0"/>
            </w:pPr>
            <w:r w:rsidRPr="00B31BEB">
              <w:t>24-hr clock purchasing</w:t>
            </w:r>
          </w:p>
        </w:tc>
        <w:tc>
          <w:tcPr>
            <w:tcW w:w="1685" w:type="dxa"/>
            <w:tcBorders>
              <w:top w:val="nil"/>
              <w:left w:val="nil"/>
              <w:bottom w:val="single" w:sz="4" w:space="0" w:color="auto"/>
              <w:right w:val="nil"/>
            </w:tcBorders>
          </w:tcPr>
          <w:p w:rsidR="003B67FA" w:rsidRPr="00B31BEB" w:rsidRDefault="003B67FA" w:rsidP="00970480">
            <w:pPr>
              <w:pStyle w:val="Newparagraph"/>
              <w:ind w:firstLine="0"/>
            </w:pPr>
            <w:r w:rsidRPr="00B31BEB">
              <w:t>46.3</w:t>
            </w:r>
          </w:p>
        </w:tc>
      </w:tr>
    </w:tbl>
    <w:p w:rsidR="007E0332" w:rsidRDefault="007E0332" w:rsidP="00D64ADE">
      <w:pPr>
        <w:pStyle w:val="Newparagraph"/>
        <w:rPr>
          <w:noProof/>
        </w:rPr>
      </w:pPr>
    </w:p>
    <w:p w:rsidR="00D05A6B" w:rsidRPr="00B31BEB" w:rsidRDefault="00D64ADE" w:rsidP="00D64ADE">
      <w:pPr>
        <w:pStyle w:val="Newparagraph"/>
        <w:rPr>
          <w:noProof/>
        </w:rPr>
      </w:pPr>
      <w:r w:rsidRPr="00B31BEB">
        <w:rPr>
          <w:noProof/>
        </w:rPr>
        <w:lastRenderedPageBreak/>
        <w:t xml:space="preserve">The second model embeds </w:t>
      </w:r>
      <w:r w:rsidRPr="00B31BEB">
        <w:rPr>
          <w:i/>
          <w:iCs/>
          <w:noProof/>
        </w:rPr>
        <w:t>static</w:t>
      </w:r>
      <w:r w:rsidRPr="00B31BEB">
        <w:rPr>
          <w:noProof/>
        </w:rPr>
        <w:t xml:space="preserve"> inferred ANA</w:t>
      </w:r>
      <w:r w:rsidR="006D5B9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Letters","id":"ITEM-1","issue":"3","issued":{"date-parts":[["2011"]]},"page":"203-205","title":"A discrete choice model with endogenous attribute attendance","type":"article-journal","volume":"110"},"uris":["http://www.mendeley.com/documents/?uuid=5662ee3c-a6f3-42b2-983b-10d425b6ed72"]}],"mendeley":{"formattedCitation":"[31]","plainTextFormattedCitation":"[31]","previouslyFormattedCitation":"[31]"},"properties":{"noteIndex":0},"schema":"https://github.com/citation-style-language/schema/raw/master/csl-citation.json"}</w:instrText>
      </w:r>
      <w:r w:rsidR="000A3492" w:rsidRPr="00B31BEB">
        <w:rPr>
          <w:rStyle w:val="FootnoteReference"/>
          <w:noProof/>
        </w:rPr>
        <w:fldChar w:fldCharType="separate"/>
      </w:r>
      <w:r w:rsidR="00F8005E" w:rsidRPr="00B31BEB">
        <w:rPr>
          <w:noProof/>
        </w:rPr>
        <w:t>[31]</w:t>
      </w:r>
      <w:r w:rsidR="000A3492" w:rsidRPr="00B31BEB">
        <w:rPr>
          <w:rStyle w:val="FootnoteReference"/>
          <w:noProof/>
        </w:rPr>
        <w:fldChar w:fldCharType="end"/>
      </w:r>
      <w:r w:rsidR="006D5B95" w:rsidRPr="00B31BEB">
        <w:rPr>
          <w:noProof/>
        </w:rPr>
        <w:t xml:space="preserve"> </w:t>
      </w:r>
      <w:r w:rsidRPr="00B31BEB">
        <w:rPr>
          <w:noProof/>
        </w:rPr>
        <w:t xml:space="preserve">into the MNL model with shifts in preference parameters as in the first model. All attributes were assumed to be subject to </w:t>
      </w:r>
      <w:r w:rsidRPr="00B31BEB">
        <w:rPr>
          <w:i/>
          <w:iCs/>
          <w:noProof/>
        </w:rPr>
        <w:t>static</w:t>
      </w:r>
      <w:r w:rsidRPr="00B31BEB">
        <w:rPr>
          <w:noProof/>
        </w:rPr>
        <w:t xml:space="preserve"> ANA. The third MNL model allows switching ANA behavior for the three attributes where information was provided. The remaining five attributes were subject to static ANA. The first two are standard choice models that use interaction effects to model the impact of providing information on attributes (e.g.,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Pr="00B31BEB">
        <w:rPr>
          <w:noProof/>
        </w:rPr>
        <w:t>). In the third model, changes in ANA behavior are used to account for consumers’ behavioral changes post-information. The initial attendance probabilities were confined to the first block of six sets, while a transition matrix of probabilities caters for ANA behavior post-information. The fourth model investigates the effects of socio-economic and attitudinal factors on the initial and transition attendance probabilities. The BIC and the likelihood ratio test were used for model comparisons. We formalize the models next.</w:t>
      </w:r>
    </w:p>
    <w:p w:rsidR="00A10A3B" w:rsidRPr="00B31BEB" w:rsidRDefault="001044B1" w:rsidP="001044B1">
      <w:pPr>
        <w:pStyle w:val="Heading3"/>
      </w:pPr>
      <w:r w:rsidRPr="00B31BEB">
        <w:t>Model 1: Multinomial logit model with shifts in preference parameters</w:t>
      </w:r>
    </w:p>
    <w:p w:rsidR="007A5E72" w:rsidRPr="00B31BEB" w:rsidRDefault="00695A20" w:rsidP="000950DD">
      <w:pPr>
        <w:tabs>
          <w:tab w:val="center" w:pos="4800"/>
          <w:tab w:val="right" w:pos="9500"/>
        </w:tabs>
        <w:ind w:firstLine="720"/>
        <w:rPr>
          <w:noProof/>
        </w:rPr>
      </w:pPr>
      <w:r w:rsidRPr="00B31BEB">
        <w:rPr>
          <w:noProof/>
        </w:rPr>
        <w:t>The multinomial logit is a standard and widely used model for analysing choice data. MNL models are based on random utility theory, with the assumption that an alternative’s unobservable true utility can be divided into two summable parts: a deterministic and a random component. Assuming that the deterministic utility component (denoted as</w:t>
      </w:r>
      <w:r w:rsidR="0005097B" w:rsidRPr="00B31BEB">
        <w:rPr>
          <w:noProof/>
        </w:rPr>
        <w:t xml:space="preserve"> </w:t>
      </w:r>
      <w:r w:rsidR="006379D7" w:rsidRPr="00B31BEB">
        <w:rPr>
          <w:position w:val="-12"/>
        </w:rPr>
        <w:object w:dxaOrig="360" w:dyaOrig="360">
          <v:shape id="_x0000_i1043" type="#_x0000_t75" style="width:18pt;height:18pt" o:ole="">
            <v:imagedata r:id="rId51" o:title=""/>
          </v:shape>
          <o:OLEObject Type="Embed" ProgID="Equation.DSMT4" ShapeID="_x0000_i1043" DrawAspect="Content" ObjectID="_1649081645" r:id="rId52"/>
        </w:object>
      </w:r>
      <w:r w:rsidRPr="00B31BEB">
        <w:rPr>
          <w:noProof/>
        </w:rPr>
        <w:t>) is a linear function in the attribute parameters, and that the random component is identically and independently distributed following a type</w:t>
      </w:r>
      <w:r w:rsidR="00372F6E" w:rsidRPr="00B31BEB">
        <w:rPr>
          <w:noProof/>
        </w:rPr>
        <w:t xml:space="preserve">-I extreme value distribution, </w:t>
      </w:r>
      <w:r w:rsidRPr="00B31BEB">
        <w:rPr>
          <w:noProof/>
        </w:rPr>
        <w:t>the probability of a consumer selecting webshop</w:t>
      </w:r>
      <w:r w:rsidRPr="00B31BEB">
        <w:rPr>
          <w:noProof/>
          <w:position w:val="-6"/>
        </w:rPr>
        <w:object w:dxaOrig="260" w:dyaOrig="220">
          <v:shape id="_x0000_i1044" type="#_x0000_t75" style="width:12.6pt;height:10.8pt" o:ole="">
            <v:imagedata r:id="rId53" o:title=""/>
          </v:shape>
          <o:OLEObject Type="Embed" ProgID="Equation.DSMT4" ShapeID="_x0000_i1044" DrawAspect="Content" ObjectID="_1649081646" r:id="rId54"/>
        </w:object>
      </w:r>
      <w:r w:rsidR="00372F6E" w:rsidRPr="00B31BEB">
        <w:rPr>
          <w:noProof/>
        </w:rPr>
        <w:t xml:space="preserve"> in choice set</w:t>
      </w:r>
      <w:r w:rsidRPr="00B31BEB">
        <w:rPr>
          <w:noProof/>
          <w:position w:val="-6"/>
        </w:rPr>
        <w:object w:dxaOrig="180" w:dyaOrig="220">
          <v:shape id="_x0000_i1045" type="#_x0000_t75" style="width:10.2pt;height:10.8pt" o:ole="">
            <v:imagedata r:id="rId55" o:title=""/>
          </v:shape>
          <o:OLEObject Type="Embed" ProgID="Equation.DSMT4" ShapeID="_x0000_i1045" DrawAspect="Content" ObjectID="_1649081647" r:id="rId56"/>
        </w:object>
      </w:r>
      <w:r w:rsidRPr="00B31BEB">
        <w:rPr>
          <w:noProof/>
        </w:rPr>
        <w:t xml:space="preserve"> </w:t>
      </w:r>
      <w:r w:rsidR="000A3492" w:rsidRPr="00B31BEB">
        <w:rPr>
          <w:rStyle w:val="FootnoteReference"/>
          <w:noProof/>
        </w:rPr>
        <w:fldChar w:fldCharType="begin" w:fldLock="1"/>
      </w:r>
      <w:r w:rsidR="009F4564" w:rsidRPr="00B31BEB">
        <w:rPr>
          <w:noProof/>
        </w:rPr>
        <w:instrText>ADDIN CSL_CITATION {"citationItems":[{"id":"ITEM-1","itemData":{"abstract":"106 DANIEL MCFADDEN because the econometrician cannot observe or control all the factors influencing behavior , and because the process of observation itself influences acts of the decision-maker through the vehicle of experience. It becomes necessary to make ...","author":[{"dropping-particle":"","family":"McFadden","given":"D","non-dropping-particle":"","parse-names":false,"suffix":""}],"container-title":"Frontiers in Econometrics","id":"ITEM-1","issue":"4","issued":{"date-parts":[["1973"]]},"page":"105-141","publisher":"Academic Press","title":"Conditional Logit Analysis of Qualitative Choice Behavior","type":"chapter"},"uris":["http://www.mendeley.com/documents/?uuid=ecaf4b8c-a7b2-4060-8126-6611f4d734af"]}],"mendeley":{"formattedCitation":"[52]","plainTextFormattedCitation":"[52]","previouslyFormattedCitation":"[52]"},"properties":{"noteIndex":0},"schema":"https://github.com/citation-style-language/schema/raw/master/csl-citation.json"}</w:instrText>
      </w:r>
      <w:r w:rsidR="000A3492" w:rsidRPr="00B31BEB">
        <w:rPr>
          <w:rStyle w:val="FootnoteReference"/>
          <w:noProof/>
        </w:rPr>
        <w:fldChar w:fldCharType="separate"/>
      </w:r>
      <w:r w:rsidR="00F8005E" w:rsidRPr="00B31BEB">
        <w:rPr>
          <w:noProof/>
        </w:rPr>
        <w:t>[52]</w:t>
      </w:r>
      <w:r w:rsidR="000A3492" w:rsidRPr="00B31BEB">
        <w:rPr>
          <w:rStyle w:val="FootnoteReference"/>
          <w:noProof/>
        </w:rPr>
        <w:fldChar w:fldCharType="end"/>
      </w:r>
      <w:r w:rsidRPr="00B31BEB">
        <w:rPr>
          <w:noProof/>
        </w:rPr>
        <w:t xml:space="preserve"> is as shown in Equation 1: </w:t>
      </w:r>
      <w:r w:rsidR="007A5E72" w:rsidRPr="00B31BEB">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664"/>
      </w:tblGrid>
      <w:tr w:rsidR="00B31BEB" w:rsidRPr="00B31BEB" w:rsidTr="00242E84">
        <w:tc>
          <w:tcPr>
            <w:tcW w:w="445" w:type="dxa"/>
            <w:vAlign w:val="center"/>
          </w:tcPr>
          <w:p w:rsidR="00ED5C8B" w:rsidRPr="00B31BEB" w:rsidRDefault="00ED5C8B" w:rsidP="00242E84">
            <w:pPr>
              <w:tabs>
                <w:tab w:val="center" w:pos="4800"/>
                <w:tab w:val="right" w:pos="9500"/>
              </w:tabs>
              <w:jc w:val="center"/>
              <w:rPr>
                <w:noProof/>
              </w:rPr>
            </w:pPr>
          </w:p>
        </w:tc>
        <w:tc>
          <w:tcPr>
            <w:tcW w:w="7380" w:type="dxa"/>
            <w:vAlign w:val="center"/>
          </w:tcPr>
          <w:p w:rsidR="00ED5C8B" w:rsidRPr="00B31BEB" w:rsidRDefault="00242E84" w:rsidP="00242E84">
            <w:pPr>
              <w:tabs>
                <w:tab w:val="center" w:pos="4800"/>
                <w:tab w:val="right" w:pos="9500"/>
              </w:tabs>
              <w:jc w:val="center"/>
              <w:rPr>
                <w:noProof/>
              </w:rPr>
            </w:pPr>
            <w:r w:rsidRPr="00B31BEB">
              <w:rPr>
                <w:position w:val="-60"/>
              </w:rPr>
              <w:object w:dxaOrig="1380" w:dyaOrig="1020">
                <v:shape id="_x0000_i1046" type="#_x0000_t75" style="width:70.2pt;height:52.2pt" o:ole="">
                  <v:imagedata r:id="rId57" o:title=""/>
                </v:shape>
                <o:OLEObject Type="Embed" ProgID="Equation.DSMT4" ShapeID="_x0000_i1046" DrawAspect="Content" ObjectID="_1649081648" r:id="rId58"/>
              </w:object>
            </w:r>
          </w:p>
        </w:tc>
        <w:tc>
          <w:tcPr>
            <w:tcW w:w="664" w:type="dxa"/>
            <w:vAlign w:val="center"/>
          </w:tcPr>
          <w:p w:rsidR="00ED5C8B" w:rsidRPr="00B31BEB" w:rsidRDefault="00ED5C8B"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1</w:t>
            </w:r>
            <w:r w:rsidRPr="00B31BEB">
              <w:rPr>
                <w:noProof/>
              </w:rPr>
              <w:fldChar w:fldCharType="end"/>
            </w:r>
            <w:r w:rsidRPr="00B31BEB">
              <w:rPr>
                <w:noProof/>
              </w:rPr>
              <w:t>)</w:t>
            </w:r>
          </w:p>
        </w:tc>
      </w:tr>
    </w:tbl>
    <w:p w:rsidR="00714739" w:rsidRPr="00B31BEB" w:rsidRDefault="00FA3136" w:rsidP="009C1582">
      <w:pPr>
        <w:tabs>
          <w:tab w:val="center" w:pos="4800"/>
          <w:tab w:val="right" w:pos="9500"/>
        </w:tabs>
        <w:rPr>
          <w:noProof/>
        </w:rPr>
      </w:pPr>
      <w:r w:rsidRPr="00B31BEB">
        <w:rPr>
          <w:noProof/>
        </w:rPr>
        <w:lastRenderedPageBreak/>
        <w:t>In line with notation introduced in Table 1, the deterministic components of the utility functions for the first and second block of choice sets are shown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664"/>
      </w:tblGrid>
      <w:tr w:rsidR="00B31BEB" w:rsidRPr="00B31BEB" w:rsidTr="00242E84">
        <w:tc>
          <w:tcPr>
            <w:tcW w:w="445" w:type="dxa"/>
            <w:vAlign w:val="center"/>
          </w:tcPr>
          <w:p w:rsidR="0058584E" w:rsidRPr="00B31BEB" w:rsidRDefault="0058584E" w:rsidP="00242E84">
            <w:pPr>
              <w:tabs>
                <w:tab w:val="center" w:pos="4800"/>
                <w:tab w:val="right" w:pos="9500"/>
              </w:tabs>
              <w:jc w:val="center"/>
              <w:rPr>
                <w:noProof/>
              </w:rPr>
            </w:pPr>
          </w:p>
        </w:tc>
        <w:tc>
          <w:tcPr>
            <w:tcW w:w="7380" w:type="dxa"/>
            <w:vAlign w:val="center"/>
          </w:tcPr>
          <w:p w:rsidR="0058584E" w:rsidRPr="00B31BEB" w:rsidRDefault="0058584E" w:rsidP="00242E84">
            <w:pPr>
              <w:tabs>
                <w:tab w:val="center" w:pos="4800"/>
                <w:tab w:val="right" w:pos="9500"/>
              </w:tabs>
              <w:jc w:val="center"/>
              <w:rPr>
                <w:noProof/>
              </w:rPr>
            </w:pPr>
            <w:r w:rsidRPr="00B31BEB">
              <w:rPr>
                <w:position w:val="-84"/>
              </w:rPr>
              <w:object w:dxaOrig="5179" w:dyaOrig="1800">
                <v:shape id="_x0000_i1047" type="#_x0000_t75" style="width:258pt;height:90pt" o:ole="">
                  <v:imagedata r:id="rId59" o:title=""/>
                </v:shape>
                <o:OLEObject Type="Embed" ProgID="Equation.DSMT4" ShapeID="_x0000_i1047" DrawAspect="Content" ObjectID="_1649081649" r:id="rId60"/>
              </w:object>
            </w:r>
          </w:p>
        </w:tc>
        <w:tc>
          <w:tcPr>
            <w:tcW w:w="664" w:type="dxa"/>
            <w:vAlign w:val="center"/>
          </w:tcPr>
          <w:p w:rsidR="0058584E" w:rsidRPr="00B31BEB" w:rsidRDefault="0058584E"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2</w:t>
            </w:r>
            <w:r w:rsidRPr="00B31BEB">
              <w:rPr>
                <w:noProof/>
              </w:rPr>
              <w:fldChar w:fldCharType="end"/>
            </w:r>
            <w:r w:rsidRPr="00B31BEB">
              <w:rPr>
                <w:noProof/>
              </w:rPr>
              <w:t>)</w:t>
            </w:r>
          </w:p>
        </w:tc>
      </w:tr>
    </w:tbl>
    <w:p w:rsidR="0066048D" w:rsidRPr="00B31BEB" w:rsidRDefault="0066048D" w:rsidP="009C1582">
      <w:pPr>
        <w:tabs>
          <w:tab w:val="center" w:pos="4800"/>
          <w:tab w:val="right" w:pos="9500"/>
        </w:tabs>
        <w:rPr>
          <w:noProof/>
        </w:rPr>
      </w:pPr>
      <w:r w:rsidRPr="00B31BEB">
        <w:rPr>
          <w:noProof/>
        </w:rPr>
        <w:t>where OptOut equals 1 when the opt-out option is selected and 0 when a webshop is selected. The value</w:t>
      </w:r>
      <w:r w:rsidR="00676F98" w:rsidRPr="00B31BEB">
        <w:rPr>
          <w:noProof/>
        </w:rPr>
        <w:t xml:space="preserve"> </w:t>
      </w:r>
      <w:r w:rsidR="00676F98" w:rsidRPr="00B31BEB">
        <w:rPr>
          <w:position w:val="-14"/>
        </w:rPr>
        <w:object w:dxaOrig="440" w:dyaOrig="380">
          <v:shape id="_x0000_i1048" type="#_x0000_t75" style="width:22.2pt;height:18.6pt" o:ole="">
            <v:imagedata r:id="rId61" o:title=""/>
          </v:shape>
          <o:OLEObject Type="Embed" ProgID="Equation.DSMT4" ShapeID="_x0000_i1048" DrawAspect="Content" ObjectID="_1649081650" r:id="rId62"/>
        </w:object>
      </w:r>
      <w:r w:rsidRPr="00B31BEB">
        <w:rPr>
          <w:noProof/>
        </w:rPr>
        <w:t xml:space="preserve">refers to the </w:t>
      </w:r>
      <w:r w:rsidRPr="00B31BEB">
        <w:rPr>
          <w:noProof/>
          <w:position w:val="-10"/>
        </w:rPr>
        <w:object w:dxaOrig="320" w:dyaOrig="360">
          <v:shape id="_x0000_i1049" type="#_x0000_t75" style="width:16.8pt;height:18pt" o:ole="">
            <v:imagedata r:id="rId63" o:title=""/>
          </v:shape>
          <o:OLEObject Type="Embed" ProgID="Equation.DSMT4" ShapeID="_x0000_i1049" DrawAspect="Content" ObjectID="_1649081651" r:id="rId64"/>
        </w:object>
      </w:r>
      <w:r w:rsidRPr="00B31BEB">
        <w:rPr>
          <w:noProof/>
        </w:rPr>
        <w:t xml:space="preserve"> attribute for the </w:t>
      </w:r>
      <w:r w:rsidRPr="00B31BEB">
        <w:rPr>
          <w:noProof/>
          <w:position w:val="-6"/>
        </w:rPr>
        <w:object w:dxaOrig="360" w:dyaOrig="320">
          <v:shape id="_x0000_i1050" type="#_x0000_t75" style="width:18pt;height:16.8pt" o:ole="">
            <v:imagedata r:id="rId65" o:title=""/>
          </v:shape>
          <o:OLEObject Type="Embed" ProgID="Equation.DSMT4" ShapeID="_x0000_i1050" DrawAspect="Content" ObjectID="_1649081652" r:id="rId66"/>
        </w:object>
      </w:r>
      <w:r w:rsidRPr="00B31BEB">
        <w:rPr>
          <w:noProof/>
        </w:rPr>
        <w:t xml:space="preserve"> webshop in choice set </w:t>
      </w:r>
      <w:r w:rsidRPr="00B31BEB">
        <w:rPr>
          <w:noProof/>
          <w:position w:val="-6"/>
        </w:rPr>
        <w:object w:dxaOrig="180" w:dyaOrig="220">
          <v:shape id="_x0000_i1051" type="#_x0000_t75" style="width:10.2pt;height:10.8pt" o:ole="">
            <v:imagedata r:id="rId55" o:title=""/>
          </v:shape>
          <o:OLEObject Type="Embed" ProgID="Equation.DSMT4" ShapeID="_x0000_i1051" DrawAspect="Content" ObjectID="_1649081653" r:id="rId67"/>
        </w:object>
      </w:r>
      <w:r w:rsidRPr="00B31BEB">
        <w:rPr>
          <w:noProof/>
        </w:rPr>
        <w:t>. Thus,</w:t>
      </w:r>
      <w:r w:rsidR="00922DE1" w:rsidRPr="00B31BEB">
        <w:rPr>
          <w:noProof/>
        </w:rPr>
        <w:t xml:space="preserve"> </w:t>
      </w:r>
      <w:r w:rsidR="00922DE1" w:rsidRPr="00B31BEB">
        <w:rPr>
          <w:position w:val="-12"/>
        </w:rPr>
        <w:object w:dxaOrig="420" w:dyaOrig="360">
          <v:shape id="_x0000_i1052" type="#_x0000_t75" style="width:22.2pt;height:18pt" o:ole="">
            <v:imagedata r:id="rId68" o:title=""/>
          </v:shape>
          <o:OLEObject Type="Embed" ProgID="Equation.DSMT4" ShapeID="_x0000_i1052" DrawAspect="Content" ObjectID="_1649081654" r:id="rId69"/>
        </w:object>
      </w:r>
      <w:r w:rsidR="00922DE1" w:rsidRPr="00B31BEB">
        <w:rPr>
          <w:noProof/>
        </w:rPr>
        <w:t xml:space="preserve"> </w:t>
      </w:r>
      <w:r w:rsidRPr="00B31BEB">
        <w:rPr>
          <w:noProof/>
        </w:rPr>
        <w:t>is the returns attribute value for webshop A in the first choice set and</w:t>
      </w:r>
      <w:r w:rsidR="002E67B4" w:rsidRPr="00B31BEB">
        <w:rPr>
          <w:noProof/>
        </w:rPr>
        <w:t xml:space="preserve"> </w:t>
      </w:r>
      <w:r w:rsidR="002E67B4" w:rsidRPr="00B31BEB">
        <w:rPr>
          <w:position w:val="-12"/>
        </w:rPr>
        <w:object w:dxaOrig="420" w:dyaOrig="360">
          <v:shape id="_x0000_i1053" type="#_x0000_t75" style="width:22.2pt;height:18pt" o:ole="">
            <v:imagedata r:id="rId70" o:title=""/>
          </v:shape>
          <o:OLEObject Type="Embed" ProgID="Equation.DSMT4" ShapeID="_x0000_i1053" DrawAspect="Content" ObjectID="_1649081655" r:id="rId71"/>
        </w:object>
      </w:r>
      <w:r w:rsidR="002E67B4" w:rsidRPr="00B31BEB">
        <w:rPr>
          <w:noProof/>
        </w:rPr>
        <w:t xml:space="preserve"> </w:t>
      </w:r>
      <w:r w:rsidRPr="00B31BEB">
        <w:rPr>
          <w:noProof/>
        </w:rPr>
        <w:t>is the distance attribute value for webshop C in the ninth choice set. The</w:t>
      </w:r>
      <w:r w:rsidR="00265435" w:rsidRPr="00B31BEB">
        <w:rPr>
          <w:noProof/>
        </w:rPr>
        <w:t xml:space="preserve"> </w:t>
      </w:r>
      <w:r w:rsidR="00265435" w:rsidRPr="00B31BEB">
        <w:rPr>
          <w:position w:val="-14"/>
        </w:rPr>
        <w:object w:dxaOrig="300" w:dyaOrig="380">
          <v:shape id="_x0000_i1054" type="#_x0000_t75" style="width:16.2pt;height:18.6pt" o:ole="">
            <v:imagedata r:id="rId72" o:title=""/>
          </v:shape>
          <o:OLEObject Type="Embed" ProgID="Equation.DSMT4" ShapeID="_x0000_i1054" DrawAspect="Content" ObjectID="_1649081656" r:id="rId73"/>
        </w:object>
      </w:r>
      <w:r w:rsidR="00265435" w:rsidRPr="00B31BEB">
        <w:rPr>
          <w:noProof/>
        </w:rPr>
        <w:t xml:space="preserve">’s and </w:t>
      </w:r>
      <w:r w:rsidR="00265435" w:rsidRPr="00B31BEB">
        <w:rPr>
          <w:position w:val="-14"/>
        </w:rPr>
        <w:object w:dxaOrig="300" w:dyaOrig="380">
          <v:shape id="_x0000_i1055" type="#_x0000_t75" style="width:16.2pt;height:18.6pt" o:ole="">
            <v:imagedata r:id="rId74" o:title=""/>
          </v:shape>
          <o:OLEObject Type="Embed" ProgID="Equation.DSMT4" ShapeID="_x0000_i1055" DrawAspect="Content" ObjectID="_1649081657" r:id="rId75"/>
        </w:object>
      </w:r>
      <w:r w:rsidR="00265435" w:rsidRPr="00B31BEB">
        <w:rPr>
          <w:noProof/>
        </w:rPr>
        <w:t>’s</w:t>
      </w:r>
      <w:r w:rsidRPr="00B31BEB">
        <w:rPr>
          <w:noProof/>
        </w:rPr>
        <w:t xml:space="preserve"> are preference and interaction parameters respectively.</w:t>
      </w:r>
    </w:p>
    <w:p w:rsidR="00992A25" w:rsidRPr="00B31BEB" w:rsidRDefault="00CF4673" w:rsidP="00992A25">
      <w:pPr>
        <w:pStyle w:val="Heading3"/>
      </w:pPr>
      <w:r w:rsidRPr="00B31BEB">
        <w:t>Model 2: Multinomial logit model with shifts in preference parameters and static ANA</w:t>
      </w:r>
    </w:p>
    <w:p w:rsidR="00933B45" w:rsidRPr="00B31BEB" w:rsidRDefault="00933B45" w:rsidP="006A4AB4">
      <w:pPr>
        <w:tabs>
          <w:tab w:val="center" w:pos="4800"/>
          <w:tab w:val="right" w:pos="9500"/>
        </w:tabs>
        <w:ind w:firstLine="720"/>
        <w:rPr>
          <w:noProof/>
        </w:rPr>
      </w:pPr>
      <w:r w:rsidRPr="00B31BEB">
        <w:rPr>
          <w:noProof/>
        </w:rPr>
        <w:t>Latent class models have for long been used to incorporate consumer heterogeneity in choice models</w:t>
      </w:r>
      <w:r w:rsidR="007D4D9A"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Economics","id":"ITEM-1","issue":"2","issued":{"date-parts":[["2009"]]},"page":"151-174","title":"Modelling attribute non-attendance in choice experiments for rural landscape valuation","type":"article-journal","volume":"36"},"uris":["http://www.mendeley.com/documents/?uuid=439f07bd-ddbc-47e0-aa99-5a776535bf11"]},{"id":"ITEM-2","itemData":{"DOI":"10.1016/j.econlet.2010.11.033","ISSN":"01651765","abstract":"This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Letters","id":"ITEM-2","issue":"3","issued":{"date-parts":[["2011"]]},"page":"203-205","title":"A discrete choice model with endogenous attribute attendance","type":"article-journal","volume":"110"},"uris":["http://www.mendeley.com/documents/?uuid=5662ee3c-a6f3-42b2-983b-10d425b6ed72"]},{"id":"ITEM-3","itemData":{"DOI":"10.1016/j.jebo.2013.09.009","ISSN":"01672681","abstract":"It is increasingly recognised that respondents to choice experiments employ heuristics such as attribute non-attendance (ANA) to simplify the choice tasks. This paper develops an econometric model which incorporates preference heterogeneity among respondents and allows the probability of non-attendance to depend on the respondents' stated non-attendance. We find evidence that stated ANA is a useful indicator of the prevalence of non-attendance in the data. Contrary to previous papers in the literature we find that estimates of marginal rates of substitution derived from models which account for ANA are similar to the standard logit estimates. © 2013 Elsevier B.V.","author":[{"dropping-particle":"","family":"Hole","given":"Arne Risa","non-dropping-particle":"","parse-names":false,"suffix":""},{"dropping-particle":"","family":"Kolstad","given":"Julie Riise","non-dropping-particle":"","parse-names":false,"suffix":""},{"dropping-particle":"","family":"Gyrd-Hansen","given":"Dorte","non-dropping-particle":"","parse-names":false,"suffix":""}],"container-title":"Journal of Economic Behavior and Organization","id":"ITEM-3","issued":{"date-parts":[["2013"]]},"page":"21-31","title":"Inferred vs. stated attribute non-attendance in choice experiments: A study of doctors' prescription behaviour","type":"article-journal","volume":"96"},"uris":["http://www.mendeley.com/documents/?uuid=fd93371c-7f72-46e5-9e36-3ec0e9e67bc0"]},{"id":"ITEM-4","itemData":{"DOI":"10.1002/hec.2824","ISSN":"10579230","abstract":"A growing literature, mainly from transport and environment economics, has started to explore whether respondents violate some of the axioms about individuals' preferences in Discrete Choice Experiments (DCEs) and use simple strategies to make their choices. One of these strategies, termed attribute non-attendance (ANA), consists in ignoring one or more attributes. Using data from a DCE administered to healthcare providers in Ghana to evaluate their potential resistance to changes in clinical guidelines, this study illustrates how latent class models can be used in a step-wise approach to account for all possible ANA strategies used by respondents and explore the consequences of such behaviours. Results show that less than 3% of respondents considered all attributes when choosing between the two hypothetical scenarios proposed, with a majority looking at only one or two attributes. Accounting for ANA strategies improved the goodness-of-fit of the model and affected the magnitude of some of the coefficient and willingness-to-pay estimates. However, there was no difference in the predicted probabilities of the model taking into account ANA and the standard approach. Although the latter result is reassuring about the ability of DCEs to produce unbiased policy guidance, it should be confirmed by other studies. Copyright © 2012 John Wiley &amp; Sons, Ltd. Copyright © 2012 John Wiley &amp; Sons, Ltd.","author":[{"dropping-particle":"","family":"Lagarde","given":"Mylene","non-dropping-particle":"","parse-names":false,"suffix":""}],"container-title":"Health Economics (United Kingdom)","id":"ITEM-4","issue":"5","issued":{"date-parts":[["2013"]]},"page":"554-567","title":"Investigating attribute non-attendance and its consequences in choice experiments with latent class models","type":"article-journal","volume":"22"},"uris":["http://www.mendeley.com/documents/?uuid=f8b1c0e1-67f5-4381-9a28-67460e0d1b19"]}],"mendeley":{"formattedCitation":"[31; 32; 40; 71]","plainTextFormattedCitation":"[31; 32; 40; 71]","previouslyFormattedCitation":"[31; 32; 40;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[31; 32; 40; 71]</w:t>
      </w:r>
      <w:r w:rsidR="000A3492" w:rsidRPr="00B31BEB">
        <w:rPr>
          <w:rStyle w:val="FootnoteReference"/>
          <w:noProof/>
        </w:rPr>
        <w:fldChar w:fldCharType="end"/>
      </w:r>
      <w:r w:rsidRPr="00B31BEB">
        <w:rPr>
          <w:noProof/>
        </w:rPr>
        <w:t xml:space="preserve">. In latent class modeling of ANA behavior, consumers are assumed to be divisible into a number of classes or subgroups (denoted as </w:t>
      </w:r>
      <w:r w:rsidRPr="00B31BEB">
        <w:rPr>
          <w:noProof/>
          <w:position w:val="-4"/>
        </w:rPr>
        <w:object w:dxaOrig="260" w:dyaOrig="260">
          <v:shape id="_x0000_i1056" type="#_x0000_t75" style="width:12.6pt;height:12.6pt" o:ole="">
            <v:imagedata r:id="rId76" o:title=""/>
          </v:shape>
          <o:OLEObject Type="Embed" ProgID="Equation.DSMT4" ShapeID="_x0000_i1056" DrawAspect="Content" ObjectID="_1649081658" r:id="rId77"/>
        </w:object>
      </w:r>
      <w:r w:rsidRPr="00B31BEB">
        <w:rPr>
          <w:noProof/>
        </w:rPr>
        <w:t xml:space="preserve">). The subgroups differ in attributes’ attendance behavior. A latent variable, denoted by </w:t>
      </w:r>
      <w:r w:rsidRPr="00B31BEB">
        <w:rPr>
          <w:noProof/>
          <w:position w:val="-14"/>
        </w:rPr>
        <w:object w:dxaOrig="300" w:dyaOrig="380">
          <v:shape id="_x0000_i1057" type="#_x0000_t75" style="width:16.2pt;height:18.6pt" o:ole="">
            <v:imagedata r:id="rId78" o:title=""/>
          </v:shape>
          <o:OLEObject Type="Embed" ProgID="Equation.DSMT4" ShapeID="_x0000_i1057" DrawAspect="Content" ObjectID="_1649081659" r:id="rId79"/>
        </w:object>
      </w:r>
      <w:r w:rsidRPr="00B31BEB">
        <w:rPr>
          <w:noProof/>
        </w:rPr>
        <w:t xml:space="preserve"> for an attribute where no extra information was provided and by </w:t>
      </w:r>
      <w:r w:rsidRPr="00B31BEB">
        <w:rPr>
          <w:noProof/>
          <w:position w:val="-14"/>
        </w:rPr>
        <w:object w:dxaOrig="340" w:dyaOrig="380">
          <v:shape id="_x0000_i1058" type="#_x0000_t75" style="width:17.4pt;height:18.6pt" o:ole="">
            <v:imagedata r:id="rId80" o:title=""/>
          </v:shape>
          <o:OLEObject Type="Embed" ProgID="Equation.DSMT4" ShapeID="_x0000_i1058" DrawAspect="Content" ObjectID="_1649081660" r:id="rId81"/>
        </w:object>
      </w:r>
      <w:r w:rsidRPr="00B31BEB">
        <w:rPr>
          <w:noProof/>
        </w:rPr>
        <w:t xml:space="preserve"> for an attribute where information was provided, is usually defined for each attribute. The variables </w:t>
      </w:r>
      <w:r w:rsidRPr="00B31BEB">
        <w:rPr>
          <w:noProof/>
          <w:position w:val="-14"/>
        </w:rPr>
        <w:object w:dxaOrig="300" w:dyaOrig="380">
          <v:shape id="_x0000_i1059" type="#_x0000_t75" style="width:16.2pt;height:18.6pt" o:ole="">
            <v:imagedata r:id="rId78" o:title=""/>
          </v:shape>
          <o:OLEObject Type="Embed" ProgID="Equation.DSMT4" ShapeID="_x0000_i1059" DrawAspect="Content" ObjectID="_1649081661" r:id="rId82"/>
        </w:object>
      </w:r>
      <w:r w:rsidRPr="00B31BEB">
        <w:rPr>
          <w:noProof/>
        </w:rPr>
        <w:t xml:space="preserve"> and </w:t>
      </w:r>
      <w:r w:rsidRPr="00B31BEB">
        <w:rPr>
          <w:noProof/>
          <w:position w:val="-14"/>
        </w:rPr>
        <w:object w:dxaOrig="340" w:dyaOrig="380">
          <v:shape id="_x0000_i1060" type="#_x0000_t75" style="width:17.4pt;height:18.6pt" o:ole="">
            <v:imagedata r:id="rId83" o:title=""/>
          </v:shape>
          <o:OLEObject Type="Embed" ProgID="Equation.DSMT4" ShapeID="_x0000_i1060" DrawAspect="Content" ObjectID="_1649081662" r:id="rId84"/>
        </w:object>
      </w:r>
      <w:r w:rsidRPr="00B31BEB">
        <w:rPr>
          <w:noProof/>
        </w:rPr>
        <w:t xml:space="preserve"> equal 1 when consumer</w:t>
      </w:r>
      <w:r w:rsidR="00EC3516" w:rsidRPr="00B31BEB">
        <w:rPr>
          <w:noProof/>
        </w:rPr>
        <w:t xml:space="preserve"> </w:t>
      </w:r>
      <w:r w:rsidRPr="00B31BEB">
        <w:rPr>
          <w:noProof/>
          <w:position w:val="-6"/>
        </w:rPr>
        <w:object w:dxaOrig="139" w:dyaOrig="260">
          <v:shape id="_x0000_i1061" type="#_x0000_t75" style="width:6.6pt;height:12.6pt" o:ole="">
            <v:imagedata r:id="rId85" o:title=""/>
          </v:shape>
          <o:OLEObject Type="Embed" ProgID="Equation.DSMT4" ShapeID="_x0000_i1061" DrawAspect="Content" ObjectID="_1649081663" r:id="rId86"/>
        </w:object>
      </w:r>
      <w:r w:rsidR="00420992" w:rsidRPr="00B31BEB">
        <w:rPr>
          <w:noProof/>
        </w:rPr>
        <w:t xml:space="preserve"> </w:t>
      </w:r>
      <w:r w:rsidRPr="00B31BEB">
        <w:rPr>
          <w:noProof/>
        </w:rPr>
        <w:t>attends to attribute</w:t>
      </w:r>
      <w:r w:rsidRPr="00B31BEB">
        <w:rPr>
          <w:noProof/>
          <w:position w:val="-10"/>
        </w:rPr>
        <w:object w:dxaOrig="200" w:dyaOrig="300">
          <v:shape id="_x0000_i1062" type="#_x0000_t75" style="width:10.8pt;height:16.2pt" o:ole="">
            <v:imagedata r:id="rId87" o:title=""/>
          </v:shape>
          <o:OLEObject Type="Embed" ProgID="Equation.DSMT4" ShapeID="_x0000_i1062" DrawAspect="Content" ObjectID="_1649081664" r:id="rId88"/>
        </w:object>
      </w:r>
      <w:r w:rsidRPr="00B31BEB">
        <w:rPr>
          <w:noProof/>
        </w:rPr>
        <w:t xml:space="preserve"> and equal 0 when the attribute is not attended to. In this study, we assume that the probability to attend to attribute </w:t>
      </w:r>
      <w:r w:rsidRPr="00B31BEB">
        <w:rPr>
          <w:noProof/>
          <w:position w:val="-10"/>
        </w:rPr>
        <w:object w:dxaOrig="200" w:dyaOrig="300">
          <v:shape id="_x0000_i1063" type="#_x0000_t75" style="width:10.8pt;height:16.2pt" o:ole="">
            <v:imagedata r:id="rId87" o:title=""/>
          </v:shape>
          <o:OLEObject Type="Embed" ProgID="Equation.DSMT4" ShapeID="_x0000_i1063" DrawAspect="Content" ObjectID="_1649081665" r:id="rId89"/>
        </w:object>
      </w:r>
      <w:r w:rsidRPr="00B31BEB">
        <w:rPr>
          <w:noProof/>
        </w:rPr>
        <w:t xml:space="preserve"> is the same for all consumers and is denoted by </w:t>
      </w:r>
      <w:r w:rsidRPr="00B31BEB">
        <w:rPr>
          <w:noProof/>
          <w:position w:val="-14"/>
        </w:rPr>
        <w:object w:dxaOrig="260" w:dyaOrig="380">
          <v:shape id="_x0000_i1064" type="#_x0000_t75" style="width:12.6pt;height:18.6pt" o:ole="">
            <v:imagedata r:id="rId90" o:title=""/>
          </v:shape>
          <o:OLEObject Type="Embed" ProgID="Equation.DSMT4" ShapeID="_x0000_i1064" DrawAspect="Content" ObjectID="_1649081666" r:id="rId91"/>
        </w:object>
      </w:r>
      <w:r w:rsidRPr="00B31BEB">
        <w:rPr>
          <w:noProof/>
        </w:rPr>
        <w:t>. We also introduce pattern</w:t>
      </w:r>
      <w:r w:rsidR="00FB430F" w:rsidRPr="00B31BEB">
        <w:rPr>
          <w:noProof/>
        </w:rPr>
        <w:t xml:space="preserve"> </w:t>
      </w:r>
      <w:r w:rsidR="00696DBD" w:rsidRPr="00B31BEB">
        <w:rPr>
          <w:position w:val="-12"/>
        </w:rPr>
        <w:object w:dxaOrig="260" w:dyaOrig="360">
          <v:shape id="_x0000_i1065" type="#_x0000_t75" style="width:12.6pt;height:18pt" o:ole="">
            <v:imagedata r:id="rId92" o:title=""/>
          </v:shape>
          <o:OLEObject Type="Embed" ProgID="Equation.DSMT4" ShapeID="_x0000_i1065" DrawAspect="Content" ObjectID="_1649081667" r:id="rId93"/>
        </w:object>
      </w:r>
      <w:r w:rsidR="00FB430F" w:rsidRPr="00B31BEB">
        <w:rPr>
          <w:noProof/>
        </w:rPr>
        <w:t xml:space="preserve"> (and </w:t>
      </w:r>
      <w:r w:rsidR="00696DBD" w:rsidRPr="00B31BEB">
        <w:rPr>
          <w:position w:val="-12"/>
        </w:rPr>
        <w:object w:dxaOrig="240" w:dyaOrig="360">
          <v:shape id="_x0000_i1066" type="#_x0000_t75" style="width:12pt;height:18pt" o:ole="">
            <v:imagedata r:id="rId94" o:title=""/>
          </v:shape>
          <o:OLEObject Type="Embed" ProgID="Equation.DSMT4" ShapeID="_x0000_i1066" DrawAspect="Content" ObjectID="_1649081668" r:id="rId95"/>
        </w:object>
      </w:r>
      <w:r w:rsidRPr="00B31BEB">
        <w:rPr>
          <w:noProof/>
        </w:rPr>
        <w:t xml:space="preserve"> in brackets) for consumer </w:t>
      </w:r>
      <w:r w:rsidRPr="00B31BEB">
        <w:rPr>
          <w:noProof/>
          <w:position w:val="-6"/>
        </w:rPr>
        <w:object w:dxaOrig="139" w:dyaOrig="260">
          <v:shape id="_x0000_i1067" type="#_x0000_t75" style="width:6.6pt;height:12.6pt" o:ole="">
            <v:imagedata r:id="rId96" o:title=""/>
          </v:shape>
          <o:OLEObject Type="Embed" ProgID="Equation.DSMT4" ShapeID="_x0000_i1067" DrawAspect="Content" ObjectID="_1649081669" r:id="rId97"/>
        </w:object>
      </w:r>
      <w:r w:rsidRPr="00B31BEB">
        <w:rPr>
          <w:noProof/>
        </w:rPr>
        <w:t>’s indicator latent variables. Where</w:t>
      </w:r>
      <w:r w:rsidR="007B0ED9" w:rsidRPr="00B31BEB">
        <w:rPr>
          <w:noProof/>
        </w:rPr>
        <w:t xml:space="preserve"> </w:t>
      </w:r>
      <w:r w:rsidR="004D06A7" w:rsidRPr="00B31BEB">
        <w:rPr>
          <w:position w:val="-12"/>
        </w:rPr>
        <w:object w:dxaOrig="260" w:dyaOrig="360">
          <v:shape id="_x0000_i1068" type="#_x0000_t75" style="width:12.6pt;height:18pt" o:ole="">
            <v:imagedata r:id="rId98" o:title=""/>
          </v:shape>
          <o:OLEObject Type="Embed" ProgID="Equation.DSMT4" ShapeID="_x0000_i1068" DrawAspect="Content" ObjectID="_1649081670" r:id="rId99"/>
        </w:object>
      </w:r>
      <w:r w:rsidR="007B0ED9" w:rsidRPr="00B31BEB">
        <w:rPr>
          <w:noProof/>
        </w:rPr>
        <w:t>(</w:t>
      </w:r>
      <w:r w:rsidR="004D06A7" w:rsidRPr="00B31BEB">
        <w:rPr>
          <w:position w:val="-12"/>
        </w:rPr>
        <w:object w:dxaOrig="240" w:dyaOrig="360">
          <v:shape id="_x0000_i1069" type="#_x0000_t75" style="width:12pt;height:18pt" o:ole="">
            <v:imagedata r:id="rId100" o:title=""/>
          </v:shape>
          <o:OLEObject Type="Embed" ProgID="Equation.DSMT4" ShapeID="_x0000_i1069" DrawAspect="Content" ObjectID="_1649081671" r:id="rId101"/>
        </w:object>
      </w:r>
      <w:r w:rsidR="007B0ED9" w:rsidRPr="00B31BEB">
        <w:rPr>
          <w:noProof/>
        </w:rPr>
        <w:t>)</w:t>
      </w:r>
      <w:r w:rsidRPr="00B31BEB">
        <w:rPr>
          <w:noProof/>
        </w:rPr>
        <w:t xml:space="preserve"> is the attendance pattern for the three (five) attributes where </w:t>
      </w:r>
      <w:r w:rsidRPr="00B31BEB">
        <w:rPr>
          <w:noProof/>
        </w:rPr>
        <w:lastRenderedPageBreak/>
        <w:t>information was (not) provided. Conditional on the ANA latent class, consumers are then assumed to choose an alternative that maximizes their utility.</w:t>
      </w:r>
    </w:p>
    <w:p w:rsidR="00933B45" w:rsidRPr="00B31BEB" w:rsidRDefault="00933B45" w:rsidP="006A4AB4">
      <w:pPr>
        <w:tabs>
          <w:tab w:val="center" w:pos="4800"/>
          <w:tab w:val="right" w:pos="9500"/>
        </w:tabs>
        <w:ind w:firstLine="720"/>
        <w:rPr>
          <w:noProof/>
        </w:rPr>
      </w:pPr>
      <w:r w:rsidRPr="00B31BEB">
        <w:rPr>
          <w:noProof/>
        </w:rPr>
        <w:t>Equation 3 presents the deterministic components of the utility functions in the two blocks of choice sets when ANA patterns are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664"/>
      </w:tblGrid>
      <w:tr w:rsidR="00B31BEB" w:rsidRPr="00B31BEB" w:rsidTr="00242E84">
        <w:tc>
          <w:tcPr>
            <w:tcW w:w="445" w:type="dxa"/>
            <w:vAlign w:val="center"/>
          </w:tcPr>
          <w:p w:rsidR="00542887" w:rsidRPr="00B31BEB" w:rsidRDefault="00542887" w:rsidP="00242E84">
            <w:pPr>
              <w:tabs>
                <w:tab w:val="center" w:pos="4800"/>
                <w:tab w:val="right" w:pos="9500"/>
              </w:tabs>
              <w:jc w:val="center"/>
              <w:rPr>
                <w:noProof/>
              </w:rPr>
            </w:pPr>
          </w:p>
        </w:tc>
        <w:tc>
          <w:tcPr>
            <w:tcW w:w="7380" w:type="dxa"/>
            <w:vAlign w:val="center"/>
          </w:tcPr>
          <w:p w:rsidR="00542887" w:rsidRPr="00B31BEB" w:rsidRDefault="00542887" w:rsidP="00242E84">
            <w:pPr>
              <w:tabs>
                <w:tab w:val="center" w:pos="4800"/>
                <w:tab w:val="right" w:pos="9500"/>
              </w:tabs>
              <w:jc w:val="center"/>
              <w:rPr>
                <w:noProof/>
              </w:rPr>
            </w:pPr>
            <w:r w:rsidRPr="00B31BEB">
              <w:rPr>
                <w:position w:val="-84"/>
              </w:rPr>
              <w:object w:dxaOrig="6220" w:dyaOrig="1800">
                <v:shape id="_x0000_i1070" type="#_x0000_t75" style="width:311.4pt;height:90pt" o:ole="">
                  <v:imagedata r:id="rId102" o:title=""/>
                </v:shape>
                <o:OLEObject Type="Embed" ProgID="Equation.DSMT4" ShapeID="_x0000_i1070" DrawAspect="Content" ObjectID="_1649081672" r:id="rId103"/>
              </w:object>
            </w:r>
          </w:p>
        </w:tc>
        <w:tc>
          <w:tcPr>
            <w:tcW w:w="664" w:type="dxa"/>
            <w:vAlign w:val="center"/>
          </w:tcPr>
          <w:p w:rsidR="00542887" w:rsidRPr="00B31BEB" w:rsidRDefault="00542887"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3</w:t>
            </w:r>
            <w:r w:rsidRPr="00B31BEB">
              <w:rPr>
                <w:noProof/>
              </w:rPr>
              <w:fldChar w:fldCharType="end"/>
            </w:r>
            <w:r w:rsidRPr="00B31BEB">
              <w:rPr>
                <w:noProof/>
              </w:rPr>
              <w:t>)</w:t>
            </w:r>
          </w:p>
        </w:tc>
      </w:tr>
    </w:tbl>
    <w:p w:rsidR="00A1289A" w:rsidRPr="00B31BEB" w:rsidRDefault="009462C9" w:rsidP="00AD4D93">
      <w:pPr>
        <w:tabs>
          <w:tab w:val="center" w:pos="4800"/>
          <w:tab w:val="right" w:pos="9500"/>
        </w:tabs>
        <w:rPr>
          <w:noProof/>
        </w:rPr>
      </w:pPr>
      <w:r w:rsidRPr="00B31BEB">
        <w:rPr>
          <w:noProof/>
        </w:rPr>
        <w:t>Attribute</w:t>
      </w:r>
      <w:r w:rsidR="00A1289A" w:rsidRPr="00B31BEB">
        <w:rPr>
          <w:noProof/>
          <w:position w:val="-10"/>
        </w:rPr>
        <w:object w:dxaOrig="200" w:dyaOrig="300">
          <v:shape id="_x0000_i1071" type="#_x0000_t75" style="width:10.8pt;height:16.2pt" o:ole="">
            <v:imagedata r:id="rId104" o:title=""/>
          </v:shape>
          <o:OLEObject Type="Embed" ProgID="Equation.DSMT4" ShapeID="_x0000_i1071" DrawAspect="Content" ObjectID="_1649081673" r:id="rId105"/>
        </w:object>
      </w:r>
      <w:r w:rsidR="00A1289A" w:rsidRPr="00B31BEB">
        <w:rPr>
          <w:noProof/>
        </w:rPr>
        <w:t xml:space="preserve"> contributes to consumer </w:t>
      </w:r>
      <w:r w:rsidR="00A1289A" w:rsidRPr="00B31BEB">
        <w:rPr>
          <w:noProof/>
          <w:position w:val="-6"/>
        </w:rPr>
        <w:object w:dxaOrig="139" w:dyaOrig="260">
          <v:shape id="_x0000_i1072" type="#_x0000_t75" style="width:6.6pt;height:12.6pt" o:ole="">
            <v:imagedata r:id="rId96" o:title=""/>
          </v:shape>
          <o:OLEObject Type="Embed" ProgID="Equation.DSMT4" ShapeID="_x0000_i1072" DrawAspect="Content" ObjectID="_1649081674" r:id="rId106"/>
        </w:object>
      </w:r>
      <w:r w:rsidR="00A1289A" w:rsidRPr="00B31BEB">
        <w:rPr>
          <w:noProof/>
        </w:rPr>
        <w:t xml:space="preserve">’s utility if </w:t>
      </w:r>
      <w:r w:rsidR="00A1289A" w:rsidRPr="00B31BEB">
        <w:rPr>
          <w:noProof/>
          <w:position w:val="-14"/>
        </w:rPr>
        <w:object w:dxaOrig="260" w:dyaOrig="380">
          <v:shape id="_x0000_i1073" type="#_x0000_t75" style="width:12.6pt;height:18.6pt" o:ole="">
            <v:imagedata r:id="rId107" o:title=""/>
          </v:shape>
          <o:OLEObject Type="Embed" ProgID="Equation.DSMT4" ShapeID="_x0000_i1073" DrawAspect="Content" ObjectID="_1649081675" r:id="rId108"/>
        </w:object>
      </w:r>
      <w:r w:rsidR="00A1289A" w:rsidRPr="00B31BEB">
        <w:rPr>
          <w:noProof/>
        </w:rPr>
        <w:t xml:space="preserve"> or </w:t>
      </w:r>
      <w:r w:rsidR="00A1289A" w:rsidRPr="00B31BEB">
        <w:rPr>
          <w:noProof/>
          <w:position w:val="-14"/>
        </w:rPr>
        <w:object w:dxaOrig="279" w:dyaOrig="380">
          <v:shape id="_x0000_i1074" type="#_x0000_t75" style="width:13.8pt;height:18.6pt" o:ole="">
            <v:imagedata r:id="rId109" o:title=""/>
          </v:shape>
          <o:OLEObject Type="Embed" ProgID="Equation.DSMT4" ShapeID="_x0000_i1074" DrawAspect="Content" ObjectID="_1649081676" r:id="rId110"/>
        </w:object>
      </w:r>
      <w:r w:rsidR="00A1289A" w:rsidRPr="00B31BEB">
        <w:rPr>
          <w:noProof/>
        </w:rPr>
        <w:t xml:space="preserve"> equals one. Otherwise, the attribute’s contribution is constrained to zero. As a result,</w:t>
      </w:r>
      <w:r w:rsidR="00B02DB7" w:rsidRPr="00B31BEB">
        <w:rPr>
          <w:noProof/>
        </w:rPr>
        <w:t xml:space="preserve"> </w:t>
      </w:r>
      <w:r w:rsidR="00D20D08" w:rsidRPr="00B31BEB">
        <w:rPr>
          <w:position w:val="-12"/>
        </w:rPr>
        <w:object w:dxaOrig="980" w:dyaOrig="360">
          <v:shape id="_x0000_i1075" type="#_x0000_t75" style="width:48.6pt;height:18pt" o:ole="">
            <v:imagedata r:id="rId111" o:title=""/>
          </v:shape>
          <o:OLEObject Type="Embed" ProgID="Equation.DSMT4" ShapeID="_x0000_i1075" DrawAspect="Content" ObjectID="_1649081677" r:id="rId112"/>
        </w:object>
      </w:r>
      <w:r w:rsidR="00B02DB7" w:rsidRPr="00B31BEB">
        <w:rPr>
          <w:noProof/>
        </w:rPr>
        <w:t xml:space="preserve"> </w:t>
      </w:r>
      <w:r w:rsidR="00A1289A" w:rsidRPr="00B31BEB">
        <w:rPr>
          <w:noProof/>
        </w:rPr>
        <w:t xml:space="preserve">only contains terms related to attributes that are attended to in the attendance pattern of consumer </w:t>
      </w:r>
      <w:r w:rsidR="00A1289A" w:rsidRPr="00B31BEB">
        <w:rPr>
          <w:noProof/>
          <w:position w:val="-6"/>
        </w:rPr>
        <w:object w:dxaOrig="139" w:dyaOrig="260">
          <v:shape id="_x0000_i1076" type="#_x0000_t75" style="width:6.6pt;height:12.6pt" o:ole="">
            <v:imagedata r:id="rId96" o:title=""/>
          </v:shape>
          <o:OLEObject Type="Embed" ProgID="Equation.DSMT4" ShapeID="_x0000_i1076" DrawAspect="Content" ObjectID="_1649081678" r:id="rId113"/>
        </w:object>
      </w:r>
      <w:r w:rsidR="00A1289A" w:rsidRPr="00B31BEB">
        <w:rPr>
          <w:noProof/>
        </w:rPr>
        <w:t>. Consequently, the estimated preference parameters are conditional on the consumers attending to the attributes. We also extend the choice probability in Equation 1 to be dependent on a consumer’s attribute attendance pattern. Detailed definitions of the updated choice probabilities, the probabilities to belong to each of the latent classes and the unconditional probabilities of observing a sequence of webshop choi</w:t>
      </w:r>
      <w:r w:rsidR="00310B23" w:rsidRPr="00B31BEB">
        <w:rPr>
          <w:noProof/>
        </w:rPr>
        <w:t xml:space="preserve">ces are provided as equations A1 – A4 </w:t>
      </w:r>
      <w:r w:rsidR="00D23066" w:rsidRPr="00B31BEB">
        <w:rPr>
          <w:noProof/>
        </w:rPr>
        <w:t xml:space="preserve">in the </w:t>
      </w:r>
      <w:r w:rsidR="00956B4A" w:rsidRPr="00B31BEB">
        <w:rPr>
          <w:noProof/>
        </w:rPr>
        <w:t>supplemental</w:t>
      </w:r>
      <w:r w:rsidR="00D23066" w:rsidRPr="00B31BEB">
        <w:rPr>
          <w:noProof/>
        </w:rPr>
        <w:t xml:space="preserve"> material</w:t>
      </w:r>
      <w:r w:rsidR="00310B23" w:rsidRPr="00B31BEB">
        <w:rPr>
          <w:noProof/>
        </w:rPr>
        <w:t xml:space="preserve"> available online</w:t>
      </w:r>
      <w:r w:rsidR="00D23066" w:rsidRPr="00B31BEB">
        <w:rPr>
          <w:noProof/>
        </w:rPr>
        <w:t>.</w:t>
      </w:r>
    </w:p>
    <w:p w:rsidR="00874DF8" w:rsidRPr="00B31BEB" w:rsidRDefault="00874DF8" w:rsidP="00874DF8">
      <w:pPr>
        <w:pStyle w:val="Heading3"/>
      </w:pPr>
      <w:r w:rsidRPr="00B31BEB">
        <w:t xml:space="preserve">Model </w:t>
      </w:r>
      <w:r w:rsidR="00033019" w:rsidRPr="00B31BEB">
        <w:t>3: Multinomial logit model with changing ANA behavior for attributes where information was provided</w:t>
      </w:r>
    </w:p>
    <w:p w:rsidR="006A433F" w:rsidRPr="00B31BEB" w:rsidRDefault="006A433F" w:rsidP="00F95E0C">
      <w:pPr>
        <w:tabs>
          <w:tab w:val="center" w:pos="4800"/>
          <w:tab w:val="right" w:pos="9500"/>
        </w:tabs>
        <w:ind w:firstLine="720"/>
        <w:rPr>
          <w:noProof/>
        </w:rPr>
      </w:pPr>
      <w:r w:rsidRPr="00B31BEB">
        <w:rPr>
          <w:noProof/>
        </w:rPr>
        <w:t>This model targets the switching behavior in attribute attendance and is based on a first-order Markov model. The model comprises a static inferred ANA component for attributes where no information was provided. It also includes a Hidden Markov model (HMM) component</w:t>
      </w:r>
      <w:r w:rsidR="00BA253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{"citationItems":[{"id":"ITEM-1","itemData":{"ISSN":"9781848210103","abstract":"... there be at least two response variables (J ≥ 2). In mixture growth models one will ... The latent class or mixture approach allows identifying subgroups (categories of the time-constant latent  ... The extension provided by the mixture latent growth model is that the dynamic dependent ...","author":[{"dropping-particle":"","family":"Vermunt","given":"Jeroen K","non-dropping-particle":"","parse-names":false,"suffix":""},{"dropping-particle":"","family":"Magidson","given":"Jay","non-dropping-particle":"","parse-names":false,"suffix":""}],"container-title":"Methodology","id":"ITEM-1","issued":{"date-parts":[["2008"]]},"page":"373-385","title":"Latent Class Models in Longitudinal Research Latent Class Models in Longitudinal Research The mixture latent Markov model","type":"article-journal"},"uris":["http://www.mendeley.com/documents/?uuid=853e4614-00aa-4db9-a70f-d004f58dfea8"]},{"id":"ITEM-2","itemData":{"ISBN":"9781420079425","abstract":"Since their popularization in the 1990s, Markov chain Monte Carlo (MCMC) methods have revolutionized statistical computing and have had an especially profound impact on the practice of Bayesian statistics. Furthermore, MCMC methods have enabled the development and use of intricate models in an astonishing array of disciplines as diverse as fisheries science and economics. The wide-ranging practical importance of MCMC has sparked an expansive and deep investigation into fundamental Markov chain theory. The Handbook of Markov Chain Monte Carlo provides a reference for the broad audience of developers and users of MCMC methodology interested in keeping up with cutting-edge theory and applications. The first half of the book covers MCMC foundations, methodology, and algorithms. The second half considers the use of MCMC in a variety of practical applications including in educational research, astrophysics, brain imaging, ecology, and sociology. The in-depth introductory section of the book allows graduate students and practicing scientists new to MCMC to become thoroughly acquainted with the basic theory, algorithms, and applications. The book supplies detailed examples and case studies of realistic scientific problems presenting the diversity of methods used by the wide-ranging MCMC community. Those familiar with MCMC methods will find this book a useful refresher of current theory and recent developments.","author":[{"dropping-particle":"","family":"Brooks","given":"Steve","non-dropping-particle":"","parse-names":false,"suffix":""},{"dropping-particle":"","family":"Gelman","given":"Andrew","non-dropping-particle":"","parse-names":false,"suffix":""},{"dropping-particle":"","family":"Jones","given":"Galin L.","non-dropping-particle":"","parse-names":false,"suffix":""},{"dropping-particle":"","family":"Meng","given":"Xiao Li","non-dropping-particle":"","parse-names":false,"suffix":""}],"container-title":"Handbook of Markov Chain Monte Carlo","id":"ITEM-2","issued":{"date-parts":[["2011"]]},"number-of-pages":"1-592","publisher":"CRC Press","title":"Handbook of Markov Chain Monte Carlo","type":"book"},"uris":["http://www.mendeley.com/documents/?uuid=cfc67677-af79-43ae-aac9-1f36980743db"]}],"mendeley":{"formattedCitation":"[3; 82]","plainTextFormattedCitation":"[3; 82]","previouslyFormattedCitation":"[3; 82]"},"properties":{"noteIndex":0},"schema":"https://github.com/citation-style-language/schema/raw/master/csl-citation.json"}</w:instrText>
      </w:r>
      <w:r w:rsidR="000A3492" w:rsidRPr="00B31BEB">
        <w:rPr>
          <w:rStyle w:val="FootnoteReference"/>
          <w:noProof/>
        </w:rPr>
        <w:fldChar w:fldCharType="separate"/>
      </w:r>
      <w:r w:rsidR="00F8005E" w:rsidRPr="00B31BEB">
        <w:rPr>
          <w:noProof/>
        </w:rPr>
        <w:t>[3; 82]</w:t>
      </w:r>
      <w:r w:rsidR="000A3492" w:rsidRPr="00B31BEB">
        <w:rPr>
          <w:rStyle w:val="FootnoteReference"/>
          <w:noProof/>
        </w:rPr>
        <w:fldChar w:fldCharType="end"/>
      </w:r>
      <w:r w:rsidRPr="00B31BEB">
        <w:rPr>
          <w:noProof/>
        </w:rPr>
        <w:t xml:space="preserve"> that describes the ANA changes for the three attributes where information was provided mid-way through the experiment. The difference </w:t>
      </w:r>
      <w:r w:rsidRPr="00B31BEB">
        <w:rPr>
          <w:noProof/>
        </w:rPr>
        <w:lastRenderedPageBreak/>
        <w:t xml:space="preserve">between this model and </w:t>
      </w:r>
      <w:r w:rsidR="00BB1A5B" w:rsidRPr="00B31BEB">
        <w:rPr>
          <w:noProof/>
        </w:rPr>
        <w:t>models 1 and 2</w:t>
      </w:r>
      <w:r w:rsidRPr="00B31BEB">
        <w:rPr>
          <w:noProof/>
        </w:rPr>
        <w:t xml:space="preserve"> is the utilization of the ANA behavioral changes to reveal the impact of extra information.</w:t>
      </w:r>
    </w:p>
    <w:p w:rsidR="001E3034" w:rsidRPr="00B31BEB" w:rsidRDefault="001E3034" w:rsidP="006D22F4">
      <w:pPr>
        <w:tabs>
          <w:tab w:val="center" w:pos="4800"/>
          <w:tab w:val="right" w:pos="9500"/>
        </w:tabs>
        <w:ind w:firstLine="720"/>
        <w:rPr>
          <w:noProof/>
        </w:rPr>
      </w:pPr>
      <w:r w:rsidRPr="00B31BEB">
        <w:rPr>
          <w:noProof/>
        </w:rPr>
        <w:t xml:space="preserve">To operationalize the ANA switching behavior, we assume that consumers can switch to any of the latent ANA states in the second block conditional on the ANA state in the first block of choice sets. The states are mutually exclusive and jointly exhaustive per block. The ANA state in the second block is determined by the attributes where information was provided since the rest are assumed to have non-changing ANA. To distinguish the role of the latent variable </w:t>
      </w:r>
      <w:r w:rsidRPr="00B31BEB">
        <w:rPr>
          <w:noProof/>
          <w:position w:val="-14"/>
        </w:rPr>
        <w:object w:dxaOrig="340" w:dyaOrig="380">
          <v:shape id="_x0000_i1077" type="#_x0000_t75" style="width:17.4pt;height:18.6pt" o:ole="">
            <v:imagedata r:id="rId114" o:title=""/>
          </v:shape>
          <o:OLEObject Type="Embed" ProgID="Equation.DSMT4" ShapeID="_x0000_i1077" DrawAspect="Content" ObjectID="_1649081679" r:id="rId115"/>
        </w:object>
      </w:r>
      <w:r w:rsidRPr="00B31BEB">
        <w:rPr>
          <w:noProof/>
        </w:rPr>
        <w:t xml:space="preserve"> in the utilities and the attributes’ attendance patterns in the two blocks, we introduce an index </w:t>
      </w:r>
      <w:r w:rsidRPr="00B31BEB">
        <w:rPr>
          <w:noProof/>
          <w:position w:val="-6"/>
        </w:rPr>
        <w:object w:dxaOrig="139" w:dyaOrig="240">
          <v:shape id="_x0000_i1078" type="#_x0000_t75" style="width:6.6pt;height:12pt" o:ole="">
            <v:imagedata r:id="rId116" o:title=""/>
          </v:shape>
          <o:OLEObject Type="Embed" ProgID="Equation.DSMT4" ShapeID="_x0000_i1078" DrawAspect="Content" ObjectID="_1649081680" r:id="rId117"/>
        </w:object>
      </w:r>
      <w:r w:rsidRPr="00B31BEB">
        <w:rPr>
          <w:noProof/>
        </w:rPr>
        <w:t xml:space="preserve"> (</w:t>
      </w:r>
      <w:r w:rsidRPr="00B31BEB">
        <w:rPr>
          <w:noProof/>
          <w:position w:val="-10"/>
        </w:rPr>
        <w:object w:dxaOrig="700" w:dyaOrig="320">
          <v:shape id="_x0000_i1079" type="#_x0000_t75" style="width:35.4pt;height:16.8pt" o:ole="">
            <v:imagedata r:id="rId118" o:title=""/>
          </v:shape>
          <o:OLEObject Type="Embed" ProgID="Equation.DSMT4" ShapeID="_x0000_i1079" DrawAspect="Content" ObjectID="_1649081681" r:id="rId119"/>
        </w:object>
      </w:r>
      <w:r w:rsidRPr="00B31BEB">
        <w:rPr>
          <w:noProof/>
        </w:rPr>
        <w:t xml:space="preserve">) to </w:t>
      </w:r>
      <w:r w:rsidRPr="00B31BEB">
        <w:rPr>
          <w:noProof/>
          <w:position w:val="-14"/>
        </w:rPr>
        <w:object w:dxaOrig="340" w:dyaOrig="380">
          <v:shape id="_x0000_i1080" type="#_x0000_t75" style="width:17.4pt;height:18.6pt" o:ole="">
            <v:imagedata r:id="rId114" o:title=""/>
          </v:shape>
          <o:OLEObject Type="Embed" ProgID="Equation.DSMT4" ShapeID="_x0000_i1080" DrawAspect="Content" ObjectID="_1649081682" r:id="rId120"/>
        </w:object>
      </w:r>
      <w:r w:rsidRPr="00B31BEB">
        <w:rPr>
          <w:noProof/>
        </w:rPr>
        <w:t xml:space="preserve">. Therefore, </w:t>
      </w:r>
      <w:r w:rsidRPr="00B31BEB">
        <w:rPr>
          <w:noProof/>
          <w:position w:val="-14"/>
        </w:rPr>
        <w:object w:dxaOrig="380" w:dyaOrig="380">
          <v:shape id="_x0000_i1081" type="#_x0000_t75" style="width:18.6pt;height:18.6pt" o:ole="">
            <v:imagedata r:id="rId121" o:title=""/>
          </v:shape>
          <o:OLEObject Type="Embed" ProgID="Equation.DSMT4" ShapeID="_x0000_i1081" DrawAspect="Content" ObjectID="_1649081683" r:id="rId122"/>
        </w:object>
      </w:r>
      <w:r w:rsidRPr="00B31BEB">
        <w:rPr>
          <w:noProof/>
        </w:rPr>
        <w:t xml:space="preserve"> is a latent variable indicating whether consumer </w:t>
      </w:r>
      <w:r w:rsidRPr="00B31BEB">
        <w:rPr>
          <w:noProof/>
          <w:position w:val="-6"/>
        </w:rPr>
        <w:object w:dxaOrig="139" w:dyaOrig="260">
          <v:shape id="_x0000_i1082" type="#_x0000_t75" style="width:6.6pt;height:12.6pt" o:ole="">
            <v:imagedata r:id="rId85" o:title=""/>
          </v:shape>
          <o:OLEObject Type="Embed" ProgID="Equation.DSMT4" ShapeID="_x0000_i1082" DrawAspect="Content" ObjectID="_1649081684" r:id="rId123"/>
        </w:object>
      </w:r>
      <w:r w:rsidRPr="00B31BEB">
        <w:rPr>
          <w:noProof/>
        </w:rPr>
        <w:t xml:space="preserve"> attends to attribute </w:t>
      </w:r>
      <w:r w:rsidRPr="00B31BEB">
        <w:rPr>
          <w:noProof/>
          <w:position w:val="-10"/>
        </w:rPr>
        <w:object w:dxaOrig="200" w:dyaOrig="300">
          <v:shape id="_x0000_i1083" type="#_x0000_t75" style="width:10.8pt;height:16.2pt" o:ole="">
            <v:imagedata r:id="rId124" o:title=""/>
          </v:shape>
          <o:OLEObject Type="Embed" ProgID="Equation.DSMT4" ShapeID="_x0000_i1083" DrawAspect="Content" ObjectID="_1649081685" r:id="rId125"/>
        </w:object>
      </w:r>
      <w:r w:rsidRPr="00B31BEB">
        <w:rPr>
          <w:noProof/>
        </w:rPr>
        <w:t xml:space="preserve"> in block </w:t>
      </w:r>
      <w:r w:rsidRPr="00B31BEB">
        <w:rPr>
          <w:noProof/>
          <w:position w:val="-6"/>
        </w:rPr>
        <w:object w:dxaOrig="139" w:dyaOrig="240">
          <v:shape id="_x0000_i1084" type="#_x0000_t75" style="width:6.6pt;height:12pt" o:ole="">
            <v:imagedata r:id="rId126" o:title=""/>
          </v:shape>
          <o:OLEObject Type="Embed" ProgID="Equation.DSMT4" ShapeID="_x0000_i1084" DrawAspect="Content" ObjectID="_1649081686" r:id="rId127"/>
        </w:object>
      </w:r>
      <w:r w:rsidRPr="00B31BEB">
        <w:rPr>
          <w:noProof/>
        </w:rPr>
        <w:t xml:space="preserve"> or not. Along this line,</w:t>
      </w:r>
      <w:r w:rsidR="00EF7484" w:rsidRPr="00B31BEB">
        <w:rPr>
          <w:noProof/>
        </w:rPr>
        <w:t xml:space="preserve"> </w:t>
      </w:r>
      <w:r w:rsidR="00324038" w:rsidRPr="00B31BEB">
        <w:rPr>
          <w:position w:val="-12"/>
        </w:rPr>
        <w:object w:dxaOrig="320" w:dyaOrig="360">
          <v:shape id="_x0000_i1085" type="#_x0000_t75" style="width:16.8pt;height:18pt" o:ole="">
            <v:imagedata r:id="rId128" o:title=""/>
          </v:shape>
          <o:OLEObject Type="Embed" ProgID="Equation.DSMT4" ShapeID="_x0000_i1085" DrawAspect="Content" ObjectID="_1649081687" r:id="rId129"/>
        </w:object>
      </w:r>
      <w:r w:rsidR="00EF7484" w:rsidRPr="00B31BEB">
        <w:rPr>
          <w:noProof/>
        </w:rPr>
        <w:t xml:space="preserve"> </w:t>
      </w:r>
      <w:r w:rsidRPr="00B31BEB">
        <w:rPr>
          <w:noProof/>
        </w:rPr>
        <w:t xml:space="preserve">is consumer </w:t>
      </w:r>
      <w:r w:rsidRPr="00B31BEB">
        <w:rPr>
          <w:noProof/>
          <w:position w:val="-6"/>
        </w:rPr>
        <w:object w:dxaOrig="139" w:dyaOrig="260">
          <v:shape id="_x0000_i1086" type="#_x0000_t75" style="width:6.6pt;height:12.6pt" o:ole="">
            <v:imagedata r:id="rId96" o:title=""/>
          </v:shape>
          <o:OLEObject Type="Embed" ProgID="Equation.DSMT4" ShapeID="_x0000_i1086" DrawAspect="Content" ObjectID="_1649081688" r:id="rId130"/>
        </w:object>
      </w:r>
      <w:r w:rsidRPr="00B31BEB">
        <w:rPr>
          <w:noProof/>
        </w:rPr>
        <w:t xml:space="preserve">’s attendance pattern </w:t>
      </w:r>
      <w:r w:rsidR="00FE3105" w:rsidRPr="00B31BEB">
        <w:rPr>
          <w:noProof/>
        </w:rPr>
        <w:t>before information was provided</w:t>
      </w:r>
      <w:r w:rsidRPr="00B31BEB">
        <w:rPr>
          <w:noProof/>
        </w:rPr>
        <w:t>. The HMM structure comprises of two sets of probabilities - the initial attendance probabilities in the first block and the transition attendance probabilities in the second block of choice sets.</w:t>
      </w:r>
    </w:p>
    <w:p w:rsidR="001E3034" w:rsidRPr="00B31BEB" w:rsidRDefault="001E3034" w:rsidP="00F95E0C">
      <w:pPr>
        <w:tabs>
          <w:tab w:val="center" w:pos="4800"/>
          <w:tab w:val="right" w:pos="9500"/>
        </w:tabs>
        <w:ind w:firstLine="720"/>
        <w:rPr>
          <w:noProof/>
        </w:rPr>
      </w:pPr>
      <w:r w:rsidRPr="00B31BEB">
        <w:rPr>
          <w:noProof/>
        </w:rPr>
        <w:t xml:space="preserve">The initial attendance probability describes consumers’ ANA states in the first block. A consumer’s initial probability to belong to an ANA class is determined by the initial attendance probabilities and the consumer’s initial attribute attendance pattern. </w:t>
      </w:r>
      <w:r w:rsidR="007D0E01" w:rsidRPr="00B31BEB">
        <w:rPr>
          <w:noProof/>
        </w:rPr>
        <w:t>A</w:t>
      </w:r>
      <w:r w:rsidRPr="00B31BEB">
        <w:rPr>
          <w:noProof/>
        </w:rPr>
        <w:t xml:space="preserve">ttribute </w:t>
      </w:r>
      <w:r w:rsidRPr="00B31BEB">
        <w:rPr>
          <w:noProof/>
          <w:position w:val="-10"/>
        </w:rPr>
        <w:object w:dxaOrig="200" w:dyaOrig="300">
          <v:shape id="_x0000_i1087" type="#_x0000_t75" style="width:10.8pt;height:16.2pt" o:ole="">
            <v:imagedata r:id="rId87" o:title=""/>
          </v:shape>
          <o:OLEObject Type="Embed" ProgID="Equation.DSMT4" ShapeID="_x0000_i1087" DrawAspect="Content" ObjectID="_1649081689" r:id="rId131"/>
        </w:object>
      </w:r>
      <w:r w:rsidRPr="00B31BEB">
        <w:rPr>
          <w:noProof/>
        </w:rPr>
        <w:t xml:space="preserve">’s initial attendance probability is assumed to be the same for all consumers and is denoted by </w:t>
      </w:r>
      <w:r w:rsidRPr="00B31BEB">
        <w:rPr>
          <w:noProof/>
          <w:position w:val="-14"/>
        </w:rPr>
        <w:object w:dxaOrig="260" w:dyaOrig="380">
          <v:shape id="_x0000_i1088" type="#_x0000_t75" style="width:12.6pt;height:18.6pt" o:ole="">
            <v:imagedata r:id="rId90" o:title=""/>
          </v:shape>
          <o:OLEObject Type="Embed" ProgID="Equation.DSMT4" ShapeID="_x0000_i1088" DrawAspect="Content" ObjectID="_1649081690" r:id="rId132"/>
        </w:object>
      </w:r>
      <w:r w:rsidRPr="00B31BEB">
        <w:rPr>
          <w:noProof/>
        </w:rPr>
        <w:t xml:space="preserve">. Taking into account the initial attendance patterns, the updated deterministic utility in the first block is shown in Equation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664"/>
      </w:tblGrid>
      <w:tr w:rsidR="00B31BEB" w:rsidRPr="00B31BEB" w:rsidTr="00242E84">
        <w:tc>
          <w:tcPr>
            <w:tcW w:w="445" w:type="dxa"/>
            <w:vAlign w:val="center"/>
          </w:tcPr>
          <w:p w:rsidR="00321ABF" w:rsidRPr="00B31BEB" w:rsidRDefault="00321ABF" w:rsidP="00242E84">
            <w:pPr>
              <w:tabs>
                <w:tab w:val="center" w:pos="4800"/>
                <w:tab w:val="right" w:pos="9500"/>
              </w:tabs>
              <w:jc w:val="center"/>
              <w:rPr>
                <w:noProof/>
              </w:rPr>
            </w:pPr>
          </w:p>
        </w:tc>
        <w:tc>
          <w:tcPr>
            <w:tcW w:w="7380" w:type="dxa"/>
            <w:vAlign w:val="center"/>
          </w:tcPr>
          <w:p w:rsidR="00321ABF" w:rsidRPr="00B31BEB" w:rsidRDefault="00321ABF" w:rsidP="00242E84">
            <w:pPr>
              <w:tabs>
                <w:tab w:val="center" w:pos="4800"/>
                <w:tab w:val="right" w:pos="9500"/>
              </w:tabs>
              <w:jc w:val="center"/>
              <w:rPr>
                <w:noProof/>
              </w:rPr>
            </w:pPr>
            <w:r w:rsidRPr="00B31BEB">
              <w:rPr>
                <w:position w:val="-30"/>
              </w:rPr>
              <w:object w:dxaOrig="5679" w:dyaOrig="700">
                <v:shape id="_x0000_i1089" type="#_x0000_t75" style="width:285.6pt;height:35.4pt" o:ole="">
                  <v:imagedata r:id="rId133" o:title=""/>
                </v:shape>
                <o:OLEObject Type="Embed" ProgID="Equation.DSMT4" ShapeID="_x0000_i1089" DrawAspect="Content" ObjectID="_1649081691" r:id="rId134"/>
              </w:object>
            </w:r>
          </w:p>
        </w:tc>
        <w:tc>
          <w:tcPr>
            <w:tcW w:w="664" w:type="dxa"/>
            <w:vAlign w:val="center"/>
          </w:tcPr>
          <w:p w:rsidR="00321ABF" w:rsidRPr="00B31BEB" w:rsidRDefault="00321ABF"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4</w:t>
            </w:r>
            <w:r w:rsidRPr="00B31BEB">
              <w:rPr>
                <w:noProof/>
              </w:rPr>
              <w:fldChar w:fldCharType="end"/>
            </w:r>
            <w:r w:rsidRPr="00B31BEB">
              <w:rPr>
                <w:noProof/>
              </w:rPr>
              <w:t>)</w:t>
            </w:r>
          </w:p>
        </w:tc>
      </w:tr>
    </w:tbl>
    <w:p w:rsidR="000341E4" w:rsidRPr="00B31BEB" w:rsidRDefault="000341E4" w:rsidP="000B3394">
      <w:pPr>
        <w:tabs>
          <w:tab w:val="center" w:pos="4800"/>
          <w:tab w:val="right" w:pos="9500"/>
        </w:tabs>
        <w:ind w:firstLine="720"/>
        <w:rPr>
          <w:noProof/>
        </w:rPr>
      </w:pPr>
      <w:r w:rsidRPr="00B31BEB">
        <w:rPr>
          <w:noProof/>
        </w:rPr>
        <w:t xml:space="preserve">In the second block of choice sets, we anticipate changes in the attendance probabilities for the three attributes where information was provided. These changes are driven by transition attendance probabilities which are probabilities of attending to </w:t>
      </w:r>
      <w:r w:rsidRPr="00B31BEB">
        <w:rPr>
          <w:noProof/>
        </w:rPr>
        <w:lastRenderedPageBreak/>
        <w:t>attributes in the second block conditional on the attendance pattern in the first block. For the transition attendance probabilities, a pair of probabilities are possible per attribute depending on whether the attribute was attended to or not attended to in the first block. First, an attribute</w:t>
      </w:r>
      <w:r w:rsidRPr="00B31BEB">
        <w:rPr>
          <w:noProof/>
          <w:position w:val="-10"/>
        </w:rPr>
        <w:object w:dxaOrig="200" w:dyaOrig="300">
          <v:shape id="_x0000_i1090" type="#_x0000_t75" style="width:10.8pt;height:16.2pt" o:ole="">
            <v:imagedata r:id="rId135" o:title=""/>
          </v:shape>
          <o:OLEObject Type="Embed" ProgID="Equation.DSMT4" ShapeID="_x0000_i1090" DrawAspect="Content" ObjectID="_1649081692" r:id="rId136"/>
        </w:object>
      </w:r>
      <w:r w:rsidRPr="00B31BEB">
        <w:rPr>
          <w:noProof/>
        </w:rPr>
        <w:t xml:space="preserve"> can be attended to in the second block having not been attended to in the first block. We assume that this probability is the same for all consumers and denote it by</w:t>
      </w:r>
      <w:r w:rsidRPr="00B31BEB">
        <w:rPr>
          <w:noProof/>
          <w:position w:val="-14"/>
        </w:rPr>
        <w:object w:dxaOrig="360" w:dyaOrig="380">
          <v:shape id="_x0000_i1091" type="#_x0000_t75" style="width:18pt;height:18.6pt" o:ole="">
            <v:imagedata r:id="rId137" o:title=""/>
          </v:shape>
          <o:OLEObject Type="Embed" ProgID="Equation.DSMT4" ShapeID="_x0000_i1091" DrawAspect="Content" ObjectID="_1649081693" r:id="rId138"/>
        </w:object>
      </w:r>
      <w:r w:rsidRPr="00B31BEB">
        <w:rPr>
          <w:noProof/>
        </w:rPr>
        <w:t>. Second, attribute</w:t>
      </w:r>
      <w:r w:rsidRPr="00B31BEB">
        <w:rPr>
          <w:noProof/>
          <w:position w:val="-10"/>
        </w:rPr>
        <w:object w:dxaOrig="200" w:dyaOrig="300">
          <v:shape id="_x0000_i1092" type="#_x0000_t75" style="width:10.8pt;height:16.2pt" o:ole="">
            <v:imagedata r:id="rId139" o:title=""/>
          </v:shape>
          <o:OLEObject Type="Embed" ProgID="Equation.DSMT4" ShapeID="_x0000_i1092" DrawAspect="Content" ObjectID="_1649081694" r:id="rId140"/>
        </w:object>
      </w:r>
      <w:r w:rsidRPr="00B31BEB">
        <w:rPr>
          <w:noProof/>
        </w:rPr>
        <w:t>can be attended to in the second block conditional on attendance in the first block. Similarly, we assume that this attendance probability is the same for all consumers and denote it by</w:t>
      </w:r>
      <w:r w:rsidRPr="00B31BEB">
        <w:rPr>
          <w:noProof/>
          <w:position w:val="-14"/>
        </w:rPr>
        <w:object w:dxaOrig="340" w:dyaOrig="380">
          <v:shape id="_x0000_i1093" type="#_x0000_t75" style="width:17.4pt;height:18.6pt" o:ole="">
            <v:imagedata r:id="rId141" o:title=""/>
          </v:shape>
          <o:OLEObject Type="Embed" ProgID="Equation.DSMT4" ShapeID="_x0000_i1093" DrawAspect="Content" ObjectID="_1649081695" r:id="rId142"/>
        </w:object>
      </w:r>
      <w:r w:rsidRPr="00B31BEB">
        <w:rPr>
          <w:noProof/>
        </w:rPr>
        <w:t>. Overall, the attendance probability for attribute</w:t>
      </w:r>
      <w:r w:rsidRPr="00B31BEB">
        <w:rPr>
          <w:noProof/>
          <w:position w:val="-10"/>
        </w:rPr>
        <w:object w:dxaOrig="200" w:dyaOrig="300">
          <v:shape id="_x0000_i1094" type="#_x0000_t75" style="width:10.8pt;height:16.2pt" o:ole="">
            <v:imagedata r:id="rId139" o:title=""/>
          </v:shape>
          <o:OLEObject Type="Embed" ProgID="Equation.DSMT4" ShapeID="_x0000_i1094" DrawAspect="Content" ObjectID="_1649081696" r:id="rId143"/>
        </w:object>
      </w:r>
      <w:r w:rsidRPr="00B31BEB">
        <w:rPr>
          <w:noProof/>
        </w:rPr>
        <w:t>in the second block is the sum of the pair of transition probabilities weighted by the initial attendance probability. We denote this marginal probability by</w:t>
      </w:r>
      <w:r w:rsidRPr="00B31BEB">
        <w:rPr>
          <w:noProof/>
          <w:position w:val="-14"/>
        </w:rPr>
        <w:object w:dxaOrig="279" w:dyaOrig="380">
          <v:shape id="_x0000_i1095" type="#_x0000_t75" style="width:13.8pt;height:18.6pt" o:ole="">
            <v:imagedata r:id="rId144" o:title=""/>
          </v:shape>
          <o:OLEObject Type="Embed" ProgID="Equation.DSMT4" ShapeID="_x0000_i1095" DrawAspect="Content" ObjectID="_1649081697" r:id="rId145"/>
        </w:object>
      </w:r>
      <w:r w:rsidRPr="00B31BEB">
        <w:rPr>
          <w:noProof/>
        </w:rPr>
        <w:t xml:space="preserve">and show in Equation 5 how it is derived.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7416"/>
        <w:gridCol w:w="653"/>
      </w:tblGrid>
      <w:tr w:rsidR="00B31BEB" w:rsidRPr="00B31BEB" w:rsidTr="00242E84">
        <w:tc>
          <w:tcPr>
            <w:tcW w:w="445" w:type="dxa"/>
            <w:vAlign w:val="center"/>
          </w:tcPr>
          <w:p w:rsidR="00CC654E" w:rsidRPr="00B31BEB" w:rsidRDefault="00CC654E" w:rsidP="00242E84">
            <w:pPr>
              <w:tabs>
                <w:tab w:val="center" w:pos="4800"/>
                <w:tab w:val="right" w:pos="9500"/>
              </w:tabs>
              <w:jc w:val="center"/>
              <w:rPr>
                <w:noProof/>
              </w:rPr>
            </w:pPr>
          </w:p>
        </w:tc>
        <w:tc>
          <w:tcPr>
            <w:tcW w:w="7380" w:type="dxa"/>
            <w:vAlign w:val="center"/>
          </w:tcPr>
          <w:p w:rsidR="00CC654E" w:rsidRPr="00B31BEB" w:rsidRDefault="00CC654E" w:rsidP="00242E84">
            <w:pPr>
              <w:tabs>
                <w:tab w:val="center" w:pos="4800"/>
                <w:tab w:val="right" w:pos="9500"/>
              </w:tabs>
              <w:jc w:val="center"/>
              <w:rPr>
                <w:noProof/>
              </w:rPr>
            </w:pPr>
            <w:r w:rsidRPr="00B31BEB">
              <w:rPr>
                <w:position w:val="-32"/>
              </w:rPr>
              <w:object w:dxaOrig="7200" w:dyaOrig="760">
                <v:shape id="_x0000_i1096" type="#_x0000_t75" style="width:5in;height:37.8pt" o:ole="">
                  <v:imagedata r:id="rId146" o:title=""/>
                </v:shape>
                <o:OLEObject Type="Embed" ProgID="Equation.DSMT4" ShapeID="_x0000_i1096" DrawAspect="Content" ObjectID="_1649081698" r:id="rId147"/>
              </w:object>
            </w:r>
          </w:p>
        </w:tc>
        <w:tc>
          <w:tcPr>
            <w:tcW w:w="664" w:type="dxa"/>
            <w:vAlign w:val="center"/>
          </w:tcPr>
          <w:p w:rsidR="00CC654E" w:rsidRPr="00B31BEB" w:rsidRDefault="00CC654E"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5</w:t>
            </w:r>
            <w:r w:rsidRPr="00B31BEB">
              <w:rPr>
                <w:noProof/>
              </w:rPr>
              <w:fldChar w:fldCharType="end"/>
            </w:r>
            <w:r w:rsidRPr="00B31BEB">
              <w:rPr>
                <w:noProof/>
              </w:rPr>
              <w:t>)</w:t>
            </w:r>
          </w:p>
        </w:tc>
      </w:tr>
    </w:tbl>
    <w:p w:rsidR="00874DF8" w:rsidRPr="00B31BEB" w:rsidRDefault="005A7762" w:rsidP="00AD4D93">
      <w:pPr>
        <w:tabs>
          <w:tab w:val="center" w:pos="4800"/>
          <w:tab w:val="right" w:pos="9500"/>
        </w:tabs>
        <w:rPr>
          <w:noProof/>
        </w:rPr>
      </w:pPr>
      <w:r w:rsidRPr="00B31BEB">
        <w:rPr>
          <w:noProof/>
        </w:rPr>
        <w:t>Adapting the utility component in Equation 4 for the second block of choice sets, the updated deterministic utility equals: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664"/>
      </w:tblGrid>
      <w:tr w:rsidR="00B31BEB" w:rsidRPr="00B31BEB" w:rsidTr="00242E84">
        <w:tc>
          <w:tcPr>
            <w:tcW w:w="445" w:type="dxa"/>
            <w:vAlign w:val="center"/>
          </w:tcPr>
          <w:p w:rsidR="00213FF3" w:rsidRPr="00B31BEB" w:rsidRDefault="00213FF3" w:rsidP="00242E84">
            <w:pPr>
              <w:tabs>
                <w:tab w:val="center" w:pos="4800"/>
                <w:tab w:val="right" w:pos="9500"/>
              </w:tabs>
              <w:jc w:val="center"/>
              <w:rPr>
                <w:noProof/>
              </w:rPr>
            </w:pPr>
          </w:p>
        </w:tc>
        <w:tc>
          <w:tcPr>
            <w:tcW w:w="7380" w:type="dxa"/>
            <w:vAlign w:val="center"/>
          </w:tcPr>
          <w:p w:rsidR="00213FF3" w:rsidRPr="00B31BEB" w:rsidRDefault="00213FF3" w:rsidP="00242E84">
            <w:pPr>
              <w:tabs>
                <w:tab w:val="center" w:pos="4800"/>
                <w:tab w:val="right" w:pos="9500"/>
              </w:tabs>
              <w:jc w:val="center"/>
              <w:rPr>
                <w:noProof/>
              </w:rPr>
            </w:pPr>
            <w:r w:rsidRPr="00B31BEB">
              <w:rPr>
                <w:position w:val="-30"/>
              </w:rPr>
              <w:object w:dxaOrig="5740" w:dyaOrig="700">
                <v:shape id="_x0000_i1097" type="#_x0000_t75" style="width:287.4pt;height:35.4pt" o:ole="">
                  <v:imagedata r:id="rId148" o:title=""/>
                </v:shape>
                <o:OLEObject Type="Embed" ProgID="Equation.DSMT4" ShapeID="_x0000_i1097" DrawAspect="Content" ObjectID="_1649081699" r:id="rId149"/>
              </w:object>
            </w:r>
          </w:p>
        </w:tc>
        <w:tc>
          <w:tcPr>
            <w:tcW w:w="664" w:type="dxa"/>
            <w:vAlign w:val="center"/>
          </w:tcPr>
          <w:p w:rsidR="00213FF3" w:rsidRPr="00B31BEB" w:rsidRDefault="00213FF3" w:rsidP="00242E84">
            <w:pPr>
              <w:tabs>
                <w:tab w:val="center" w:pos="4800"/>
                <w:tab w:val="right" w:pos="9500"/>
              </w:tabs>
              <w:jc w:val="center"/>
              <w:rPr>
                <w:noProof/>
              </w:rPr>
            </w:pPr>
            <w:r w:rsidRPr="00B31BEB">
              <w:rPr>
                <w:noProof/>
              </w:rPr>
              <w:t>(</w:t>
            </w:r>
            <w:r w:rsidRPr="00B31BEB">
              <w:rPr>
                <w:noProof/>
              </w:rPr>
              <w:fldChar w:fldCharType="begin"/>
            </w:r>
            <w:r w:rsidRPr="00B31BEB">
              <w:rPr>
                <w:noProof/>
              </w:rPr>
              <w:instrText xml:space="preserve"> SEQ Eq  \* MERGEFORMAT </w:instrText>
            </w:r>
            <w:r w:rsidRPr="00B31BEB">
              <w:rPr>
                <w:noProof/>
              </w:rPr>
              <w:fldChar w:fldCharType="separate"/>
            </w:r>
            <w:r w:rsidR="00C63B04" w:rsidRPr="00B31BEB">
              <w:rPr>
                <w:noProof/>
              </w:rPr>
              <w:t>6</w:t>
            </w:r>
            <w:r w:rsidRPr="00B31BEB">
              <w:rPr>
                <w:noProof/>
              </w:rPr>
              <w:fldChar w:fldCharType="end"/>
            </w:r>
            <w:r w:rsidRPr="00B31BEB">
              <w:rPr>
                <w:noProof/>
              </w:rPr>
              <w:t>)</w:t>
            </w:r>
          </w:p>
        </w:tc>
      </w:tr>
    </w:tbl>
    <w:p w:rsidR="00811CBA" w:rsidRPr="00B31BEB" w:rsidRDefault="00811CBA" w:rsidP="00DF017C">
      <w:pPr>
        <w:tabs>
          <w:tab w:val="center" w:pos="4800"/>
          <w:tab w:val="right" w:pos="9500"/>
        </w:tabs>
        <w:rPr>
          <w:noProof/>
        </w:rPr>
      </w:pPr>
      <w:r w:rsidRPr="00B31BEB">
        <w:rPr>
          <w:noProof/>
        </w:rPr>
        <w:t xml:space="preserve">We discuss the initial, transition, updated conditional and unconditional choice probabilities in greater detail in </w:t>
      </w:r>
      <w:r w:rsidR="00325E79" w:rsidRPr="00B31BEB">
        <w:rPr>
          <w:noProof/>
        </w:rPr>
        <w:t xml:space="preserve">equations A5 – A11 in the </w:t>
      </w:r>
      <w:r w:rsidR="00F401BC" w:rsidRPr="00B31BEB">
        <w:rPr>
          <w:noProof/>
        </w:rPr>
        <w:t>supplemental</w:t>
      </w:r>
      <w:r w:rsidR="001D3F79" w:rsidRPr="00B31BEB">
        <w:rPr>
          <w:noProof/>
        </w:rPr>
        <w:t xml:space="preserve"> </w:t>
      </w:r>
      <w:r w:rsidR="00DA61AB" w:rsidRPr="00B31BEB">
        <w:rPr>
          <w:noProof/>
        </w:rPr>
        <w:t xml:space="preserve">online </w:t>
      </w:r>
      <w:r w:rsidR="00325E79" w:rsidRPr="00B31BEB">
        <w:rPr>
          <w:noProof/>
        </w:rPr>
        <w:t>material</w:t>
      </w:r>
      <w:r w:rsidRPr="00B31BEB">
        <w:rPr>
          <w:noProof/>
        </w:rPr>
        <w:t xml:space="preserve">. A lower BIC value for this model to that for </w:t>
      </w:r>
      <w:r w:rsidRPr="00B31BEB">
        <w:rPr>
          <w:i/>
          <w:iCs/>
          <w:noProof/>
        </w:rPr>
        <w:t>Model 2</w:t>
      </w:r>
      <w:r w:rsidRPr="00B31BEB">
        <w:rPr>
          <w:noProof/>
        </w:rPr>
        <w:t xml:space="preserve"> is theoretically important. It indicates that assessing the information effects via ANA changes describes consumers’ behavioral changes better than via preference parameter changes.</w:t>
      </w:r>
    </w:p>
    <w:p w:rsidR="00304B12" w:rsidRPr="00B31BEB" w:rsidRDefault="00304B12" w:rsidP="00304B12">
      <w:pPr>
        <w:pStyle w:val="Heading3"/>
      </w:pPr>
      <w:r w:rsidRPr="00B31BEB">
        <w:t xml:space="preserve">Model </w:t>
      </w:r>
      <w:r w:rsidR="006D010B" w:rsidRPr="00B31BEB">
        <w:t>4: Including factors influencing changes in attribute attendance behavior</w:t>
      </w:r>
    </w:p>
    <w:p w:rsidR="00736EFC" w:rsidRPr="00B31BEB" w:rsidRDefault="00736EFC" w:rsidP="00DF017C">
      <w:pPr>
        <w:tabs>
          <w:tab w:val="center" w:pos="4800"/>
          <w:tab w:val="right" w:pos="9500"/>
        </w:tabs>
        <w:ind w:firstLine="720"/>
        <w:rPr>
          <w:noProof/>
        </w:rPr>
      </w:pPr>
      <w:r w:rsidRPr="00B31BEB">
        <w:rPr>
          <w:noProof/>
        </w:rPr>
        <w:t xml:space="preserve">To investigate the effects of socio-economic and attitudinal factors on consumers’ attribute attendance behavior, we model the logit of attendance probabilities </w:t>
      </w:r>
      <w:r w:rsidRPr="00B31BEB">
        <w:rPr>
          <w:noProof/>
        </w:rPr>
        <w:lastRenderedPageBreak/>
        <w:t>as a linear function of the socio-economic and attitudinal factors. The logit of an attendance probability is the logarithm of the ratio of the attendance and the</w:t>
      </w:r>
      <w:r w:rsidR="00DC2DBF" w:rsidRPr="00B31BEB">
        <w:rPr>
          <w:noProof/>
        </w:rPr>
        <w:t xml:space="preserve"> non-attendance probability</w:t>
      </w:r>
      <w:r w:rsidRPr="00B31BEB">
        <w:rPr>
          <w:noProof/>
        </w:rPr>
        <w:t>. Exp</w:t>
      </w:r>
      <w:r w:rsidR="00B871B0" w:rsidRPr="00B31BEB">
        <w:rPr>
          <w:noProof/>
        </w:rPr>
        <w:t>licit functions are shown as equations A12 – A14</w:t>
      </w:r>
      <w:r w:rsidR="00AE360E" w:rsidRPr="00B31BEB">
        <w:rPr>
          <w:noProof/>
        </w:rPr>
        <w:t xml:space="preserve"> in the </w:t>
      </w:r>
      <w:r w:rsidR="0048365F" w:rsidRPr="00B31BEB">
        <w:rPr>
          <w:noProof/>
        </w:rPr>
        <w:t xml:space="preserve">supplemental </w:t>
      </w:r>
      <w:r w:rsidR="00AE360E" w:rsidRPr="00B31BEB">
        <w:rPr>
          <w:noProof/>
        </w:rPr>
        <w:t>online material</w:t>
      </w:r>
      <w:r w:rsidRPr="00B31BEB">
        <w:rPr>
          <w:noProof/>
        </w:rPr>
        <w:t>. In line with past literature</w:t>
      </w:r>
      <w:r w:rsidR="007B384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{"citationItems":[{"id":"ITEM-1","itemData":{"DOI":"10.1111/0022-4537.00176","ISSN":"0022-4537","abstract":"Dunlap and Van Liere’s New Environmental Paradigm (NEP) Scale, published in 1978, has become a widely used measure of proenvironmental orientation. This article develops a revised NEP Scale designed to improve upon the original one in several respects: (1) It taps a wider range of facets of an ecological worldview, (2) It offers a balanced set of pro- and anti-NEP items, and (3) It avoids outmoded terminology. The new scale, termed the New Ecological Paradigm Scale, consists of 15 items. Results of a 1990 Washington State survey suggest that the items can be treated as an internally consistent summated rating scale and also indicate a modest growth in pro-NEP responses among Washington residents over the 14 years since the original study.","author":[{"dropping-particle":"","family":"Dunlap","given":"Riley E.","non-dropping-particle":"","parse-names":false,"suffix":""},{"dropping-particle":"","family":"Liere","given":"Kent D.","non-dropping-particle":"Van","parse-names":false,"suffix":""},{"dropping-particle":"","family":"Mertig","given":"Angela G.","non-dropping-particle":"","parse-names":false,"suffix":""},{"dropping-particle":"","family":"Jones","given":"Robert Emmet","non-dropping-particle":"","parse-names":false,"suffix":""}],"container-title":"Journal of Social Issues","id":"ITEM-1","issue":"3","issued":{"date-parts":[["2000"]]},"page":"425-442","title":"New Trends in Measuring Environmental Attitudes: Measuring Endorsement of the New Ecological Paradigm: A Revised NEP Scale","type":"article-journal","volume":"56"},"uris":["http://www.mendeley.com/documents/?uuid=c415bfe0-d786-49be-bede-475016a8ca1a"]},{"id":"ITEM-2","itemData":{"DOI":"10.1108/09590550510581458","ISSN":"09590552","abstract":"Purpose - This paper examines the shopping and buying behavior of younger and older online shoppers as mediated by their attitudes toward internet shopping. Design/methodology/approach - Over 300 students and staff from a US university completed a survey regarding their online shopping and buying experiences for 17 products. Findings - The results show that, while older online shoppers search for significantly fewer products than their younger counterparts, they actually purchase as much as younger consumers. Attitudinal factors explained more variance in online searching behavior. Age explained more variance in purchasing behavior if the consumer had first searched for the product online. Research limitations/implications - The limitations of the present research are threefold. First, the sample was restricted to university faculty, staff and students. Second, a better measure of the hedonic motivation construct is needed. Third, additional independent measures such as income should be included to understand the additional demographic factors related to online purchase. Practical implications - Retailing managers can make use of the results as describing multifaceted nature of online shopping and buying behavior. Age differences (in both directions) were seen for many product categories. In addition, results indicate that how one measures online shopping impacts on one's understanding of age effects on internet shopping. Age was negatively correlated with online pre-purchase search but was positively correlated with online purchasing when pre-purchase search behavior was taken into account. Originality/value - The present study advances knowledge of the nature of the relationships among age, attitudes, and online shopping and buying behavior. © Emerald Group Publishing Limited.","author":[{"dropping-particle":"","family":"Sorce","given":"Patricia","non-dropping-particle":"","parse-names":false,"suffix":""},{"dropping-particle":"","family":"Perotti","given":"Victor","non-dropping-particle":"","parse-names":false,"suffix":""},{"dropping-particle":"","family":"Widrick","given":"Stanley","non-dropping-particle":"","parse-names":false,"suffix":""}],"container-title":"International Journal of Retail and Distribution Management","id":"ITEM-2","issue":"2","issued":{"date-parts":[["2005"]]},"page":"122-132","title":"Attitude and age differences in online buying","type":"article-journal","volume":"33"},"uris":["http://www.mendeley.com/documents/?uuid=2e19fe54-b3a4-42af-84aa-ce219678a888"]},{"id":"ITEM-3","itemData":{"DOI":"10.1080/07421222.2014.995538","ISSN":"1557928X","abstract":"Previous research suggests that user characteristics such as web experience and demographics may affect online trust. Drawing on social cognitive theory, we explore the moderating effect of user characteristics on online trust. Based on a survey of German Internet users, we differentiate three groups by age, web experience, and education. We term these groups digital natives, digital immigrants, and naturalized digitals. A multiple-group analysis reveals significant differences in trust formation, particularly in the cues considered in the evaluation of online services. Whereas a large user base inspires confidence in digital natives, naturalized digitals are more geared toward familiar brands and recommendations. Digital immigrants most critically weigh the risks of a transaction against its benefits. We argue that specific user characteristics are associated with distinct cognitive schemata, implying distinct interests and evaluations in online transactions. Online services should differentiate their signaling efforts according to the targeted customer group.","author":[{"dropping-particle":"","family":"Hoffmann","given":"Christian Pieter","non-dropping-particle":"","parse-names":false,"suffix":""},{"dropping-particle":"","family":"Lutz","given":"Christoph","non-dropping-particle":"","parse-names":false,"suffix":""},{"dropping-particle":"","family":"Meckel","given":"Miriam","non-dropping-particle":"","parse-names":false,"suffix":""}],"container-title":"Journal of Management Information Systems","id":"ITEM-3","issue":"3","issued":{"date-parts":[["2014"]]},"page":"138-171","title":"Digital Natives or Digital Immigrants? The Impact of User Characteristics on Online Trust","type":"article-journal","volume":"31"},"uris":["http://www.mendeley.com/documents/?uuid=0a9db95f-897f-4e67-ab94-9dd892278960"]},{"id":"ITEM-4","itemData":{"DOI":"10.1016/j.procs.2017.12.187","ISSN":"18770509","abstract":"E-payment is one of the fin-tech solutions that has gained users from different generations. This is unique as it is known that distinctive generations may adopt technology differently. This study aimed to assess on how the adoption of an e-payment system differs on different generations using the quantitative method. We used TAM model moderated by age as the research model. Data was collected through an online questionnaire and successfully gathered 532 responses from application users. The findings showed that only perceived ease of use has a positive effect on perceived of usefulness, that was moderated by age. This result may provide a new perspective on how e-payment being adopted on Indonesian users.","author":[{"dropping-particle":"","family":"Riskinanto","given":"Anggar","non-dropping-particle":"","parse-names":false,"suffix":""},{"dropping-particle":"","family":"Kelana","given":"Bayu","non-dropping-particle":"","parse-names":false,"suffix":""},{"dropping-particle":"","family":"Hilmawan","given":"Deliar Rifda","non-dropping-particle":"","parse-names":false,"suffix":""}],"container-title":"Procedia Computer Science","id":"ITEM-4","issued":{"date-parts":[["2017","1","1"]]},"page":"536-543","publisher":"Elsevier","title":"The Moderation Effect of Age on Adopting E-Payment Technology","type":"article-journal","volume":"124"},"uris":["http://www.mendeley.com/documents/?uuid=e10fe349-3033-3e57-82c2-b48abbce5886"]},{"id":"ITEM-5","itemData":{"DOI":"10.1162/ISEC_a_00265","ISSN":"15314804","author":[{"dropping-particle":"","family":"Johnston","given":"Alastair Iain","non-dropping-particle":"","parse-names":false,"suffix":""}],"container-title":"International Security","id":"ITEM-5","issue":"3","issued":{"date-parts":[["2017"]]},"page":"7-43","title":"Is Chinese nationalism rising? Evidence from Beijing","type":"article-journal","volume":"41"},"uris":["http://www.mendeley.com/documents/?uuid=7a88ffc8-4afe-4583-8485-71d6616b2ef1"]},{"id":"ITEM-6","itemData":{"DOI":"10.1016/j.telpol.2018.03.006","ISSN":"03085961","abstract":"This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Policy","id":"ITEM-6","issue":"6","issued":{"date-parts":[["2018"]]},"page":"464-473","publisher":"Elsevier","title":"Drivers and barriers to cross-border e-commerce: Evidence from Spanish individual behavior","type":"article-journal","volume":"42"},"uris":["http://www.mendeley.com/documents/?uuid=47e2efee-e9f4-4167-8e5d-6ffbcffa5ce8"]},{"id":"ITEM-7","itemData":{"DOI":"10.1108/IntR-03-2017-0135","ISSN":"10662243","abstract":"Purpose: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Research","id":"ITEM-7","issue":"4","issued":{"date-parts":[["2019"]]},"page":"799-817","title":"Tell me your age and I tell you what you trust: the moderating effect of generations","type":"article-journal","volume":"29"},"uris":["http://www.mendeley.com/documents/?uuid=b82cdbb5-4533-48e7-8b9e-b4a057f087aa"]}],"mendeley":{"formattedCitation":"[18; 28; 30; 34; 65; 73; 79]","plainTextFormattedCitation":"[18; 28; 30; 34; 65; 73; 79]","previouslyFormattedCitation":"[18; 28; 30; 34; 65; 73; 79]"},"properties":{"noteIndex":0},"schema":"https://github.com/citation-style-language/schema/raw/master/csl-citation.json"}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[18; 28; 30; 34; 65; 73; 79]</w:t>
      </w:r>
      <w:r w:rsidR="000A3492" w:rsidRPr="00B31BEB">
        <w:rPr>
          <w:rStyle w:val="FootnoteReference"/>
          <w:noProof/>
        </w:rPr>
        <w:fldChar w:fldCharType="end"/>
      </w:r>
      <w:r w:rsidR="00621C6E" w:rsidRPr="00B31BEB">
        <w:rPr>
          <w:noProof/>
        </w:rPr>
        <w:t xml:space="preserve">, </w:t>
      </w:r>
      <w:r w:rsidRPr="00B31BEB">
        <w:rPr>
          <w:noProof/>
        </w:rPr>
        <w:t xml:space="preserve">we investigated the effects of age and </w:t>
      </w:r>
      <w:r w:rsidR="002E0555" w:rsidRPr="00B31BEB">
        <w:rPr>
          <w:noProof/>
        </w:rPr>
        <w:t xml:space="preserve">gender </w:t>
      </w:r>
      <w:r w:rsidRPr="00B31BEB">
        <w:rPr>
          <w:noProof/>
        </w:rPr>
        <w:t>on attendance to the trust label, age and nationalism on headquarters and pro-environmentalism on attend</w:t>
      </w:r>
      <w:r w:rsidR="00A00767" w:rsidRPr="00B31BEB">
        <w:rPr>
          <w:noProof/>
        </w:rPr>
        <w:t>ance to the distance attribute.</w:t>
      </w:r>
    </w:p>
    <w:p w:rsidR="00736EFC" w:rsidRPr="00B31BEB" w:rsidRDefault="00736EFC" w:rsidP="00DF017C">
      <w:pPr>
        <w:tabs>
          <w:tab w:val="center" w:pos="4800"/>
          <w:tab w:val="right" w:pos="9500"/>
        </w:tabs>
        <w:ind w:firstLine="720"/>
        <w:rPr>
          <w:noProof/>
        </w:rPr>
      </w:pPr>
      <w:r w:rsidRPr="00B31BEB">
        <w:rPr>
          <w:noProof/>
        </w:rPr>
        <w:t>Pre-analysis, consumers’ age was standardized to conform to NEP and nationalism principal components which were accordingly standardized. All the models were estimated using the Latent Gold software</w:t>
      </w:r>
      <w:r w:rsidR="005D7DC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{"citationItems":[{"id":"ITEM-1","itemData":{"ISBN":"10.1080/10705510701575602","abstract":"Latent GOLD Choice is a program for the analysis of various types of preference data; that is, data containing (partial) information on respondents preferences concerning one or more sets of alternatives, objects, options, or products. Such data can be obtained from different response formats, the most important of which are:","author":[{"dropping-particle":"","family":"Vermunt","given":"Jeroen K","non-dropping-particle":"","parse-names":false,"suffix":""},{"dropping-particle":"","family":"Magidson","given":"Jay","non-dropping-particle":"","parse-names":false,"suffix":""}],"container-title":"Statistical Innovations Inc.","id":"ITEM-1","issue":"617","issued":{"date-parts":[["2005"]]},"page":"1-120","title":"Technical guide for Latent GOLD 4.0 : Basic and advanced","type":"article-journal"},"uris":["http://www.mendeley.com/documents/?uuid=5ce76c1a-9ef1-4b29-a6d3-8da8dee6dc29"]}],"mendeley":{"formattedCitation":"[81]","plainTextFormattedCitation":"[81]","previouslyFormattedCitation":"[81]"},"properties":{"noteIndex":0},"schema":"https://github.com/citation-style-language/schema/raw/master/csl-citation.json"}</w:instrText>
      </w:r>
      <w:r w:rsidR="000A3492" w:rsidRPr="00B31BEB">
        <w:rPr>
          <w:rStyle w:val="FootnoteReference"/>
          <w:noProof/>
        </w:rPr>
        <w:fldChar w:fldCharType="separate"/>
      </w:r>
      <w:r w:rsidR="00F8005E" w:rsidRPr="00B31BEB">
        <w:rPr>
          <w:bCs/>
          <w:noProof/>
        </w:rPr>
        <w:t>[81]</w:t>
      </w:r>
      <w:r w:rsidR="000A3492" w:rsidRPr="00B31BEB">
        <w:rPr>
          <w:rStyle w:val="FootnoteReference"/>
          <w:noProof/>
        </w:rPr>
        <w:fldChar w:fldCharType="end"/>
      </w:r>
      <w:r w:rsidRPr="00B31BEB">
        <w:rPr>
          <w:noProof/>
        </w:rPr>
        <w:t>. To select the best local maximum, each model was estimated using 100 runs with random starting values.</w:t>
      </w:r>
    </w:p>
    <w:p w:rsidR="003729BB" w:rsidRPr="003729BB" w:rsidRDefault="003729BB" w:rsidP="003729BB">
      <w:pPr>
        <w:pStyle w:val="Heading1"/>
      </w:pPr>
      <w:r>
        <w:t>Results</w:t>
      </w:r>
    </w:p>
    <w:p w:rsidR="00126075" w:rsidRPr="00B31BEB" w:rsidRDefault="00126075" w:rsidP="00126075">
      <w:pPr>
        <w:pStyle w:val="Heading2"/>
      </w:pPr>
      <w:r w:rsidRPr="00B31BEB">
        <w:t>Model comparison</w:t>
      </w:r>
    </w:p>
    <w:p w:rsidR="00C77251" w:rsidRPr="00B31BEB" w:rsidRDefault="001D7065" w:rsidP="003729BB">
      <w:pPr>
        <w:pStyle w:val="Newparagraph"/>
      </w:pPr>
      <w:r w:rsidRPr="00B31BEB">
        <w:rPr>
          <w:noProof/>
        </w:rPr>
        <w:t xml:space="preserve">Table 6 shows fit statistics for the estimated models. The results show that the ordering for </w:t>
      </w:r>
      <w:r w:rsidRPr="00B31BEB">
        <w:rPr>
          <w:i/>
          <w:iCs/>
          <w:noProof/>
        </w:rPr>
        <w:t>Model 1</w:t>
      </w:r>
      <w:r w:rsidRPr="00B31BEB">
        <w:rPr>
          <w:noProof/>
        </w:rPr>
        <w:t xml:space="preserve"> to </w:t>
      </w:r>
      <w:r w:rsidRPr="00B31BEB">
        <w:rPr>
          <w:i/>
          <w:iCs/>
          <w:noProof/>
        </w:rPr>
        <w:t>Model 3</w:t>
      </w:r>
      <w:r w:rsidRPr="00B31BEB">
        <w:rPr>
          <w:noProof/>
        </w:rPr>
        <w:t xml:space="preserve"> was the same for all the fit measures. We compare the models using BIC values since they penalize for the number of parameters. BIC is also</w:t>
      </w:r>
      <w:r w:rsidR="00EE1639">
        <w:rPr>
          <w:noProof/>
        </w:rPr>
        <w:t xml:space="preserve"> </w:t>
      </w:r>
      <w:r w:rsidR="00EE1639" w:rsidRPr="00B31BEB">
        <w:rPr>
          <w:noProof/>
        </w:rPr>
        <w:t xml:space="preserve">appropriate when models are not nested. Improvement in BIC was achieved when static ANA was included to </w:t>
      </w:r>
      <w:r w:rsidR="00EE1639" w:rsidRPr="00B31BEB">
        <w:rPr>
          <w:i/>
          <w:iCs/>
          <w:noProof/>
        </w:rPr>
        <w:t>Model 1</w:t>
      </w:r>
      <w:r w:rsidR="00EE1639" w:rsidRPr="00B31BEB">
        <w:rPr>
          <w:noProof/>
        </w:rPr>
        <w:t xml:space="preserve"> (4687 vs 4337). Modeling changes in ANA lowered the BIC to 4312. The lower BIC for </w:t>
      </w:r>
      <w:r w:rsidR="00EE1639" w:rsidRPr="00B31BEB">
        <w:rPr>
          <w:i/>
          <w:iCs/>
          <w:noProof/>
        </w:rPr>
        <w:t>Model 3</w:t>
      </w:r>
      <w:r w:rsidR="00EE1639" w:rsidRPr="00B31BEB">
        <w:rPr>
          <w:noProof/>
        </w:rPr>
        <w:t xml:space="preserve"> suggests that modeling the information impact via ANA changes describes consumers’ behavioral changes more closely than via preference parameter changes. Further, since providing information on the three attributes was likely to have knock-on effects on the remaining five, we also fit a model with changes in attendance probabilities for all the attributes. This model had a BIC value of 4331. The higher BIC (4331 vs 4312) shows that the increased attendance for </w:t>
      </w:r>
      <w:r w:rsidR="00EE1639" w:rsidRPr="00B31BEB">
        <w:rPr>
          <w:noProof/>
        </w:rPr>
        <w:lastRenderedPageBreak/>
        <w:t xml:space="preserve">the three attributes where information was provided was not accompanied by significant changes in the attendance probabilities for the other five. These results show that including and appropriately modeling the ANA behavior progressively lowers the BIC values, indicating better model fits. </w:t>
      </w:r>
    </w:p>
    <w:p w:rsidR="00A71A8D" w:rsidRPr="00B31BEB" w:rsidRDefault="00A71A8D" w:rsidP="00A42F2F">
      <w:pPr>
        <w:tabs>
          <w:tab w:val="center" w:pos="4800"/>
          <w:tab w:val="right" w:pos="9500"/>
        </w:tabs>
        <w:ind w:firstLine="720"/>
        <w:rPr>
          <w:noProof/>
        </w:rPr>
      </w:pPr>
      <w:r w:rsidRPr="00B31BEB">
        <w:t xml:space="preserve">Table 6. </w:t>
      </w:r>
      <w:r w:rsidRPr="00B31BEB">
        <w:rPr>
          <w:noProof/>
        </w:rPr>
        <w:t>Model fit statistics</w:t>
      </w:r>
    </w:p>
    <w:tbl>
      <w:tblPr>
        <w:tblW w:w="8489" w:type="dxa"/>
        <w:jc w:val="center"/>
        <w:tblLayout w:type="fixed"/>
        <w:tblCellMar>
          <w:left w:w="0" w:type="dxa"/>
          <w:right w:w="0" w:type="dxa"/>
        </w:tblCellMar>
        <w:tblLook w:val="0000" w:firstRow="0" w:lastRow="0" w:firstColumn="0" w:lastColumn="0" w:noHBand="0" w:noVBand="0"/>
      </w:tblPr>
      <w:tblGrid>
        <w:gridCol w:w="4009"/>
        <w:gridCol w:w="500"/>
        <w:gridCol w:w="1100"/>
        <w:gridCol w:w="960"/>
        <w:gridCol w:w="960"/>
        <w:gridCol w:w="960"/>
      </w:tblGrid>
      <w:tr w:rsidR="00B31BEB" w:rsidRPr="00B31BEB" w:rsidTr="004B6F89">
        <w:trPr>
          <w:jc w:val="center"/>
        </w:trPr>
        <w:tc>
          <w:tcPr>
            <w:tcW w:w="4009" w:type="dxa"/>
            <w:tcBorders>
              <w:top w:val="single" w:sz="4" w:space="0" w:color="auto"/>
              <w:bottom w:val="single" w:sz="4" w:space="0" w:color="auto"/>
            </w:tcBorders>
          </w:tcPr>
          <w:p w:rsidR="0050051F" w:rsidRPr="00B31BEB" w:rsidRDefault="0050051F" w:rsidP="005C4A10">
            <w:pPr>
              <w:tabs>
                <w:tab w:val="center" w:pos="4800"/>
                <w:tab w:val="right" w:pos="9500"/>
              </w:tabs>
              <w:jc w:val="both"/>
            </w:pPr>
            <w:r w:rsidRPr="00B31BEB">
              <w:t>Model (</w:t>
            </w:r>
            <w:r w:rsidRPr="00B31BEB">
              <w:rPr>
                <w:i/>
                <w:iCs/>
              </w:rPr>
              <w:t>Model number</w:t>
            </w:r>
            <w:r w:rsidRPr="00B31BEB">
              <w:t xml:space="preserve">) </w:t>
            </w:r>
          </w:p>
        </w:tc>
        <w:tc>
          <w:tcPr>
            <w:tcW w:w="500" w:type="dxa"/>
            <w:tcBorders>
              <w:top w:val="single" w:sz="4" w:space="0" w:color="auto"/>
              <w:bottom w:val="single" w:sz="4" w:space="0" w:color="auto"/>
            </w:tcBorders>
          </w:tcPr>
          <w:p w:rsidR="0050051F" w:rsidRPr="00B31BEB" w:rsidRDefault="0050051F" w:rsidP="003D6C7D">
            <w:pPr>
              <w:tabs>
                <w:tab w:val="center" w:pos="4800"/>
                <w:tab w:val="right" w:pos="9500"/>
              </w:tabs>
              <w:jc w:val="both"/>
            </w:pPr>
            <w:r w:rsidRPr="00B31BEB">
              <w:t xml:space="preserve">Par </w:t>
            </w:r>
          </w:p>
        </w:tc>
        <w:tc>
          <w:tcPr>
            <w:tcW w:w="1100" w:type="dxa"/>
            <w:tcBorders>
              <w:top w:val="single" w:sz="4" w:space="0" w:color="auto"/>
              <w:bottom w:val="single" w:sz="4" w:space="0" w:color="auto"/>
            </w:tcBorders>
          </w:tcPr>
          <w:p w:rsidR="0050051F" w:rsidRPr="00B31BEB" w:rsidRDefault="0050051F" w:rsidP="003D6C7D">
            <w:pPr>
              <w:tabs>
                <w:tab w:val="center" w:pos="4800"/>
                <w:tab w:val="right" w:pos="9500"/>
              </w:tabs>
              <w:jc w:val="both"/>
            </w:pPr>
            <w:r w:rsidRPr="00B31BEB">
              <w:t xml:space="preserve">LL </w:t>
            </w:r>
          </w:p>
        </w:tc>
        <w:tc>
          <w:tcPr>
            <w:tcW w:w="960" w:type="dxa"/>
            <w:tcBorders>
              <w:top w:val="single" w:sz="4" w:space="0" w:color="auto"/>
              <w:bottom w:val="single" w:sz="4" w:space="0" w:color="auto"/>
            </w:tcBorders>
          </w:tcPr>
          <w:p w:rsidR="0050051F" w:rsidRPr="00B31BEB" w:rsidRDefault="0050051F" w:rsidP="003D6C7D">
            <w:pPr>
              <w:tabs>
                <w:tab w:val="center" w:pos="4800"/>
                <w:tab w:val="right" w:pos="9500"/>
              </w:tabs>
              <w:jc w:val="both"/>
            </w:pPr>
            <w:r w:rsidRPr="00B31BEB">
              <w:t xml:space="preserve">AIC </w:t>
            </w:r>
          </w:p>
        </w:tc>
        <w:tc>
          <w:tcPr>
            <w:tcW w:w="960" w:type="dxa"/>
            <w:tcBorders>
              <w:top w:val="single" w:sz="4" w:space="0" w:color="auto"/>
              <w:bottom w:val="single" w:sz="4" w:space="0" w:color="auto"/>
            </w:tcBorders>
          </w:tcPr>
          <w:p w:rsidR="0050051F" w:rsidRPr="00B31BEB" w:rsidRDefault="003D6C7D" w:rsidP="003D6C7D">
            <w:pPr>
              <w:tabs>
                <w:tab w:val="center" w:pos="4800"/>
                <w:tab w:val="right" w:pos="9500"/>
              </w:tabs>
              <w:jc w:val="both"/>
            </w:pPr>
            <w:r w:rsidRPr="00B31BEB">
              <w:t>c</w:t>
            </w:r>
            <w:r w:rsidR="0050051F" w:rsidRPr="00B31BEB">
              <w:t xml:space="preserve">AIC </w:t>
            </w:r>
          </w:p>
        </w:tc>
        <w:tc>
          <w:tcPr>
            <w:tcW w:w="960" w:type="dxa"/>
            <w:tcBorders>
              <w:top w:val="single" w:sz="4" w:space="0" w:color="auto"/>
              <w:bottom w:val="single" w:sz="4" w:space="0" w:color="auto"/>
            </w:tcBorders>
          </w:tcPr>
          <w:p w:rsidR="0050051F" w:rsidRPr="00B31BEB" w:rsidRDefault="0050051F" w:rsidP="003D6C7D">
            <w:pPr>
              <w:tabs>
                <w:tab w:val="center" w:pos="4800"/>
                <w:tab w:val="right" w:pos="9500"/>
              </w:tabs>
              <w:jc w:val="both"/>
            </w:pPr>
            <w:r w:rsidRPr="00B31BEB">
              <w:t xml:space="preserve">BIC </w:t>
            </w:r>
          </w:p>
        </w:tc>
      </w:tr>
      <w:tr w:rsidR="00B31BEB" w:rsidRPr="00B31BEB" w:rsidTr="00C70919">
        <w:trPr>
          <w:jc w:val="center"/>
        </w:trPr>
        <w:tc>
          <w:tcPr>
            <w:tcW w:w="4009" w:type="dxa"/>
            <w:tcBorders>
              <w:top w:val="single" w:sz="4" w:space="0" w:color="auto"/>
            </w:tcBorders>
          </w:tcPr>
          <w:p w:rsidR="0050051F" w:rsidRPr="00B31BEB" w:rsidRDefault="00465F39" w:rsidP="00465F39">
            <w:pPr>
              <w:tabs>
                <w:tab w:val="center" w:pos="4800"/>
                <w:tab w:val="right" w:pos="9500"/>
              </w:tabs>
              <w:jc w:val="both"/>
            </w:pPr>
            <w:r w:rsidRPr="00B31BEB">
              <w:t>MNL</w:t>
            </w:r>
            <w:r w:rsidR="0050051F" w:rsidRPr="00B31BEB">
              <w:t>+parameter shifts (</w:t>
            </w:r>
            <w:r w:rsidR="0050051F" w:rsidRPr="00B31BEB">
              <w:rPr>
                <w:i/>
                <w:iCs/>
              </w:rPr>
              <w:t>1</w:t>
            </w:r>
            <w:r w:rsidR="0050051F" w:rsidRPr="00B31BEB">
              <w:t xml:space="preserve">) </w:t>
            </w:r>
          </w:p>
        </w:tc>
        <w:tc>
          <w:tcPr>
            <w:tcW w:w="500" w:type="dxa"/>
            <w:tcBorders>
              <w:top w:val="single" w:sz="4" w:space="0" w:color="auto"/>
            </w:tcBorders>
          </w:tcPr>
          <w:p w:rsidR="0050051F" w:rsidRPr="00B31BEB" w:rsidRDefault="0050051F" w:rsidP="003D6C7D">
            <w:pPr>
              <w:tabs>
                <w:tab w:val="center" w:pos="4800"/>
                <w:tab w:val="right" w:pos="9500"/>
              </w:tabs>
              <w:jc w:val="both"/>
            </w:pPr>
            <w:r w:rsidRPr="00B31BEB">
              <w:t xml:space="preserve">12 </w:t>
            </w:r>
          </w:p>
        </w:tc>
        <w:tc>
          <w:tcPr>
            <w:tcW w:w="1100" w:type="dxa"/>
            <w:tcBorders>
              <w:top w:val="single" w:sz="4" w:space="0" w:color="auto"/>
            </w:tcBorders>
          </w:tcPr>
          <w:p w:rsidR="0050051F" w:rsidRPr="00B31BEB" w:rsidRDefault="00465F39" w:rsidP="00465F39">
            <w:pPr>
              <w:tabs>
                <w:tab w:val="center" w:pos="4800"/>
                <w:tab w:val="right" w:pos="9500"/>
              </w:tabs>
              <w:jc w:val="both"/>
            </w:pPr>
            <w:r w:rsidRPr="00B31BEB">
              <w:t xml:space="preserve"> </w:t>
            </w:r>
            <w:r w:rsidR="00003E50" w:rsidRPr="00B31BEB">
              <w:t>-2311</w:t>
            </w:r>
            <w:r w:rsidR="0050051F" w:rsidRPr="00B31BEB">
              <w:t xml:space="preserve"> </w:t>
            </w:r>
          </w:p>
        </w:tc>
        <w:tc>
          <w:tcPr>
            <w:tcW w:w="960" w:type="dxa"/>
            <w:tcBorders>
              <w:top w:val="single" w:sz="4" w:space="0" w:color="auto"/>
            </w:tcBorders>
          </w:tcPr>
          <w:p w:rsidR="0050051F" w:rsidRPr="00B31BEB" w:rsidRDefault="0050051F" w:rsidP="00003E50">
            <w:pPr>
              <w:tabs>
                <w:tab w:val="center" w:pos="4800"/>
                <w:tab w:val="right" w:pos="9500"/>
              </w:tabs>
              <w:jc w:val="both"/>
            </w:pPr>
            <w:r w:rsidRPr="00B31BEB">
              <w:t xml:space="preserve">4647 </w:t>
            </w:r>
          </w:p>
        </w:tc>
        <w:tc>
          <w:tcPr>
            <w:tcW w:w="960" w:type="dxa"/>
            <w:tcBorders>
              <w:top w:val="single" w:sz="4" w:space="0" w:color="auto"/>
            </w:tcBorders>
          </w:tcPr>
          <w:p w:rsidR="0050051F" w:rsidRPr="00B31BEB" w:rsidRDefault="0050051F" w:rsidP="00003E50">
            <w:pPr>
              <w:tabs>
                <w:tab w:val="center" w:pos="4800"/>
                <w:tab w:val="right" w:pos="9500"/>
              </w:tabs>
              <w:jc w:val="both"/>
            </w:pPr>
            <w:r w:rsidRPr="00B31BEB">
              <w:t>4</w:t>
            </w:r>
            <w:r w:rsidR="00003E50" w:rsidRPr="00B31BEB">
              <w:t>699</w:t>
            </w:r>
            <w:r w:rsidRPr="00B31BEB">
              <w:t xml:space="preserve"> </w:t>
            </w:r>
          </w:p>
        </w:tc>
        <w:tc>
          <w:tcPr>
            <w:tcW w:w="960" w:type="dxa"/>
            <w:tcBorders>
              <w:top w:val="single" w:sz="4" w:space="0" w:color="auto"/>
            </w:tcBorders>
          </w:tcPr>
          <w:p w:rsidR="0050051F" w:rsidRPr="00B31BEB" w:rsidRDefault="0050051F" w:rsidP="00003E50">
            <w:pPr>
              <w:tabs>
                <w:tab w:val="center" w:pos="4800"/>
                <w:tab w:val="right" w:pos="9500"/>
              </w:tabs>
              <w:jc w:val="both"/>
            </w:pPr>
            <w:r w:rsidRPr="00B31BEB">
              <w:t>4</w:t>
            </w:r>
            <w:r w:rsidR="00003E50" w:rsidRPr="00B31BEB">
              <w:t>687</w:t>
            </w:r>
            <w:r w:rsidRPr="00B31BEB">
              <w:t xml:space="preserve"> </w:t>
            </w:r>
          </w:p>
        </w:tc>
      </w:tr>
      <w:tr w:rsidR="00B31BEB" w:rsidRPr="00B31BEB" w:rsidTr="00C70919">
        <w:trPr>
          <w:jc w:val="center"/>
        </w:trPr>
        <w:tc>
          <w:tcPr>
            <w:tcW w:w="4009" w:type="dxa"/>
          </w:tcPr>
          <w:p w:rsidR="0050051F" w:rsidRPr="00B31BEB" w:rsidRDefault="007F70D4" w:rsidP="007F70D4">
            <w:pPr>
              <w:tabs>
                <w:tab w:val="center" w:pos="4800"/>
                <w:tab w:val="right" w:pos="9500"/>
              </w:tabs>
              <w:jc w:val="both"/>
            </w:pPr>
            <w:r w:rsidRPr="00B31BEB">
              <w:t>MNL+parameter shifts+</w:t>
            </w:r>
            <w:r w:rsidR="0050051F" w:rsidRPr="00B31BEB">
              <w:t>static ANA (</w:t>
            </w:r>
            <w:r w:rsidR="0050051F" w:rsidRPr="00B31BEB">
              <w:rPr>
                <w:i/>
                <w:iCs/>
              </w:rPr>
              <w:t>2</w:t>
            </w:r>
            <w:r w:rsidR="0050051F" w:rsidRPr="00B31BEB">
              <w:t xml:space="preserve">) </w:t>
            </w:r>
          </w:p>
        </w:tc>
        <w:tc>
          <w:tcPr>
            <w:tcW w:w="500" w:type="dxa"/>
          </w:tcPr>
          <w:p w:rsidR="0050051F" w:rsidRPr="00B31BEB" w:rsidRDefault="0050051F" w:rsidP="003D6C7D">
            <w:pPr>
              <w:tabs>
                <w:tab w:val="center" w:pos="4800"/>
                <w:tab w:val="right" w:pos="9500"/>
              </w:tabs>
              <w:jc w:val="both"/>
            </w:pPr>
            <w:r w:rsidRPr="00B31BEB">
              <w:t xml:space="preserve">20 </w:t>
            </w:r>
          </w:p>
        </w:tc>
        <w:tc>
          <w:tcPr>
            <w:tcW w:w="1100" w:type="dxa"/>
          </w:tcPr>
          <w:p w:rsidR="0050051F" w:rsidRPr="00B31BEB" w:rsidRDefault="00003E50" w:rsidP="00003E50">
            <w:pPr>
              <w:tabs>
                <w:tab w:val="center" w:pos="4800"/>
                <w:tab w:val="right" w:pos="9500"/>
              </w:tabs>
              <w:jc w:val="both"/>
            </w:pPr>
            <w:r w:rsidRPr="00B31BEB">
              <w:t>-2115</w:t>
            </w:r>
            <w:r w:rsidR="0050051F" w:rsidRPr="00B31BEB">
              <w:t xml:space="preserve"> </w:t>
            </w:r>
          </w:p>
        </w:tc>
        <w:tc>
          <w:tcPr>
            <w:tcW w:w="960" w:type="dxa"/>
          </w:tcPr>
          <w:p w:rsidR="0050051F" w:rsidRPr="00B31BEB" w:rsidRDefault="0050051F" w:rsidP="007F70D4">
            <w:pPr>
              <w:tabs>
                <w:tab w:val="center" w:pos="4800"/>
                <w:tab w:val="right" w:pos="9500"/>
              </w:tabs>
              <w:jc w:val="both"/>
            </w:pPr>
            <w:r w:rsidRPr="00B31BEB">
              <w:t>4</w:t>
            </w:r>
            <w:r w:rsidR="00003E50" w:rsidRPr="00B31BEB">
              <w:t>271</w:t>
            </w:r>
            <w:r w:rsidRPr="00B31BEB">
              <w:t xml:space="preserve"> </w:t>
            </w:r>
          </w:p>
        </w:tc>
        <w:tc>
          <w:tcPr>
            <w:tcW w:w="960" w:type="dxa"/>
          </w:tcPr>
          <w:p w:rsidR="0050051F" w:rsidRPr="00B31BEB" w:rsidRDefault="00003E50" w:rsidP="00003E50">
            <w:pPr>
              <w:tabs>
                <w:tab w:val="center" w:pos="4800"/>
                <w:tab w:val="right" w:pos="9500"/>
              </w:tabs>
              <w:jc w:val="both"/>
            </w:pPr>
            <w:r w:rsidRPr="00B31BEB">
              <w:t>4357</w:t>
            </w:r>
            <w:r w:rsidR="0050051F" w:rsidRPr="00B31BEB">
              <w:t xml:space="preserve"> </w:t>
            </w:r>
          </w:p>
        </w:tc>
        <w:tc>
          <w:tcPr>
            <w:tcW w:w="960" w:type="dxa"/>
          </w:tcPr>
          <w:p w:rsidR="0050051F" w:rsidRPr="00B31BEB" w:rsidRDefault="0050051F" w:rsidP="00003E50">
            <w:pPr>
              <w:tabs>
                <w:tab w:val="center" w:pos="4800"/>
                <w:tab w:val="right" w:pos="9500"/>
              </w:tabs>
              <w:jc w:val="both"/>
            </w:pPr>
            <w:r w:rsidRPr="00B31BEB">
              <w:t xml:space="preserve">4337 </w:t>
            </w:r>
          </w:p>
        </w:tc>
      </w:tr>
      <w:tr w:rsidR="00B31BEB" w:rsidRPr="00B31BEB" w:rsidTr="00923902">
        <w:trPr>
          <w:jc w:val="center"/>
        </w:trPr>
        <w:tc>
          <w:tcPr>
            <w:tcW w:w="4009" w:type="dxa"/>
          </w:tcPr>
          <w:p w:rsidR="0050051F" w:rsidRPr="00B31BEB" w:rsidRDefault="007F70D4" w:rsidP="007F70D4">
            <w:pPr>
              <w:tabs>
                <w:tab w:val="center" w:pos="4800"/>
                <w:tab w:val="right" w:pos="9500"/>
              </w:tabs>
              <w:jc w:val="both"/>
            </w:pPr>
            <w:r w:rsidRPr="00B31BEB">
              <w:t>MNL</w:t>
            </w:r>
            <w:r w:rsidR="0050051F" w:rsidRPr="00B31BEB">
              <w:t xml:space="preserve">+ </w:t>
            </w:r>
            <w:r w:rsidRPr="00B31BEB">
              <w:t>c</w:t>
            </w:r>
            <w:r w:rsidR="0050051F" w:rsidRPr="00B31BEB">
              <w:t>hanging ANA (</w:t>
            </w:r>
            <w:r w:rsidR="0050051F" w:rsidRPr="00B31BEB">
              <w:rPr>
                <w:i/>
                <w:iCs/>
              </w:rPr>
              <w:t>3</w:t>
            </w:r>
            <w:r w:rsidR="0050051F" w:rsidRPr="00B31BEB">
              <w:t xml:space="preserve">) </w:t>
            </w:r>
          </w:p>
        </w:tc>
        <w:tc>
          <w:tcPr>
            <w:tcW w:w="500" w:type="dxa"/>
          </w:tcPr>
          <w:p w:rsidR="0050051F" w:rsidRPr="00B31BEB" w:rsidRDefault="0050051F" w:rsidP="003D6C7D">
            <w:pPr>
              <w:tabs>
                <w:tab w:val="center" w:pos="4800"/>
                <w:tab w:val="right" w:pos="9500"/>
              </w:tabs>
              <w:jc w:val="both"/>
            </w:pPr>
            <w:r w:rsidRPr="00B31BEB">
              <w:t xml:space="preserve">23 </w:t>
            </w:r>
          </w:p>
        </w:tc>
        <w:tc>
          <w:tcPr>
            <w:tcW w:w="1100" w:type="dxa"/>
          </w:tcPr>
          <w:p w:rsidR="0050051F" w:rsidRPr="00B31BEB" w:rsidRDefault="00003E50" w:rsidP="00003E50">
            <w:pPr>
              <w:tabs>
                <w:tab w:val="center" w:pos="4800"/>
                <w:tab w:val="right" w:pos="9500"/>
              </w:tabs>
              <w:jc w:val="both"/>
            </w:pPr>
            <w:r w:rsidRPr="00B31BEB">
              <w:t>-2095</w:t>
            </w:r>
            <w:r w:rsidR="0050051F" w:rsidRPr="00B31BEB">
              <w:t xml:space="preserve"> </w:t>
            </w:r>
          </w:p>
        </w:tc>
        <w:tc>
          <w:tcPr>
            <w:tcW w:w="960" w:type="dxa"/>
          </w:tcPr>
          <w:p w:rsidR="0050051F" w:rsidRPr="00B31BEB" w:rsidRDefault="0050051F" w:rsidP="00003E50">
            <w:pPr>
              <w:tabs>
                <w:tab w:val="center" w:pos="4800"/>
                <w:tab w:val="right" w:pos="9500"/>
              </w:tabs>
              <w:jc w:val="both"/>
            </w:pPr>
            <w:r w:rsidRPr="00B31BEB">
              <w:t xml:space="preserve">4236 </w:t>
            </w:r>
          </w:p>
        </w:tc>
        <w:tc>
          <w:tcPr>
            <w:tcW w:w="960" w:type="dxa"/>
          </w:tcPr>
          <w:p w:rsidR="0050051F" w:rsidRPr="00B31BEB" w:rsidRDefault="0050051F" w:rsidP="00003E50">
            <w:pPr>
              <w:tabs>
                <w:tab w:val="center" w:pos="4800"/>
                <w:tab w:val="right" w:pos="9500"/>
              </w:tabs>
              <w:jc w:val="both"/>
            </w:pPr>
            <w:r w:rsidRPr="00B31BEB">
              <w:t xml:space="preserve">4335 </w:t>
            </w:r>
          </w:p>
        </w:tc>
        <w:tc>
          <w:tcPr>
            <w:tcW w:w="960" w:type="dxa"/>
          </w:tcPr>
          <w:p w:rsidR="0050051F" w:rsidRPr="00B31BEB" w:rsidRDefault="0050051F" w:rsidP="00003E50">
            <w:pPr>
              <w:tabs>
                <w:tab w:val="center" w:pos="4800"/>
                <w:tab w:val="right" w:pos="9500"/>
              </w:tabs>
              <w:jc w:val="both"/>
            </w:pPr>
            <w:r w:rsidRPr="00B31BEB">
              <w:t xml:space="preserve">4312 </w:t>
            </w:r>
          </w:p>
        </w:tc>
      </w:tr>
      <w:tr w:rsidR="00B31BEB" w:rsidRPr="00B31BEB" w:rsidTr="00923902">
        <w:trPr>
          <w:jc w:val="center"/>
        </w:trPr>
        <w:tc>
          <w:tcPr>
            <w:tcW w:w="4009" w:type="dxa"/>
            <w:tcBorders>
              <w:bottom w:val="single" w:sz="4" w:space="0" w:color="auto"/>
            </w:tcBorders>
          </w:tcPr>
          <w:p w:rsidR="00B0464C" w:rsidRPr="00B31BEB" w:rsidRDefault="007F70D4" w:rsidP="007F70D4">
            <w:pPr>
              <w:tabs>
                <w:tab w:val="center" w:pos="4800"/>
                <w:tab w:val="right" w:pos="9500"/>
              </w:tabs>
              <w:jc w:val="both"/>
            </w:pPr>
            <w:r w:rsidRPr="00B31BEB">
              <w:t>MNL+ changing ANA +</w:t>
            </w:r>
          </w:p>
          <w:p w:rsidR="0050051F" w:rsidRPr="00B31BEB" w:rsidRDefault="0050051F" w:rsidP="007F70D4">
            <w:pPr>
              <w:tabs>
                <w:tab w:val="center" w:pos="4800"/>
                <w:tab w:val="right" w:pos="9500"/>
              </w:tabs>
              <w:jc w:val="both"/>
            </w:pPr>
            <w:r w:rsidRPr="00B31BEB">
              <w:t>covariate effects (</w:t>
            </w:r>
            <w:r w:rsidRPr="00B31BEB">
              <w:rPr>
                <w:i/>
                <w:iCs/>
              </w:rPr>
              <w:t>4</w:t>
            </w:r>
            <w:r w:rsidRPr="00B31BEB">
              <w:t xml:space="preserve">) </w:t>
            </w:r>
          </w:p>
        </w:tc>
        <w:tc>
          <w:tcPr>
            <w:tcW w:w="500" w:type="dxa"/>
            <w:tcBorders>
              <w:bottom w:val="single" w:sz="4" w:space="0" w:color="auto"/>
            </w:tcBorders>
          </w:tcPr>
          <w:p w:rsidR="0050051F" w:rsidRPr="00B31BEB" w:rsidRDefault="0050051F" w:rsidP="003D6C7D">
            <w:pPr>
              <w:tabs>
                <w:tab w:val="center" w:pos="4800"/>
                <w:tab w:val="right" w:pos="9500"/>
              </w:tabs>
              <w:jc w:val="both"/>
            </w:pPr>
            <w:r w:rsidRPr="00B31BEB">
              <w:t xml:space="preserve">38 </w:t>
            </w:r>
          </w:p>
        </w:tc>
        <w:tc>
          <w:tcPr>
            <w:tcW w:w="1100" w:type="dxa"/>
            <w:tcBorders>
              <w:bottom w:val="single" w:sz="4" w:space="0" w:color="auto"/>
            </w:tcBorders>
          </w:tcPr>
          <w:p w:rsidR="0050051F" w:rsidRPr="00B31BEB" w:rsidRDefault="0050051F" w:rsidP="00003E50">
            <w:pPr>
              <w:tabs>
                <w:tab w:val="center" w:pos="4800"/>
                <w:tab w:val="right" w:pos="9500"/>
              </w:tabs>
              <w:jc w:val="both"/>
            </w:pPr>
            <w:r w:rsidRPr="00B31BEB">
              <w:t xml:space="preserve">-2078 </w:t>
            </w:r>
          </w:p>
        </w:tc>
        <w:tc>
          <w:tcPr>
            <w:tcW w:w="960" w:type="dxa"/>
            <w:tcBorders>
              <w:bottom w:val="single" w:sz="4" w:space="0" w:color="auto"/>
            </w:tcBorders>
          </w:tcPr>
          <w:p w:rsidR="0050051F" w:rsidRPr="00B31BEB" w:rsidRDefault="0050051F" w:rsidP="00003E50">
            <w:pPr>
              <w:tabs>
                <w:tab w:val="center" w:pos="4800"/>
                <w:tab w:val="right" w:pos="9500"/>
              </w:tabs>
              <w:jc w:val="both"/>
            </w:pPr>
            <w:r w:rsidRPr="00B31BEB">
              <w:t>4</w:t>
            </w:r>
            <w:r w:rsidR="00003E50" w:rsidRPr="00B31BEB">
              <w:t>233</w:t>
            </w:r>
            <w:r w:rsidRPr="00B31BEB">
              <w:t xml:space="preserve"> </w:t>
            </w:r>
          </w:p>
        </w:tc>
        <w:tc>
          <w:tcPr>
            <w:tcW w:w="960" w:type="dxa"/>
            <w:tcBorders>
              <w:bottom w:val="single" w:sz="4" w:space="0" w:color="auto"/>
            </w:tcBorders>
          </w:tcPr>
          <w:p w:rsidR="0050051F" w:rsidRPr="00B31BEB" w:rsidRDefault="0050051F" w:rsidP="007F70D4">
            <w:pPr>
              <w:tabs>
                <w:tab w:val="center" w:pos="4800"/>
                <w:tab w:val="right" w:pos="9500"/>
              </w:tabs>
              <w:jc w:val="both"/>
            </w:pPr>
            <w:r w:rsidRPr="00B31BEB">
              <w:t>4</w:t>
            </w:r>
            <w:r w:rsidR="00003E50" w:rsidRPr="00B31BEB">
              <w:t>397</w:t>
            </w:r>
            <w:r w:rsidRPr="00B31BEB">
              <w:t xml:space="preserve"> </w:t>
            </w:r>
          </w:p>
        </w:tc>
        <w:tc>
          <w:tcPr>
            <w:tcW w:w="960" w:type="dxa"/>
            <w:tcBorders>
              <w:bottom w:val="single" w:sz="4" w:space="0" w:color="auto"/>
            </w:tcBorders>
          </w:tcPr>
          <w:p w:rsidR="0050051F" w:rsidRPr="00B31BEB" w:rsidRDefault="00003E50" w:rsidP="00003E50">
            <w:pPr>
              <w:tabs>
                <w:tab w:val="center" w:pos="4800"/>
                <w:tab w:val="right" w:pos="9500"/>
              </w:tabs>
              <w:jc w:val="both"/>
            </w:pPr>
            <w:r w:rsidRPr="00B31BEB">
              <w:t>4359</w:t>
            </w:r>
            <w:r w:rsidR="0050051F" w:rsidRPr="00B31BEB">
              <w:t xml:space="preserve"> </w:t>
            </w:r>
          </w:p>
        </w:tc>
      </w:tr>
      <w:tr w:rsidR="00F31E5B" w:rsidRPr="00B31BEB" w:rsidTr="00923902">
        <w:trPr>
          <w:jc w:val="center"/>
        </w:trPr>
        <w:tc>
          <w:tcPr>
            <w:tcW w:w="8489" w:type="dxa"/>
            <w:gridSpan w:val="6"/>
            <w:tcBorders>
              <w:top w:val="single" w:sz="4" w:space="0" w:color="auto"/>
              <w:bottom w:val="single" w:sz="4" w:space="0" w:color="auto"/>
            </w:tcBorders>
          </w:tcPr>
          <w:p w:rsidR="00F31E5B" w:rsidRPr="00B31BEB" w:rsidRDefault="00F31E5B" w:rsidP="007F70D4">
            <w:pPr>
              <w:tabs>
                <w:tab w:val="center" w:pos="4800"/>
                <w:tab w:val="right" w:pos="9500"/>
              </w:tabs>
              <w:jc w:val="both"/>
            </w:pPr>
            <w:r w:rsidRPr="00B31BEB">
              <w:t xml:space="preserve">Notes: </w:t>
            </w:r>
          </w:p>
          <w:p w:rsidR="00F31E5B" w:rsidRPr="00B31BEB" w:rsidRDefault="00F31E5B" w:rsidP="001A5DEC">
            <w:pPr>
              <w:tabs>
                <w:tab w:val="center" w:pos="4800"/>
                <w:tab w:val="right" w:pos="9500"/>
              </w:tabs>
              <w:rPr>
                <w:noProof/>
              </w:rPr>
            </w:pPr>
            <w:r w:rsidRPr="00B31BEB">
              <w:rPr>
                <w:noProof/>
              </w:rPr>
              <w:t xml:space="preserve">Par: Number of parameters in the model  </w:t>
            </w:r>
          </w:p>
          <w:p w:rsidR="00F31E5B" w:rsidRPr="00B31BEB" w:rsidRDefault="00F31E5B" w:rsidP="001A5DEC">
            <w:pPr>
              <w:tabs>
                <w:tab w:val="center" w:pos="4800"/>
                <w:tab w:val="right" w:pos="9500"/>
              </w:tabs>
              <w:rPr>
                <w:noProof/>
              </w:rPr>
            </w:pPr>
            <w:r w:rsidRPr="00B31BEB">
              <w:rPr>
                <w:noProof/>
              </w:rPr>
              <w:t>LL: log likelihood value</w:t>
            </w:r>
          </w:p>
          <w:p w:rsidR="00F31E5B" w:rsidRPr="00B31BEB" w:rsidRDefault="00F31E5B" w:rsidP="001A5DEC">
            <w:pPr>
              <w:tabs>
                <w:tab w:val="center" w:pos="4800"/>
                <w:tab w:val="right" w:pos="9500"/>
              </w:tabs>
              <w:rPr>
                <w:noProof/>
              </w:rPr>
            </w:pPr>
            <w:r w:rsidRPr="00B31BEB">
              <w:rPr>
                <w:noProof/>
              </w:rPr>
              <w:t>AIC: Akaike Information Criterion</w:t>
            </w:r>
          </w:p>
          <w:p w:rsidR="005F510C" w:rsidRPr="00B31BEB" w:rsidRDefault="005F510C" w:rsidP="001A5DEC">
            <w:pPr>
              <w:tabs>
                <w:tab w:val="center" w:pos="4800"/>
                <w:tab w:val="right" w:pos="9500"/>
              </w:tabs>
              <w:rPr>
                <w:noProof/>
              </w:rPr>
            </w:pPr>
            <w:r w:rsidRPr="00B31BEB">
              <w:rPr>
                <w:noProof/>
              </w:rPr>
              <w:t>cAIC: AIC corrected for the number of parameters</w:t>
            </w:r>
          </w:p>
          <w:p w:rsidR="00F31E5B" w:rsidRPr="00B31BEB" w:rsidRDefault="005F510C" w:rsidP="001A5DEC">
            <w:pPr>
              <w:tabs>
                <w:tab w:val="center" w:pos="4800"/>
                <w:tab w:val="right" w:pos="9500"/>
              </w:tabs>
            </w:pPr>
            <w:r w:rsidRPr="00B31BEB">
              <w:rPr>
                <w:noProof/>
              </w:rPr>
              <w:t>BIC: Bayesian Information Criterion</w:t>
            </w:r>
          </w:p>
        </w:tc>
      </w:tr>
    </w:tbl>
    <w:p w:rsidR="00CD135D" w:rsidRPr="00B31BEB" w:rsidRDefault="00CD135D" w:rsidP="001A5DEC">
      <w:pPr>
        <w:tabs>
          <w:tab w:val="center" w:pos="4800"/>
          <w:tab w:val="right" w:pos="9500"/>
        </w:tabs>
        <w:ind w:firstLine="720"/>
        <w:rPr>
          <w:noProof/>
        </w:rPr>
      </w:pPr>
    </w:p>
    <w:p w:rsidR="0074375A" w:rsidRPr="00B31BEB" w:rsidRDefault="0074375A" w:rsidP="0074375A">
      <w:pPr>
        <w:tabs>
          <w:tab w:val="center" w:pos="4800"/>
          <w:tab w:val="right" w:pos="9500"/>
        </w:tabs>
        <w:ind w:firstLine="720"/>
        <w:rPr>
          <w:noProof/>
        </w:rPr>
      </w:pPr>
      <w:r w:rsidRPr="00B31BEB">
        <w:rPr>
          <w:noProof/>
        </w:rPr>
        <w:t xml:space="preserve">Table 6 also shows that fit measures that penalize more for model complexity (i.e, cAIC and BIC) gave lower values for </w:t>
      </w:r>
      <w:r w:rsidRPr="00B31BEB">
        <w:rPr>
          <w:i/>
          <w:iCs/>
          <w:noProof/>
        </w:rPr>
        <w:t>Model 3</w:t>
      </w:r>
      <w:r w:rsidRPr="00B31BEB">
        <w:rPr>
          <w:noProof/>
        </w:rPr>
        <w:t xml:space="preserve"> compared to </w:t>
      </w:r>
      <w:r w:rsidRPr="00B31BEB">
        <w:rPr>
          <w:i/>
          <w:iCs/>
          <w:noProof/>
        </w:rPr>
        <w:t>Model 4</w:t>
      </w:r>
      <w:r w:rsidRPr="00B31BEB">
        <w:rPr>
          <w:noProof/>
        </w:rPr>
        <w:t xml:space="preserve">. In contrast, measures that penalize less for complexity (e.g., AIC) preferred </w:t>
      </w:r>
      <w:r w:rsidRPr="00B31BEB">
        <w:rPr>
          <w:i/>
          <w:iCs/>
          <w:noProof/>
        </w:rPr>
        <w:t>Model 4</w:t>
      </w:r>
      <w:r w:rsidRPr="00B31BEB">
        <w:rPr>
          <w:noProof/>
        </w:rPr>
        <w:t xml:space="preserve">. Indeed, given </w:t>
      </w:r>
      <w:r w:rsidRPr="00B31BEB">
        <w:rPr>
          <w:i/>
          <w:iCs/>
          <w:noProof/>
        </w:rPr>
        <w:t>Model 3</w:t>
      </w:r>
      <w:r w:rsidRPr="00B31BEB">
        <w:rPr>
          <w:noProof/>
        </w:rPr>
        <w:t xml:space="preserve"> is nested in </w:t>
      </w:r>
      <w:r w:rsidRPr="00B31BEB">
        <w:rPr>
          <w:i/>
          <w:iCs/>
          <w:noProof/>
        </w:rPr>
        <w:t>Model 4</w:t>
      </w:r>
      <w:r w:rsidRPr="00B31BEB">
        <w:rPr>
          <w:noProof/>
        </w:rPr>
        <w:t xml:space="preserve">, a likelihood ratio test in favour of </w:t>
      </w:r>
      <w:r w:rsidRPr="00B31BEB">
        <w:rPr>
          <w:i/>
          <w:iCs/>
          <w:noProof/>
        </w:rPr>
        <w:t>Model 3</w:t>
      </w:r>
      <w:r w:rsidRPr="00B31BEB">
        <w:rPr>
          <w:noProof/>
        </w:rPr>
        <w:t xml:space="preserve"> was conclusively rejected (LR-stat = 33.33, p-value &lt;0.01). The preference for </w:t>
      </w:r>
      <w:r w:rsidRPr="00B31BEB">
        <w:rPr>
          <w:i/>
          <w:iCs/>
          <w:noProof/>
        </w:rPr>
        <w:t>Model 4</w:t>
      </w:r>
      <w:r w:rsidRPr="00B31BEB">
        <w:rPr>
          <w:noProof/>
        </w:rPr>
        <w:t xml:space="preserve"> to </w:t>
      </w:r>
      <w:r w:rsidRPr="00B31BEB">
        <w:rPr>
          <w:i/>
          <w:iCs/>
          <w:noProof/>
        </w:rPr>
        <w:t>Model 3</w:t>
      </w:r>
      <w:r w:rsidRPr="00B31BEB">
        <w:rPr>
          <w:noProof/>
        </w:rPr>
        <w:t xml:space="preserve"> implies that the attendance probabilities can be explained by consumer heterogeneity.</w:t>
      </w:r>
    </w:p>
    <w:p w:rsidR="0074375A" w:rsidRPr="00B31BEB" w:rsidRDefault="0074375A" w:rsidP="0074375A">
      <w:pPr>
        <w:pStyle w:val="Heading2"/>
      </w:pPr>
      <w:r w:rsidRPr="00B31BEB">
        <w:lastRenderedPageBreak/>
        <w:t>Preference estimates</w:t>
      </w:r>
    </w:p>
    <w:p w:rsidR="0074375A" w:rsidRPr="00B31BEB" w:rsidRDefault="0074375A" w:rsidP="0074375A">
      <w:pPr>
        <w:tabs>
          <w:tab w:val="center" w:pos="4800"/>
          <w:tab w:val="right" w:pos="9500"/>
        </w:tabs>
        <w:ind w:firstLine="720"/>
        <w:rPr>
          <w:noProof/>
        </w:rPr>
      </w:pPr>
      <w:r w:rsidRPr="00B31BEB">
        <w:rPr>
          <w:noProof/>
        </w:rPr>
        <w:t>When interpreting the parameter estimates, it is necessary to note that estimates in models without and models with ANA are not directly comparable. Preference parameters in models without ANA hold for the entire sample. However, when ANA is included, the parameters are conditional on accounting for all attributes. To provide direct comparisons, parameter estimates for models with ANA in Tables 7 and 8 have been adjusted for attendance probability in columns annotated as Coef</w:t>
      </w:r>
      <w:r w:rsidRPr="00B31BEB">
        <w:rPr>
          <w:noProof/>
          <w:position w:val="-4"/>
        </w:rPr>
        <w:object w:dxaOrig="139" w:dyaOrig="300">
          <v:shape id="_x0000_i1098" type="#_x0000_t75" style="width:7.2pt;height:16.2pt" o:ole="">
            <v:imagedata r:id="rId150" o:title=""/>
          </v:shape>
          <o:OLEObject Type="Embed" ProgID="Equation.DSMT4" ShapeID="_x0000_i1098" DrawAspect="Content" ObjectID="_1649081700" r:id="rId151"/>
        </w:object>
      </w:r>
      <w:r w:rsidRPr="00B31BEB">
        <w:rPr>
          <w:noProof/>
        </w:rPr>
        <w:t>(SD).</w:t>
      </w:r>
    </w:p>
    <w:p w:rsidR="0074375A" w:rsidRPr="00B31BEB" w:rsidRDefault="0074375A" w:rsidP="0074375A">
      <w:pPr>
        <w:tabs>
          <w:tab w:val="center" w:pos="4800"/>
          <w:tab w:val="right" w:pos="9500"/>
        </w:tabs>
        <w:ind w:firstLine="720"/>
        <w:rPr>
          <w:noProof/>
        </w:rPr>
      </w:pPr>
      <w:r w:rsidRPr="00B31BEB">
        <w:rPr>
          <w:noProof/>
        </w:rPr>
        <w:t xml:space="preserve">Table 7 shows that in the MNL model without ANA, the impact of attributes on webshop choices differed greatly. The utility from choosing an optout, similar to the other three models, was negative and significant. This implies that e-consumers benefited more from choosing among webshop alternatives than from opting-out. Webshops that were trust-labelled, were Belgium-based, had higher ratings for ease of use and user-friendly interfaces and offered discounts on repeat purchases were preferred. Webshops with longer delivery time, higher delivery costs, longer transportation distances and consumer-borne return costs were not preferred. </w:t>
      </w:r>
      <w:r w:rsidRPr="00B31BEB">
        <w:rPr>
          <w:i/>
          <w:iCs/>
          <w:noProof/>
        </w:rPr>
        <w:t>Model 1</w:t>
      </w:r>
      <w:r w:rsidRPr="00B31BEB">
        <w:rPr>
          <w:noProof/>
        </w:rPr>
        <w:t xml:space="preserve"> also shows that the interaction effects for the trust label and distance attributes were significant. The direction of these interaction effects indicate that providing information reinforced the preference for trust-labelled webshops and non-preference for longer item delivery distances.</w:t>
      </w:r>
    </w:p>
    <w:p w:rsidR="00651EEF" w:rsidRPr="00B31BEB" w:rsidRDefault="00651EEF" w:rsidP="001A5DEC">
      <w:pPr>
        <w:tabs>
          <w:tab w:val="center" w:pos="4800"/>
          <w:tab w:val="right" w:pos="9500"/>
        </w:tabs>
        <w:ind w:firstLine="720"/>
        <w:rPr>
          <w:noProof/>
        </w:rPr>
      </w:pPr>
      <w:r w:rsidRPr="00B31BEB">
        <w:rPr>
          <w:i/>
          <w:iCs/>
          <w:noProof/>
        </w:rPr>
        <w:t>Model 2</w:t>
      </w:r>
      <w:r w:rsidRPr="00B31BEB">
        <w:rPr>
          <w:noProof/>
        </w:rPr>
        <w:t xml:space="preserve"> results in Table 7 show that the direction and significance of most estimates remained unchanged when static ANA was modelled. The delivery time (discount) attribute switched significance when un(adjusted) for ANA. The interaction term for the distance attribute also turned non-significant in </w:t>
      </w:r>
      <w:r w:rsidRPr="00B31BEB">
        <w:rPr>
          <w:i/>
          <w:iCs/>
          <w:noProof/>
        </w:rPr>
        <w:t>Model 2</w:t>
      </w:r>
      <w:r w:rsidRPr="00B31BEB">
        <w:rPr>
          <w:noProof/>
        </w:rPr>
        <w:t xml:space="preserve">. The trust label, headquarters and returning attributes had the highest impacts on webshop choices. In </w:t>
      </w:r>
      <w:r w:rsidRPr="00B31BEB">
        <w:rPr>
          <w:i/>
          <w:iCs/>
          <w:noProof/>
        </w:rPr>
        <w:t>Model 1</w:t>
      </w:r>
      <w:r w:rsidRPr="00B31BEB">
        <w:rPr>
          <w:noProof/>
        </w:rPr>
        <w:t xml:space="preserve">, two interaction effects were significant. In </w:t>
      </w:r>
      <w:r w:rsidRPr="00B31BEB">
        <w:rPr>
          <w:i/>
          <w:iCs/>
          <w:noProof/>
        </w:rPr>
        <w:t>Model 2</w:t>
      </w:r>
      <w:r w:rsidRPr="00B31BEB">
        <w:rPr>
          <w:noProof/>
        </w:rPr>
        <w:t xml:space="preserve">, only the interaction effect </w:t>
      </w:r>
      <w:r w:rsidRPr="00B31BEB">
        <w:rPr>
          <w:noProof/>
        </w:rPr>
        <w:lastRenderedPageBreak/>
        <w:t>for the trust lab</w:t>
      </w:r>
      <w:bookmarkStart w:id="0" w:name="_GoBack"/>
      <w:bookmarkEnd w:id="0"/>
      <w:r w:rsidRPr="00B31BEB">
        <w:rPr>
          <w:noProof/>
        </w:rPr>
        <w:t xml:space="preserve">el was significant. The effect of information on trust labelled webshops in </w:t>
      </w:r>
      <w:r w:rsidRPr="00B31BEB">
        <w:rPr>
          <w:i/>
          <w:iCs/>
          <w:noProof/>
        </w:rPr>
        <w:t>Model 2</w:t>
      </w:r>
      <w:r w:rsidRPr="00B31BEB">
        <w:rPr>
          <w:noProof/>
        </w:rPr>
        <w:t xml:space="preserve"> was double the effect realized in </w:t>
      </w:r>
      <w:r w:rsidRPr="00B31BEB">
        <w:rPr>
          <w:i/>
          <w:iCs/>
          <w:noProof/>
        </w:rPr>
        <w:t>Model 1</w:t>
      </w:r>
      <w:r w:rsidRPr="00B31BEB">
        <w:rPr>
          <w:noProof/>
        </w:rPr>
        <w:t xml:space="preserve">. Table 7 also shows that the estimates in models 1 and 2 were often (slightly) different. The significance for some estimates also changed between models 1 and 2. These observations are in line with findings in the literature showing that failure to model ANA behavior may lead to unreliable results </w:t>
      </w:r>
      <w:r w:rsidR="000A3492" w:rsidRPr="00B31BEB">
        <w:rPr>
          <w:rStyle w:val="FootnoteReference"/>
          <w:noProof/>
        </w:rPr>
        <w:fldChar w:fldCharType="begin" w:fldLock="1"/>
      </w:r>
      <w:r w:rsidR="00E23587" w:rsidRPr="00B31BEB">
        <w:rPr>
          <w:noProof/>
        </w:rPr>
        <w:instrText>ADDIN CSL_CITATION {"citationItems":[{"id":"ITEM-1","itemData":{"DOI":"10.1007/s11116-004-7613-8","ISSN":"0049-4488","abstract":"Individuals processing the information in a stated choice experiment are typically assumed to evaluate each and every attribute offered within and between alternatives, and to choose their most preferred alternative. However, it has always been thought that some attributes are ignored in this process for many reasons, including a coping strategy to handle one’s perception of the complexity of the choice task. Nonetheless, analysts typically proceed to estimate discrete choice models as if all attributes have influenced the outcome to some degree. The cognitive processes used to evaluate trade-offs are complex with boundaries often placed on the task to assist the respondent. These boundaries can include prioritising attributes and ignoring specific attributes. In this paper we investigate the implications of bounding the information processing task by attribute elimination through ignoring one or more attributes. Using a sample of car commuters in Sydney we estimate mixed logit models that assume all attributes are candidate contributors, and models that assume certain attributes are ignored, the latter based on supplementary information provided by respondents. We compare the value of travel time savings under the alternative attribute processing regimes. Assuming that all attributes are not ignored and duly processed, leads to estimates of parameters which produce significantly different willingness to pay (WTP) to that obtained when the exclusion rule is invoked.","author":[{"dropping-particle":"","family":"Hensher","given":"David A.","non-dropping-particle":"","parse-names":false,"suffix":""},{"dropping-particle":"","family":"Rose","given":"John","non-dropping-particle":"","parse-names":false,"suffix":""},{"dropping-particle":"","family":"Greene","given":"William H.","non-dropping-particle":"","parse-names":false,"suffix":""}],"container-title":"Transportation","id":"ITEM-1","issue":"3","issued":{"date-parts":[["2005"]]},"page":"203-222","title":"The implications on willingness to pay of respondents ignoring specific attributes","type":"article-journal","volume":"32"},"uris":["http://www.mendeley.com/documents/?uuid=d76f9153-bd52-4057-969f-a74f220c9da3"]},{"id":"ITEM-2","itemData":{"DOI":"10.1093/erae/jbp012","ISBN":"0165-1587","ISSN":"01651587","PMID":"20093261227","abstract":"Non-market effects of agriculture are often estimated using discrete choice models from stated preference surveys. In this context we propose two ways of modelling attribute non-attendance. The first involves constraining coefficients to zero in a latent class framework, whereas the second is based on stochastic attribute selection and grounded in Bayesian estimation. Their implications are explored in the context of a stated preference survey designed to value landscapes in Ireland. Taking account of attribute non-attendance with these data improves fit and tends to involve two attributes one of which is likely to be cost, thereby leading to substantive changes in derived welfare estimates. © Oxford University Press and Foundation for the European Review of Agricultural Economics 2009; all rights reserved.","author":[{"dropping-particle":"","family":"Scarpa","given":"Riccardo","non-dropping-particle":"","parse-names":false,"suffix":""},{"dropping-particle":"","family":"Gilbride","given":"Timothy J.","non-dropping-particle":"","parse-names":false,"suffix":""},{"dropping-particle":"","family":"Campbell","given":"Danny","non-dropping-particle":"","parse-names":false,"suffix":""},{"dropping-particle":"","family":"Hensher","given":"David A.","non-dropping-particle":"","parse-names":false,"suffix":""}],"container-title":"European Review of Agricultural Economics","id":"ITEM-2","issue":"2","issued":{"date-parts":[["2009"]]},"page":"151-174","title":"Modelling attribute non-attendance in choice experiments for rural landscape valuation","type":"article-journal","volume":"36"},"uris":["http://www.mendeley.com/documents/?uuid=439f07bd-ddbc-47e0-aa99-5a776535bf11"]},{"id":"ITEM-3","itemData":{"DOI":"10.1016/j.econlet.2010.11.033","ISSN":"01651765","abstract":"This paper develops a discrete choice model in which the decision to consider an attribute in the choice process is modelled endogenously. In an application to patients' choice of general practitioner it is found that the proposed model outperforms the standard logit model in terms of goodness of fit and produces substantially different estimates of willingness to pay. © 2010 Elsevier B.V.","author":[{"dropping-particle":"","family":"Hole","given":"Arne Risa","non-dropping-particle":"","parse-names":false,"suffix":""}],"container-title":"Economics Letters","id":"ITEM-3","issue":"3","issued":{"date-parts":[["2011"]]},"page":"203-205","title":"A discrete choice model with endogenous attribute attendance","type":"article-journal","volume":"110"},"uris":["http://www.mendeley.com/documents/?uuid=5662ee3c-a6f3-42b2-983b-10d425b6ed72"]},{"id":"ITEM-4","itemData":{"DOI":"10.1016/j.jebo.2013.09.009","ISSN":"01672681","abstract":"It is increasingly recognised that respondents to choice experiments employ heuristics such as attribute non-attendance (ANA) to simplify the choice tasks. This paper develops an econometric model which incorporates preference heterogeneity among respondents and allows the probability of non-attendance to depend on the respondents' stated non-attendance. We find evidence that stated ANA is a useful indicator of the prevalence of non-attendance in the data. Contrary to previous papers in the literature we find that estimates of marginal rates of substitution derived from models which account for ANA are similar to the standard logit estimates. © 2013 Elsevier B.V.","author":[{"dropping-particle":"","family":"Hole","given":"Arne Risa","non-dropping-particle":"","parse-names":false,"suffix":""},{"dropping-particle":"","family":"Kolstad","given":"Julie Riise","non-dropping-particle":"","parse-names":false,"suffix":""},{"dropping-particle":"","family":"Gyrd-Hansen","given":"Dorte","non-dropping-particle":"","parse-names":false,"suffix":""}],"container-title":"Journal of Economic Behavior and Organization","id":"ITEM-4","issued":{"date-parts":[["2013"]]},"page":"21-31","title":"Inferred vs. stated attribute non-attendance in choice experiments: A study of doctors' prescription behaviour","type":"article-journal","volume":"96"},"uris":["http://www.mendeley.com/documents/?uuid=fd93371c-7f72-46e5-9e36-3ec0e9e67bc0"]},{"id":"ITEM-5","itemData":{"DOI":"10.1007/s11116-012-9438-1","ISSN":"00494488","abstract":"With the growing interest in the topic of attribute non-attendance, there is now widespread use of latent class (LC) structures aimed at capturing such behaviour, across a number of different fields. Specifically, these studies rely on a confirmatory LC model, using two separate values for each coefficient, one of which is fixed to zero while the other is estimated, and then use the obtained class probabilities as an indication of the degree of attribute non-attendance. In the present paper, we argue that this approach is in fact misguided, and that the results are likely to be affected by confounding with regular taste heterogeneity. We contrast the confirmatory model with an exploratory LC structure in which the values in both classes are estimated. We also put forward a combined latent class mixed logit model (LC-MMNL) which allows jointly for attribute non-attendance and for continuous taste heterogeneity. Across three separate case studies, the exploratory LC model clearly rejects the confirmatory LC approach and suggests that rates of non-attendance may be much lower than what is suggested by the standard model, or even zero. The combined LC-MMNL model similarly produces significant improvements in model fit, along with substantial reductions in the implied rate of attribute non-attendance, in some cases even eliminating the phenomena across the sample population. Our results thus call for a reappraisal of the large body of recent work that has implied high rates of attribute non-attendance for some attributes. Finally, we also highlight a number of general issues with attribute non-attendance, in particular relating to the computation of willingness to pay measures. © 2012 Springer Science+Business Media, LLC.","author":[{"dropping-particle":"","family":"Hess","given":"Stephane","non-dropping-particle":"","parse-names":false,"suffix":""},{"dropping-particle":"","family":"Stathopoulos","given":"Amanda","non-dropping-particle":"","parse-names":false,"suffix":""},{"dropping-particle":"","family":"Campbell","given":"Danny","non-dropping-particle":"","parse-names":false,"suffix":""},{"dropping-particle":"","family":"O'Neill","given":"Vikki","non-dropping-particle":"","parse-names":false,"suffix":""},{"dropping-particle":"","family":"Caussade","given":"Sebastian","non-dropping-particle":"","parse-names":false,"suffix":""}],"container-title":"Transportation","id":"ITEM-5","issue":"3","issued":{"date-parts":[["2013"]]},"page":"583-607","title":"It's not that I don't care, I just don't care very much: Confounding between attribute non-attendance and taste heterogeneity","type":"article-journal","volume":"40"},"uris":["http://www.mendeley.com/documents/?uuid=24bd8dc7-9856-4683-87f8-035739244fd6"]},{"id":"ITEM-6","itemData":{"DOI":"10.1002/hec.2824","ISSN":"10579230","abstract":"A growing literature, mainly from transport and environment economics, has started to explore whether respondents violate some of the axioms about individuals' preferences in Discrete Choice Experiments (DCEs) and use simple strategies to make their choices. One of these strategies, termed attribute non-attendance (ANA), consists in ignoring one or more attributes. Using data from a DCE administered to healthcare providers in Ghana to evaluate their potential resistance to changes in clinical guidelines, this study illustrates how latent class models can be used in a step-wise approach to account for all possible ANA strategies used by respondents and explore the consequences of such behaviours. Results show that less than 3% of respondents considered all attributes when choosing between the two hypothetical scenarios proposed, with a majority looking at only one or two attributes. Accounting for ANA strategies improved the goodness-of-fit of the model and affected the magnitude of some of the coefficient and willingness-to-pay estimates. However, there was no difference in the predicted probabilities of the model taking into account ANA and the standard approach. Although the latter result is reassuring about the ability of DCEs to produce unbiased policy guidance, it should be confirmed by other studies. Copyright © 2012 John Wiley &amp; Sons, Ltd. Copyright © 2012 John Wiley &amp; Sons, Ltd.","author":[{"dropping-particle":"","family":"Lagarde","given":"Mylene","non-dropping-particle":"","parse-names":false,"suffix":""}],"container-title":"Health Economics (United Kingdom)","id":"ITEM-6","issue":"5","issued":{"date-parts":[["2013"]]},"page":"554-567","title":"Investigating attribute non-attendance and its consequences in choice experiments with latent class models","type":"article-journal","volume":"22"},"uris":["http://www.mendeley.com/documents/?uuid=f8b1c0e1-67f5-4381-9a28-67460e0d1b19"]}],"mendeley":{"formattedCitation":"[27; 29; 31; 32; 40; 71]","plainTextFormattedCitation":"[27; 29; 31; 32; 40; 71]","previouslyFormattedCitation":"[27; 29; 31; 32; 40; 71]"},"properties":{"noteIndex":0},"schema":"https://github.com/citation-style-language/schema/raw/master/csl-citation.json"}</w:instrText>
      </w:r>
      <w:r w:rsidR="000A3492" w:rsidRPr="00B31BEB">
        <w:rPr>
          <w:rStyle w:val="FootnoteReference"/>
          <w:noProof/>
        </w:rPr>
        <w:fldChar w:fldCharType="separate"/>
      </w:r>
      <w:r w:rsidR="00F8005E" w:rsidRPr="00B31BEB">
        <w:rPr>
          <w:noProof/>
        </w:rPr>
        <w:t>[27; 29; 31; 32; 40; 71]</w:t>
      </w:r>
      <w:r w:rsidR="000A3492" w:rsidRPr="00B31BEB">
        <w:rPr>
          <w:rStyle w:val="FootnoteReference"/>
          <w:noProof/>
        </w:rPr>
        <w:fldChar w:fldCharType="end"/>
      </w:r>
      <w:r w:rsidRPr="00B31BEB">
        <w:rPr>
          <w:noProof/>
        </w:rPr>
        <w:t>.</w:t>
      </w:r>
    </w:p>
    <w:p w:rsidR="00E36878" w:rsidRDefault="00651EEF" w:rsidP="00915C1C">
      <w:pPr>
        <w:tabs>
          <w:tab w:val="center" w:pos="4800"/>
          <w:tab w:val="right" w:pos="9500"/>
        </w:tabs>
        <w:ind w:firstLine="720"/>
        <w:rPr>
          <w:noProof/>
        </w:rPr>
      </w:pPr>
      <w:r w:rsidRPr="00B31BEB">
        <w:rPr>
          <w:noProof/>
        </w:rPr>
        <w:t xml:space="preserve">Table 8 shows results for </w:t>
      </w:r>
      <w:r w:rsidRPr="00B31BEB">
        <w:rPr>
          <w:i/>
          <w:iCs/>
          <w:noProof/>
        </w:rPr>
        <w:t>Model 3</w:t>
      </w:r>
      <w:r w:rsidRPr="00B31BEB">
        <w:rPr>
          <w:noProof/>
        </w:rPr>
        <w:t xml:space="preserve"> where the switching ANA behavior was modeled. Like in models 1 and 2, the impacts of attributes on webshop choices differed considerably. The trust label, headquarters, returning and distance attributes now have the highest impact on webshop choices. The non-significance of the delivery time and the attendance-adjusted discount attributes remained. In addition, the significance of the</w:t>
      </w:r>
      <w:r w:rsidR="00E36878" w:rsidRPr="00B31BEB">
        <w:rPr>
          <w:noProof/>
        </w:rPr>
        <w:t xml:space="preserve"> distance attribute in the first block was lost when adjusted for its initial attendance probability. This shows that pre-information, these consumers were less concerned about the negative environmental impacts of transporting items over long distances.</w:t>
      </w:r>
    </w:p>
    <w:p w:rsidR="000019AC" w:rsidRPr="00B31BEB" w:rsidRDefault="000019AC" w:rsidP="000019AC">
      <w:pPr>
        <w:pStyle w:val="Heading2"/>
      </w:pPr>
      <w:r w:rsidRPr="00B31BEB">
        <w:t>Attribute non-attendance</w:t>
      </w:r>
    </w:p>
    <w:p w:rsidR="000019AC" w:rsidRPr="00B31BEB" w:rsidRDefault="000019AC" w:rsidP="000019AC">
      <w:pPr>
        <w:tabs>
          <w:tab w:val="center" w:pos="4800"/>
          <w:tab w:val="right" w:pos="9500"/>
        </w:tabs>
        <w:ind w:firstLine="720"/>
        <w:rPr>
          <w:noProof/>
        </w:rPr>
      </w:pPr>
      <w:r w:rsidRPr="00B31BEB">
        <w:rPr>
          <w:noProof/>
        </w:rPr>
        <w:t>As shown by the results of the static ANA model in Table 7, e-consumers mostly attended to the cost-related and the trust label attributes. The delivery price attribute was attended to by 42% of the consumers, while 51% and 46% respectively attended to the returning and trust label attributes. The least attended to attributes were distance (8%) and discount (2%).</w:t>
      </w:r>
    </w:p>
    <w:p w:rsidR="0074375A" w:rsidRDefault="0074375A" w:rsidP="00915C1C">
      <w:pPr>
        <w:tabs>
          <w:tab w:val="center" w:pos="4800"/>
          <w:tab w:val="right" w:pos="9500"/>
        </w:tabs>
        <w:ind w:firstLine="720"/>
        <w:rPr>
          <w:noProof/>
        </w:rPr>
      </w:pPr>
    </w:p>
    <w:p w:rsidR="0074375A" w:rsidRDefault="0074375A" w:rsidP="00915C1C">
      <w:pPr>
        <w:tabs>
          <w:tab w:val="center" w:pos="4800"/>
          <w:tab w:val="right" w:pos="9500"/>
        </w:tabs>
        <w:ind w:firstLine="720"/>
        <w:rPr>
          <w:noProof/>
        </w:rPr>
      </w:pPr>
    </w:p>
    <w:p w:rsidR="00837993" w:rsidRDefault="00837993" w:rsidP="00915C1C">
      <w:pPr>
        <w:tabs>
          <w:tab w:val="center" w:pos="4800"/>
          <w:tab w:val="right" w:pos="9500"/>
        </w:tabs>
        <w:ind w:firstLine="720"/>
        <w:rPr>
          <w:noProof/>
        </w:rPr>
      </w:pPr>
    </w:p>
    <w:p w:rsidR="00837993" w:rsidRDefault="00837993" w:rsidP="00915C1C">
      <w:pPr>
        <w:tabs>
          <w:tab w:val="center" w:pos="4800"/>
          <w:tab w:val="right" w:pos="9500"/>
        </w:tabs>
        <w:ind w:firstLine="720"/>
        <w:rPr>
          <w:noProof/>
        </w:rPr>
      </w:pPr>
    </w:p>
    <w:p w:rsidR="00837993" w:rsidRPr="00B31BEB" w:rsidRDefault="00837993" w:rsidP="00915C1C">
      <w:pPr>
        <w:tabs>
          <w:tab w:val="center" w:pos="4800"/>
          <w:tab w:val="right" w:pos="9500"/>
        </w:tabs>
        <w:ind w:firstLine="720"/>
        <w:rPr>
          <w:noProof/>
        </w:rPr>
      </w:pPr>
    </w:p>
    <w:p w:rsidR="00566DBA" w:rsidRPr="00B31BEB" w:rsidRDefault="00546AFD" w:rsidP="00DE75BE">
      <w:pPr>
        <w:tabs>
          <w:tab w:val="center" w:pos="4800"/>
          <w:tab w:val="right" w:pos="9500"/>
        </w:tabs>
        <w:ind w:firstLine="720"/>
        <w:jc w:val="both"/>
        <w:rPr>
          <w:noProof/>
        </w:rPr>
      </w:pPr>
      <w:r w:rsidRPr="00B31BEB">
        <w:lastRenderedPageBreak/>
        <w:t xml:space="preserve">Table </w:t>
      </w:r>
      <w:r w:rsidR="0029012B" w:rsidRPr="00B31BEB">
        <w:t>7</w:t>
      </w:r>
      <w:r w:rsidRPr="00B31BEB">
        <w:t xml:space="preserve">. </w:t>
      </w:r>
      <w:r w:rsidR="00B90B1E" w:rsidRPr="00B31BEB">
        <w:rPr>
          <w:noProof/>
        </w:rPr>
        <w:t xml:space="preserve">Multinomial logit (MNL) models without and with </w:t>
      </w:r>
      <w:r w:rsidR="00B90B1E" w:rsidRPr="00B31BEB">
        <w:rPr>
          <w:noProof/>
          <w:position w:val="-6"/>
        </w:rPr>
        <w:object w:dxaOrig="639" w:dyaOrig="279">
          <v:shape id="_x0000_i1099" type="#_x0000_t75" style="width:31.8pt;height:13.8pt" o:ole="">
            <v:imagedata r:id="rId152" o:title=""/>
          </v:shape>
          <o:OLEObject Type="Embed" ProgID="Equation.DSMT4" ShapeID="_x0000_i1099" DrawAspect="Content" ObjectID="_1649081701" r:id="rId153"/>
        </w:object>
      </w:r>
      <w:r w:rsidR="00B90B1E" w:rsidRPr="00B31BEB">
        <w:rPr>
          <w:noProof/>
        </w:rPr>
        <w:t xml:space="preserve"> ANA results</w:t>
      </w:r>
    </w:p>
    <w:tbl>
      <w:tblPr>
        <w:tblStyle w:val="TableGrid"/>
        <w:tblW w:w="8559" w:type="dxa"/>
        <w:jc w:val="center"/>
        <w:tblLook w:val="04A0" w:firstRow="1" w:lastRow="0" w:firstColumn="1" w:lastColumn="0" w:noHBand="0" w:noVBand="1"/>
      </w:tblPr>
      <w:tblGrid>
        <w:gridCol w:w="1662"/>
        <w:gridCol w:w="1883"/>
        <w:gridCol w:w="1558"/>
        <w:gridCol w:w="1996"/>
        <w:gridCol w:w="1454"/>
        <w:gridCol w:w="6"/>
      </w:tblGrid>
      <w:tr w:rsidR="00B31BEB" w:rsidRPr="00B31BEB" w:rsidTr="001A5DEC">
        <w:trPr>
          <w:jc w:val="center"/>
        </w:trPr>
        <w:tc>
          <w:tcPr>
            <w:tcW w:w="1662" w:type="dxa"/>
            <w:tcBorders>
              <w:top w:val="single" w:sz="4" w:space="0" w:color="auto"/>
              <w:left w:val="nil"/>
              <w:bottom w:val="nil"/>
              <w:right w:val="nil"/>
            </w:tcBorders>
          </w:tcPr>
          <w:p w:rsidR="006D398C" w:rsidRPr="00B31BEB" w:rsidRDefault="006D398C" w:rsidP="00DE75BE">
            <w:pPr>
              <w:tabs>
                <w:tab w:val="center" w:pos="4800"/>
                <w:tab w:val="right" w:pos="9500"/>
              </w:tabs>
              <w:jc w:val="both"/>
              <w:rPr>
                <w:noProof/>
              </w:rPr>
            </w:pPr>
          </w:p>
        </w:tc>
        <w:tc>
          <w:tcPr>
            <w:tcW w:w="1883" w:type="dxa"/>
            <w:tcBorders>
              <w:top w:val="single" w:sz="4" w:space="0" w:color="auto"/>
              <w:left w:val="nil"/>
              <w:bottom w:val="nil"/>
              <w:right w:val="nil"/>
            </w:tcBorders>
          </w:tcPr>
          <w:p w:rsidR="006D398C" w:rsidRPr="00B31BEB" w:rsidRDefault="006D398C" w:rsidP="00DE75BE">
            <w:pPr>
              <w:tabs>
                <w:tab w:val="center" w:pos="4800"/>
                <w:tab w:val="right" w:pos="9500"/>
              </w:tabs>
              <w:jc w:val="both"/>
              <w:rPr>
                <w:noProof/>
              </w:rPr>
            </w:pPr>
            <w:r w:rsidRPr="00B31BEB">
              <w:rPr>
                <w:noProof/>
              </w:rPr>
              <w:t>MNL (</w:t>
            </w:r>
            <w:r w:rsidRPr="00B31BEB">
              <w:rPr>
                <w:i/>
                <w:noProof/>
              </w:rPr>
              <w:t>Model 1</w:t>
            </w:r>
            <w:r w:rsidRPr="00B31BEB">
              <w:rPr>
                <w:noProof/>
              </w:rPr>
              <w:t>)</w:t>
            </w:r>
          </w:p>
        </w:tc>
        <w:tc>
          <w:tcPr>
            <w:tcW w:w="5014" w:type="dxa"/>
            <w:gridSpan w:val="4"/>
            <w:tcBorders>
              <w:top w:val="single" w:sz="4" w:space="0" w:color="auto"/>
              <w:left w:val="nil"/>
              <w:bottom w:val="nil"/>
              <w:right w:val="nil"/>
            </w:tcBorders>
          </w:tcPr>
          <w:p w:rsidR="006D398C" w:rsidRPr="00B31BEB" w:rsidRDefault="006D398C" w:rsidP="00FF2742">
            <w:pPr>
              <w:tabs>
                <w:tab w:val="center" w:pos="4800"/>
                <w:tab w:val="right" w:pos="9500"/>
              </w:tabs>
              <w:jc w:val="center"/>
              <w:rPr>
                <w:noProof/>
              </w:rPr>
            </w:pPr>
            <w:r w:rsidRPr="00B31BEB">
              <w:rPr>
                <w:noProof/>
              </w:rPr>
              <w:t>MNL with Static ANA (</w:t>
            </w:r>
            <w:r w:rsidRPr="00B31BEB">
              <w:rPr>
                <w:i/>
                <w:noProof/>
              </w:rPr>
              <w:t>Model 2)</w:t>
            </w:r>
          </w:p>
        </w:tc>
      </w:tr>
      <w:tr w:rsidR="00B31BEB" w:rsidRPr="00B31BEB" w:rsidTr="001A5DEC">
        <w:trPr>
          <w:gridAfter w:val="1"/>
          <w:wAfter w:w="6" w:type="dxa"/>
          <w:jc w:val="center"/>
        </w:trPr>
        <w:tc>
          <w:tcPr>
            <w:tcW w:w="1662" w:type="dxa"/>
            <w:tcBorders>
              <w:top w:val="nil"/>
              <w:left w:val="nil"/>
              <w:bottom w:val="single" w:sz="4" w:space="0" w:color="auto"/>
              <w:right w:val="nil"/>
            </w:tcBorders>
          </w:tcPr>
          <w:p w:rsidR="00DE75BE" w:rsidRPr="00B31BEB" w:rsidRDefault="00DE75BE" w:rsidP="00DE75BE">
            <w:pPr>
              <w:tabs>
                <w:tab w:val="center" w:pos="4800"/>
                <w:tab w:val="right" w:pos="9500"/>
              </w:tabs>
              <w:jc w:val="both"/>
              <w:rPr>
                <w:noProof/>
              </w:rPr>
            </w:pPr>
            <w:r w:rsidRPr="00B31BEB">
              <w:rPr>
                <w:noProof/>
              </w:rPr>
              <w:t>Attribute</w:t>
            </w:r>
          </w:p>
        </w:tc>
        <w:tc>
          <w:tcPr>
            <w:tcW w:w="1883" w:type="dxa"/>
            <w:tcBorders>
              <w:top w:val="nil"/>
              <w:left w:val="nil"/>
              <w:bottom w:val="single" w:sz="4" w:space="0" w:color="auto"/>
              <w:right w:val="nil"/>
            </w:tcBorders>
          </w:tcPr>
          <w:p w:rsidR="00DE75BE" w:rsidRPr="00B31BEB" w:rsidRDefault="00DE75BE" w:rsidP="00DE75BE">
            <w:pPr>
              <w:tabs>
                <w:tab w:val="center" w:pos="4800"/>
                <w:tab w:val="right" w:pos="9500"/>
              </w:tabs>
              <w:jc w:val="both"/>
              <w:rPr>
                <w:noProof/>
              </w:rPr>
            </w:pPr>
            <w:r w:rsidRPr="00B31BEB">
              <w:rPr>
                <w:noProof/>
              </w:rPr>
              <w:t>Coef (SD)</w:t>
            </w:r>
          </w:p>
        </w:tc>
        <w:tc>
          <w:tcPr>
            <w:tcW w:w="1558" w:type="dxa"/>
            <w:tcBorders>
              <w:top w:val="nil"/>
              <w:left w:val="nil"/>
              <w:bottom w:val="single" w:sz="4" w:space="0" w:color="auto"/>
              <w:right w:val="nil"/>
            </w:tcBorders>
          </w:tcPr>
          <w:p w:rsidR="00DE75BE" w:rsidRPr="00B31BEB" w:rsidRDefault="00DE75BE" w:rsidP="00DE75BE">
            <w:pPr>
              <w:tabs>
                <w:tab w:val="center" w:pos="4800"/>
                <w:tab w:val="right" w:pos="9500"/>
              </w:tabs>
              <w:jc w:val="both"/>
              <w:rPr>
                <w:noProof/>
              </w:rPr>
            </w:pPr>
            <w:r w:rsidRPr="00B31BEB">
              <w:rPr>
                <w:noProof/>
              </w:rPr>
              <w:t>Coef</w:t>
            </w:r>
            <w:r w:rsidRPr="00B31BEB">
              <w:rPr>
                <w:position w:val="-4"/>
              </w:rPr>
              <w:object w:dxaOrig="220" w:dyaOrig="300">
                <v:shape id="_x0000_i1100" type="#_x0000_t75" style="width:11.4pt;height:16.2pt" o:ole="">
                  <v:imagedata r:id="rId154" o:title=""/>
                </v:shape>
                <o:OLEObject Type="Embed" ProgID="Equation.DSMT4" ShapeID="_x0000_i1100" DrawAspect="Content" ObjectID="_1649081702" r:id="rId155"/>
              </w:object>
            </w:r>
            <w:r w:rsidRPr="00B31BEB">
              <w:rPr>
                <w:noProof/>
              </w:rPr>
              <w:t xml:space="preserve"> (SD)</w:t>
            </w:r>
          </w:p>
        </w:tc>
        <w:tc>
          <w:tcPr>
            <w:tcW w:w="1996" w:type="dxa"/>
            <w:tcBorders>
              <w:top w:val="nil"/>
              <w:left w:val="nil"/>
              <w:bottom w:val="single" w:sz="4" w:space="0" w:color="auto"/>
              <w:right w:val="nil"/>
            </w:tcBorders>
          </w:tcPr>
          <w:p w:rsidR="004E4EA8" w:rsidRPr="00B31BEB" w:rsidRDefault="004E4EA8" w:rsidP="004E4EA8">
            <w:pPr>
              <w:tabs>
                <w:tab w:val="center" w:pos="4800"/>
                <w:tab w:val="right" w:pos="9500"/>
              </w:tabs>
              <w:jc w:val="both"/>
              <w:rPr>
                <w:noProof/>
              </w:rPr>
            </w:pPr>
            <w:r w:rsidRPr="00B31BEB">
              <w:rPr>
                <w:noProof/>
              </w:rPr>
              <w:t>Attendance (</w:t>
            </w:r>
            <w:r w:rsidRPr="00B31BEB">
              <w:rPr>
                <w:position w:val="-14"/>
              </w:rPr>
              <w:object w:dxaOrig="260" w:dyaOrig="380">
                <v:shape id="_x0000_i1101" type="#_x0000_t75" style="width:12.6pt;height:18.6pt" o:ole="">
                  <v:imagedata r:id="rId156" o:title=""/>
                </v:shape>
                <o:OLEObject Type="Embed" ProgID="Equation.DSMT4" ShapeID="_x0000_i1101" DrawAspect="Content" ObjectID="_1649081703" r:id="rId157"/>
              </w:object>
            </w:r>
            <w:r w:rsidRPr="00B31BEB">
              <w:rPr>
                <w:noProof/>
              </w:rPr>
              <w:t xml:space="preserve">) </w:t>
            </w:r>
          </w:p>
          <w:p w:rsidR="00DE75BE" w:rsidRPr="00B31BEB" w:rsidRDefault="004E4EA8" w:rsidP="004E4EA8">
            <w:pPr>
              <w:tabs>
                <w:tab w:val="center" w:pos="4800"/>
                <w:tab w:val="right" w:pos="9500"/>
              </w:tabs>
              <w:jc w:val="both"/>
              <w:rPr>
                <w:noProof/>
              </w:rPr>
            </w:pPr>
            <w:r w:rsidRPr="00B31BEB">
              <w:rPr>
                <w:noProof/>
              </w:rPr>
              <w:t>p</w:t>
            </w:r>
            <w:r w:rsidR="00DE75BE" w:rsidRPr="00B31BEB">
              <w:rPr>
                <w:noProof/>
              </w:rPr>
              <w:t>rob (L, U)</w:t>
            </w:r>
          </w:p>
        </w:tc>
        <w:tc>
          <w:tcPr>
            <w:tcW w:w="1454" w:type="dxa"/>
            <w:tcBorders>
              <w:top w:val="nil"/>
              <w:left w:val="nil"/>
              <w:bottom w:val="single" w:sz="4" w:space="0" w:color="auto"/>
              <w:right w:val="nil"/>
            </w:tcBorders>
          </w:tcPr>
          <w:p w:rsidR="00DE75BE" w:rsidRPr="00B31BEB" w:rsidRDefault="00DE75BE" w:rsidP="00DE75BE">
            <w:pPr>
              <w:tabs>
                <w:tab w:val="center" w:pos="4800"/>
                <w:tab w:val="right" w:pos="9500"/>
              </w:tabs>
              <w:jc w:val="both"/>
              <w:rPr>
                <w:noProof/>
              </w:rPr>
            </w:pPr>
            <w:r w:rsidRPr="00B31BEB">
              <w:rPr>
                <w:noProof/>
              </w:rPr>
              <w:t>Coef</w:t>
            </w:r>
            <w:r w:rsidRPr="00B31BEB">
              <w:rPr>
                <w:position w:val="-4"/>
              </w:rPr>
              <w:object w:dxaOrig="139" w:dyaOrig="300">
                <v:shape id="_x0000_i1102" type="#_x0000_t75" style="width:6.6pt;height:16.2pt" o:ole="">
                  <v:imagedata r:id="rId158" o:title=""/>
                </v:shape>
                <o:OLEObject Type="Embed" ProgID="Equation.DSMT4" ShapeID="_x0000_i1102" DrawAspect="Content" ObjectID="_1649081704" r:id="rId159"/>
              </w:object>
            </w:r>
            <w:r w:rsidRPr="00B31BEB">
              <w:rPr>
                <w:noProof/>
              </w:rPr>
              <w:t xml:space="preserve"> (SD)</w:t>
            </w:r>
          </w:p>
        </w:tc>
      </w:tr>
      <w:tr w:rsidR="00B31BEB" w:rsidRPr="00B31BEB" w:rsidTr="001A5DEC">
        <w:trPr>
          <w:gridAfter w:val="1"/>
          <w:wAfter w:w="6" w:type="dxa"/>
          <w:jc w:val="center"/>
        </w:trPr>
        <w:tc>
          <w:tcPr>
            <w:tcW w:w="1662" w:type="dxa"/>
            <w:tcBorders>
              <w:top w:val="single" w:sz="4" w:space="0" w:color="auto"/>
              <w:left w:val="nil"/>
              <w:bottom w:val="nil"/>
              <w:right w:val="nil"/>
            </w:tcBorders>
          </w:tcPr>
          <w:p w:rsidR="00E94F78" w:rsidRPr="00B31BEB" w:rsidRDefault="00E94F78" w:rsidP="00E94F78">
            <w:pPr>
              <w:tabs>
                <w:tab w:val="center" w:pos="4800"/>
                <w:tab w:val="right" w:pos="9500"/>
              </w:tabs>
              <w:jc w:val="both"/>
              <w:rPr>
                <w:noProof/>
              </w:rPr>
            </w:pPr>
            <w:r w:rsidRPr="00B31BEB">
              <w:t>OptOut</w:t>
            </w:r>
          </w:p>
        </w:tc>
        <w:tc>
          <w:tcPr>
            <w:tcW w:w="1883" w:type="dxa"/>
            <w:tcBorders>
              <w:top w:val="single" w:sz="4" w:space="0" w:color="auto"/>
              <w:left w:val="nil"/>
              <w:bottom w:val="nil"/>
              <w:right w:val="nil"/>
            </w:tcBorders>
          </w:tcPr>
          <w:p w:rsidR="00E94F78" w:rsidRPr="00B31BEB" w:rsidRDefault="00E94F78" w:rsidP="00E94F78">
            <w:pPr>
              <w:tabs>
                <w:tab w:val="center" w:pos="4800"/>
                <w:tab w:val="right" w:pos="9500"/>
              </w:tabs>
              <w:jc w:val="both"/>
              <w:rPr>
                <w:noProof/>
              </w:rPr>
            </w:pPr>
            <w:r w:rsidRPr="00B31BEB">
              <w:t>-3.46 (0.22)</w:t>
            </w:r>
          </w:p>
        </w:tc>
        <w:tc>
          <w:tcPr>
            <w:tcW w:w="1558" w:type="dxa"/>
            <w:tcBorders>
              <w:top w:val="single" w:sz="4" w:space="0" w:color="auto"/>
              <w:left w:val="nil"/>
              <w:bottom w:val="nil"/>
              <w:right w:val="nil"/>
            </w:tcBorders>
          </w:tcPr>
          <w:p w:rsidR="00E94F78" w:rsidRPr="00B31BEB" w:rsidRDefault="00E94F78" w:rsidP="00E94F78">
            <w:pPr>
              <w:tabs>
                <w:tab w:val="center" w:pos="4800"/>
                <w:tab w:val="right" w:pos="9500"/>
              </w:tabs>
              <w:jc w:val="both"/>
            </w:pPr>
            <w:r w:rsidRPr="00B31BEB">
              <w:t xml:space="preserve">-3.84 (0.23) </w:t>
            </w:r>
          </w:p>
        </w:tc>
        <w:tc>
          <w:tcPr>
            <w:tcW w:w="1996" w:type="dxa"/>
            <w:tcBorders>
              <w:top w:val="single" w:sz="4" w:space="0" w:color="auto"/>
              <w:left w:val="nil"/>
              <w:bottom w:val="nil"/>
              <w:right w:val="nil"/>
            </w:tcBorders>
          </w:tcPr>
          <w:p w:rsidR="00E94F78" w:rsidRPr="00B31BEB" w:rsidRDefault="001430EA" w:rsidP="00E94F78">
            <w:pPr>
              <w:tabs>
                <w:tab w:val="center" w:pos="4800"/>
                <w:tab w:val="right" w:pos="9500"/>
              </w:tabs>
              <w:jc w:val="both"/>
              <w:rPr>
                <w:noProof/>
              </w:rPr>
            </w:pPr>
            <w:r w:rsidRPr="00B31BEB">
              <w:rPr>
                <w:noProof/>
              </w:rPr>
              <w:t>-</w:t>
            </w:r>
          </w:p>
        </w:tc>
        <w:tc>
          <w:tcPr>
            <w:tcW w:w="1454" w:type="dxa"/>
            <w:tcBorders>
              <w:top w:val="single" w:sz="4" w:space="0" w:color="auto"/>
              <w:left w:val="nil"/>
              <w:bottom w:val="nil"/>
              <w:right w:val="nil"/>
            </w:tcBorders>
          </w:tcPr>
          <w:p w:rsidR="00E94F78" w:rsidRPr="00B31BEB" w:rsidRDefault="001430EA" w:rsidP="00E94F78">
            <w:pPr>
              <w:tabs>
                <w:tab w:val="center" w:pos="4800"/>
                <w:tab w:val="right" w:pos="9500"/>
              </w:tabs>
              <w:jc w:val="both"/>
              <w:rPr>
                <w:noProof/>
              </w:rPr>
            </w:pPr>
            <w:r w:rsidRPr="00B31BEB">
              <w:t>-3.84 (0.23)</w:t>
            </w:r>
          </w:p>
        </w:tc>
      </w:tr>
      <w:tr w:rsidR="00B31BEB" w:rsidRPr="00B31BEB" w:rsidTr="001A5DEC">
        <w:trPr>
          <w:gridAfter w:val="1"/>
          <w:wAfter w:w="6" w:type="dxa"/>
          <w:jc w:val="center"/>
        </w:trPr>
        <w:tc>
          <w:tcPr>
            <w:tcW w:w="1662" w:type="dxa"/>
            <w:tcBorders>
              <w:top w:val="nil"/>
              <w:left w:val="nil"/>
              <w:bottom w:val="nil"/>
              <w:right w:val="nil"/>
            </w:tcBorders>
          </w:tcPr>
          <w:p w:rsidR="00E94F78" w:rsidRPr="00B31BEB" w:rsidRDefault="002B7009" w:rsidP="00E94F78">
            <w:pPr>
              <w:tabs>
                <w:tab w:val="center" w:pos="4800"/>
                <w:tab w:val="right" w:pos="9500"/>
              </w:tabs>
              <w:jc w:val="both"/>
              <w:rPr>
                <w:noProof/>
              </w:rPr>
            </w:pPr>
            <w:r w:rsidRPr="00B31BEB">
              <w:t>Delivery time</w:t>
            </w:r>
          </w:p>
        </w:tc>
        <w:tc>
          <w:tcPr>
            <w:tcW w:w="1883" w:type="dxa"/>
            <w:tcBorders>
              <w:top w:val="nil"/>
              <w:left w:val="nil"/>
              <w:bottom w:val="nil"/>
              <w:right w:val="nil"/>
            </w:tcBorders>
          </w:tcPr>
          <w:p w:rsidR="00E94F78" w:rsidRPr="00B31BEB" w:rsidRDefault="00535888" w:rsidP="00E94F78">
            <w:pPr>
              <w:tabs>
                <w:tab w:val="center" w:pos="4800"/>
                <w:tab w:val="right" w:pos="9500"/>
              </w:tabs>
              <w:jc w:val="both"/>
              <w:rPr>
                <w:noProof/>
              </w:rPr>
            </w:pPr>
            <w:r w:rsidRPr="00B31BEB">
              <w:t>-0.07 (0.01)</w:t>
            </w:r>
          </w:p>
        </w:tc>
        <w:tc>
          <w:tcPr>
            <w:tcW w:w="1558" w:type="dxa"/>
            <w:tcBorders>
              <w:top w:val="nil"/>
              <w:left w:val="nil"/>
              <w:bottom w:val="nil"/>
              <w:right w:val="nil"/>
            </w:tcBorders>
          </w:tcPr>
          <w:p w:rsidR="00E94F78" w:rsidRPr="00B31BEB" w:rsidRDefault="00535888" w:rsidP="00E94F78">
            <w:pPr>
              <w:tabs>
                <w:tab w:val="center" w:pos="4800"/>
                <w:tab w:val="right" w:pos="9500"/>
              </w:tabs>
              <w:jc w:val="both"/>
              <w:rPr>
                <w:noProof/>
              </w:rPr>
            </w:pPr>
            <w:r w:rsidRPr="00B31BEB">
              <w:t>-0.11 (0.12)</w:t>
            </w:r>
          </w:p>
        </w:tc>
        <w:tc>
          <w:tcPr>
            <w:tcW w:w="1996" w:type="dxa"/>
            <w:tcBorders>
              <w:top w:val="nil"/>
              <w:left w:val="nil"/>
              <w:bottom w:val="nil"/>
              <w:right w:val="nil"/>
            </w:tcBorders>
          </w:tcPr>
          <w:p w:rsidR="00E94F78" w:rsidRPr="00B31BEB" w:rsidRDefault="00535888" w:rsidP="00E94F78">
            <w:pPr>
              <w:tabs>
                <w:tab w:val="center" w:pos="4800"/>
                <w:tab w:val="right" w:pos="9500"/>
              </w:tabs>
              <w:jc w:val="both"/>
              <w:rPr>
                <w:noProof/>
              </w:rPr>
            </w:pPr>
            <w:r w:rsidRPr="00B31BEB">
              <w:t>0.29 (0.02, 0.91)</w:t>
            </w:r>
          </w:p>
        </w:tc>
        <w:tc>
          <w:tcPr>
            <w:tcW w:w="1454" w:type="dxa"/>
            <w:tcBorders>
              <w:top w:val="nil"/>
              <w:left w:val="nil"/>
              <w:bottom w:val="nil"/>
              <w:right w:val="nil"/>
            </w:tcBorders>
          </w:tcPr>
          <w:p w:rsidR="00E94F78" w:rsidRPr="00B31BEB" w:rsidRDefault="00535888" w:rsidP="00E94F78">
            <w:pPr>
              <w:tabs>
                <w:tab w:val="center" w:pos="4800"/>
                <w:tab w:val="right" w:pos="9500"/>
              </w:tabs>
              <w:jc w:val="both"/>
              <w:rPr>
                <w:noProof/>
              </w:rPr>
            </w:pPr>
            <w:r w:rsidRPr="00B31BEB">
              <w:t>-0.03 (0.01)</w:t>
            </w:r>
          </w:p>
        </w:tc>
      </w:tr>
      <w:tr w:rsidR="00B31BEB" w:rsidRPr="00B31BEB" w:rsidTr="001A5DEC">
        <w:trPr>
          <w:gridAfter w:val="1"/>
          <w:wAfter w:w="6" w:type="dxa"/>
          <w:jc w:val="center"/>
        </w:trPr>
        <w:tc>
          <w:tcPr>
            <w:tcW w:w="1662"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Delivery price </w:t>
            </w:r>
          </w:p>
        </w:tc>
        <w:tc>
          <w:tcPr>
            <w:tcW w:w="1883"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-0.13 (0.01) </w:t>
            </w:r>
          </w:p>
        </w:tc>
        <w:tc>
          <w:tcPr>
            <w:tcW w:w="1558"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-0.36 (0.03) </w:t>
            </w:r>
          </w:p>
        </w:tc>
        <w:tc>
          <w:tcPr>
            <w:tcW w:w="1996"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0.42 (0.33, 0.52) </w:t>
            </w:r>
          </w:p>
        </w:tc>
        <w:tc>
          <w:tcPr>
            <w:tcW w:w="1454"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-0.15 (0.02) </w:t>
            </w:r>
          </w:p>
        </w:tc>
      </w:tr>
      <w:tr w:rsidR="00B31BEB" w:rsidRPr="00B31BEB" w:rsidTr="001A5DEC">
        <w:trPr>
          <w:gridAfter w:val="1"/>
          <w:wAfter w:w="6" w:type="dxa"/>
          <w:jc w:val="center"/>
        </w:trPr>
        <w:tc>
          <w:tcPr>
            <w:tcW w:w="1662"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Returning </w:t>
            </w:r>
          </w:p>
        </w:tc>
        <w:tc>
          <w:tcPr>
            <w:tcW w:w="1883"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-0.60 (0.05) </w:t>
            </w:r>
          </w:p>
        </w:tc>
        <w:tc>
          <w:tcPr>
            <w:tcW w:w="1558"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-1.44 (0.21) </w:t>
            </w:r>
          </w:p>
        </w:tc>
        <w:tc>
          <w:tcPr>
            <w:tcW w:w="1996"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0.51 (0.33, 0.69) </w:t>
            </w:r>
          </w:p>
        </w:tc>
        <w:tc>
          <w:tcPr>
            <w:tcW w:w="1454"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-0.74 (0.08) </w:t>
            </w:r>
          </w:p>
        </w:tc>
      </w:tr>
      <w:tr w:rsidR="00B31BEB" w:rsidRPr="00B31BEB" w:rsidTr="001A5DEC">
        <w:trPr>
          <w:gridAfter w:val="1"/>
          <w:wAfter w:w="6" w:type="dxa"/>
          <w:jc w:val="center"/>
        </w:trPr>
        <w:tc>
          <w:tcPr>
            <w:tcW w:w="1662"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Rating </w:t>
            </w:r>
          </w:p>
        </w:tc>
        <w:tc>
          <w:tcPr>
            <w:tcW w:w="1883"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0.13 (0.02) </w:t>
            </w:r>
          </w:p>
        </w:tc>
        <w:tc>
          <w:tcPr>
            <w:tcW w:w="1558"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0.46 (0.10) </w:t>
            </w:r>
          </w:p>
        </w:tc>
        <w:tc>
          <w:tcPr>
            <w:tcW w:w="1996"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0.22 (0.11, 0.40) </w:t>
            </w:r>
          </w:p>
        </w:tc>
        <w:tc>
          <w:tcPr>
            <w:tcW w:w="1454"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0.10 (0.02) </w:t>
            </w:r>
          </w:p>
        </w:tc>
      </w:tr>
      <w:tr w:rsidR="00B31BEB" w:rsidRPr="00B31BEB" w:rsidTr="001A5DEC">
        <w:trPr>
          <w:gridAfter w:val="1"/>
          <w:wAfter w:w="6" w:type="dxa"/>
          <w:jc w:val="center"/>
        </w:trPr>
        <w:tc>
          <w:tcPr>
            <w:tcW w:w="1662"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Discount </w:t>
            </w:r>
          </w:p>
        </w:tc>
        <w:tc>
          <w:tcPr>
            <w:tcW w:w="1883"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0.01 (0.00) </w:t>
            </w:r>
          </w:p>
        </w:tc>
        <w:tc>
          <w:tcPr>
            <w:tcW w:w="1558"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0.21 (0.06) </w:t>
            </w:r>
          </w:p>
        </w:tc>
        <w:tc>
          <w:tcPr>
            <w:tcW w:w="1996"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0.02 (0.01, 0.08) </w:t>
            </w:r>
          </w:p>
        </w:tc>
        <w:tc>
          <w:tcPr>
            <w:tcW w:w="1454"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0.00 (0.00) </w:t>
            </w:r>
          </w:p>
        </w:tc>
      </w:tr>
      <w:tr w:rsidR="00B31BEB" w:rsidRPr="00B31BEB" w:rsidTr="001A5DEC">
        <w:trPr>
          <w:gridAfter w:val="1"/>
          <w:wAfter w:w="6" w:type="dxa"/>
          <w:jc w:val="center"/>
        </w:trPr>
        <w:tc>
          <w:tcPr>
            <w:tcW w:w="1662"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Trust label </w:t>
            </w:r>
          </w:p>
        </w:tc>
        <w:tc>
          <w:tcPr>
            <w:tcW w:w="1883"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0.79 (0.08) </w:t>
            </w:r>
          </w:p>
        </w:tc>
        <w:tc>
          <w:tcPr>
            <w:tcW w:w="1558"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1.73 (0.17) </w:t>
            </w:r>
          </w:p>
        </w:tc>
        <w:tc>
          <w:tcPr>
            <w:tcW w:w="1996"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0.46 (0.37, 0.55) </w:t>
            </w:r>
          </w:p>
        </w:tc>
        <w:tc>
          <w:tcPr>
            <w:tcW w:w="1454" w:type="dxa"/>
            <w:tcBorders>
              <w:top w:val="nil"/>
              <w:left w:val="nil"/>
              <w:bottom w:val="nil"/>
              <w:right w:val="nil"/>
            </w:tcBorders>
          </w:tcPr>
          <w:p w:rsidR="00FD7094" w:rsidRPr="00B31BEB" w:rsidRDefault="00FD7094" w:rsidP="00FD7094">
            <w:pPr>
              <w:tabs>
                <w:tab w:val="center" w:pos="4800"/>
                <w:tab w:val="right" w:pos="9500"/>
              </w:tabs>
              <w:jc w:val="both"/>
            </w:pPr>
            <w:r w:rsidRPr="00B31BEB">
              <w:t xml:space="preserve">0.79 (0.10) </w:t>
            </w:r>
          </w:p>
        </w:tc>
      </w:tr>
      <w:tr w:rsidR="00B31BEB" w:rsidRPr="00B31BEB" w:rsidTr="001A5DEC">
        <w:trPr>
          <w:gridAfter w:val="1"/>
          <w:wAfter w:w="6" w:type="dxa"/>
          <w:jc w:val="center"/>
        </w:trPr>
        <w:tc>
          <w:tcPr>
            <w:tcW w:w="1662" w:type="dxa"/>
            <w:tcBorders>
              <w:top w:val="nil"/>
              <w:left w:val="nil"/>
              <w:bottom w:val="nil"/>
              <w:right w:val="nil"/>
            </w:tcBorders>
          </w:tcPr>
          <w:p w:rsidR="002923CB" w:rsidRPr="00B31BEB" w:rsidRDefault="002923CB" w:rsidP="002923CB">
            <w:pPr>
              <w:tabs>
                <w:tab w:val="center" w:pos="4800"/>
                <w:tab w:val="right" w:pos="9500"/>
              </w:tabs>
              <w:jc w:val="both"/>
            </w:pPr>
            <w:r w:rsidRPr="00B31BEB">
              <w:t xml:space="preserve">Headquarters </w:t>
            </w:r>
          </w:p>
        </w:tc>
        <w:tc>
          <w:tcPr>
            <w:tcW w:w="1883" w:type="dxa"/>
            <w:tcBorders>
              <w:top w:val="nil"/>
              <w:left w:val="nil"/>
              <w:bottom w:val="nil"/>
              <w:right w:val="nil"/>
            </w:tcBorders>
          </w:tcPr>
          <w:p w:rsidR="002923CB" w:rsidRPr="00B31BEB" w:rsidRDefault="002923CB" w:rsidP="002923CB">
            <w:pPr>
              <w:tabs>
                <w:tab w:val="center" w:pos="4800"/>
                <w:tab w:val="right" w:pos="9500"/>
              </w:tabs>
              <w:jc w:val="both"/>
            </w:pPr>
            <w:r w:rsidRPr="00B31BEB">
              <w:t xml:space="preserve">0.36 (0.07) </w:t>
            </w:r>
          </w:p>
        </w:tc>
        <w:tc>
          <w:tcPr>
            <w:tcW w:w="1558" w:type="dxa"/>
            <w:tcBorders>
              <w:top w:val="nil"/>
              <w:left w:val="nil"/>
              <w:bottom w:val="nil"/>
              <w:right w:val="nil"/>
            </w:tcBorders>
          </w:tcPr>
          <w:p w:rsidR="002923CB" w:rsidRPr="00B31BEB" w:rsidRDefault="002923CB" w:rsidP="002923CB">
            <w:pPr>
              <w:tabs>
                <w:tab w:val="center" w:pos="4800"/>
                <w:tab w:val="right" w:pos="9500"/>
              </w:tabs>
              <w:jc w:val="both"/>
            </w:pPr>
            <w:r w:rsidRPr="00B31BEB">
              <w:t xml:space="preserve">2.50 (0.56) </w:t>
            </w:r>
          </w:p>
        </w:tc>
        <w:tc>
          <w:tcPr>
            <w:tcW w:w="1996" w:type="dxa"/>
            <w:tcBorders>
              <w:top w:val="nil"/>
              <w:left w:val="nil"/>
              <w:bottom w:val="nil"/>
              <w:right w:val="nil"/>
            </w:tcBorders>
          </w:tcPr>
          <w:p w:rsidR="002923CB" w:rsidRPr="00B31BEB" w:rsidRDefault="002923CB" w:rsidP="002923CB">
            <w:pPr>
              <w:tabs>
                <w:tab w:val="center" w:pos="4800"/>
                <w:tab w:val="right" w:pos="9500"/>
              </w:tabs>
              <w:jc w:val="both"/>
            </w:pPr>
            <w:r w:rsidRPr="00B31BEB">
              <w:t xml:space="preserve">0.12 (0.07, 0.21) </w:t>
            </w:r>
          </w:p>
        </w:tc>
        <w:tc>
          <w:tcPr>
            <w:tcW w:w="1454" w:type="dxa"/>
            <w:tcBorders>
              <w:top w:val="nil"/>
              <w:left w:val="nil"/>
              <w:bottom w:val="nil"/>
              <w:right w:val="nil"/>
            </w:tcBorders>
          </w:tcPr>
          <w:p w:rsidR="002923CB" w:rsidRPr="00B31BEB" w:rsidRDefault="002923CB" w:rsidP="002923CB">
            <w:pPr>
              <w:tabs>
                <w:tab w:val="center" w:pos="4800"/>
                <w:tab w:val="right" w:pos="9500"/>
              </w:tabs>
              <w:jc w:val="both"/>
            </w:pPr>
            <w:r w:rsidRPr="00B31BEB">
              <w:t xml:space="preserve">0.31 (0.08) </w:t>
            </w:r>
          </w:p>
        </w:tc>
      </w:tr>
      <w:tr w:rsidR="00B31BEB" w:rsidRPr="00B31BEB" w:rsidTr="001A5DEC">
        <w:trPr>
          <w:gridAfter w:val="1"/>
          <w:wAfter w:w="6" w:type="dxa"/>
          <w:jc w:val="center"/>
        </w:trPr>
        <w:tc>
          <w:tcPr>
            <w:tcW w:w="1662" w:type="dxa"/>
            <w:tcBorders>
              <w:top w:val="nil"/>
              <w:left w:val="nil"/>
              <w:bottom w:val="single" w:sz="4" w:space="0" w:color="auto"/>
              <w:right w:val="nil"/>
            </w:tcBorders>
          </w:tcPr>
          <w:p w:rsidR="002923CB" w:rsidRPr="00B31BEB" w:rsidRDefault="002923CB" w:rsidP="002923CB">
            <w:pPr>
              <w:tabs>
                <w:tab w:val="center" w:pos="4800"/>
                <w:tab w:val="right" w:pos="9500"/>
              </w:tabs>
              <w:jc w:val="both"/>
            </w:pPr>
            <w:r w:rsidRPr="00B31BEB">
              <w:t xml:space="preserve">Distance </w:t>
            </w:r>
          </w:p>
        </w:tc>
        <w:tc>
          <w:tcPr>
            <w:tcW w:w="1883" w:type="dxa"/>
            <w:tcBorders>
              <w:top w:val="nil"/>
              <w:left w:val="nil"/>
              <w:bottom w:val="single" w:sz="4" w:space="0" w:color="auto"/>
              <w:right w:val="nil"/>
            </w:tcBorders>
          </w:tcPr>
          <w:p w:rsidR="002923CB" w:rsidRPr="00B31BEB" w:rsidRDefault="002923CB" w:rsidP="002923CB">
            <w:pPr>
              <w:tabs>
                <w:tab w:val="center" w:pos="4800"/>
                <w:tab w:val="right" w:pos="9500"/>
              </w:tabs>
              <w:jc w:val="both"/>
            </w:pPr>
            <w:r w:rsidRPr="00B31BEB">
              <w:t xml:space="preserve">-0.03 (0.01) </w:t>
            </w:r>
          </w:p>
        </w:tc>
        <w:tc>
          <w:tcPr>
            <w:tcW w:w="1558" w:type="dxa"/>
            <w:tcBorders>
              <w:top w:val="nil"/>
              <w:left w:val="nil"/>
              <w:bottom w:val="single" w:sz="4" w:space="0" w:color="auto"/>
              <w:right w:val="nil"/>
            </w:tcBorders>
          </w:tcPr>
          <w:p w:rsidR="002923CB" w:rsidRPr="00B31BEB" w:rsidRDefault="002923CB" w:rsidP="002923CB">
            <w:pPr>
              <w:tabs>
                <w:tab w:val="center" w:pos="4800"/>
                <w:tab w:val="right" w:pos="9500"/>
              </w:tabs>
              <w:jc w:val="both"/>
            </w:pPr>
            <w:r w:rsidRPr="00B31BEB">
              <w:t xml:space="preserve">-0.28 (0.07) </w:t>
            </w:r>
          </w:p>
        </w:tc>
        <w:tc>
          <w:tcPr>
            <w:tcW w:w="1996" w:type="dxa"/>
            <w:tcBorders>
              <w:top w:val="nil"/>
              <w:left w:val="nil"/>
              <w:bottom w:val="single" w:sz="4" w:space="0" w:color="auto"/>
              <w:right w:val="nil"/>
            </w:tcBorders>
          </w:tcPr>
          <w:p w:rsidR="002923CB" w:rsidRPr="00B31BEB" w:rsidRDefault="002923CB" w:rsidP="002923CB">
            <w:pPr>
              <w:tabs>
                <w:tab w:val="center" w:pos="4800"/>
                <w:tab w:val="right" w:pos="9500"/>
              </w:tabs>
              <w:jc w:val="both"/>
            </w:pPr>
            <w:r w:rsidRPr="00B31BEB">
              <w:t xml:space="preserve">0.08 (0.04, 0.15) </w:t>
            </w:r>
          </w:p>
        </w:tc>
        <w:tc>
          <w:tcPr>
            <w:tcW w:w="1454" w:type="dxa"/>
            <w:tcBorders>
              <w:top w:val="nil"/>
              <w:left w:val="nil"/>
              <w:bottom w:val="single" w:sz="4" w:space="0" w:color="auto"/>
              <w:right w:val="nil"/>
            </w:tcBorders>
          </w:tcPr>
          <w:p w:rsidR="002923CB" w:rsidRPr="00B31BEB" w:rsidRDefault="002923CB" w:rsidP="002923CB">
            <w:pPr>
              <w:tabs>
                <w:tab w:val="center" w:pos="4800"/>
                <w:tab w:val="right" w:pos="9500"/>
              </w:tabs>
              <w:jc w:val="both"/>
            </w:pPr>
            <w:r w:rsidRPr="00B31BEB">
              <w:t xml:space="preserve">-0.02 (0.01) </w:t>
            </w:r>
          </w:p>
        </w:tc>
      </w:tr>
      <w:tr w:rsidR="00B31BEB" w:rsidRPr="00B31BEB" w:rsidTr="001A5DEC">
        <w:trPr>
          <w:gridAfter w:val="1"/>
          <w:wAfter w:w="6" w:type="dxa"/>
          <w:jc w:val="center"/>
        </w:trPr>
        <w:tc>
          <w:tcPr>
            <w:tcW w:w="8553" w:type="dxa"/>
            <w:gridSpan w:val="5"/>
            <w:tcBorders>
              <w:top w:val="single" w:sz="4" w:space="0" w:color="auto"/>
              <w:left w:val="nil"/>
              <w:bottom w:val="nil"/>
              <w:right w:val="nil"/>
            </w:tcBorders>
          </w:tcPr>
          <w:p w:rsidR="00D91BC7" w:rsidRPr="00B31BEB" w:rsidRDefault="00D91BC7" w:rsidP="002923CB">
            <w:pPr>
              <w:tabs>
                <w:tab w:val="center" w:pos="4800"/>
                <w:tab w:val="right" w:pos="9500"/>
              </w:tabs>
              <w:jc w:val="both"/>
            </w:pPr>
            <w:r w:rsidRPr="00B31BEB">
              <w:t>Interactions (</w:t>
            </w:r>
            <w:r w:rsidRPr="00B31BEB">
              <w:rPr>
                <w:position w:val="-12"/>
              </w:rPr>
              <w:object w:dxaOrig="300" w:dyaOrig="360">
                <v:shape id="_x0000_i1103" type="#_x0000_t75" style="width:16.2pt;height:18pt" o:ole="">
                  <v:imagedata r:id="rId160" o:title=""/>
                </v:shape>
                <o:OLEObject Type="Embed" ProgID="Equation.DSMT4" ShapeID="_x0000_i1103" DrawAspect="Content" ObjectID="_1649081705" r:id="rId161"/>
              </w:object>
            </w:r>
            <w:r w:rsidRPr="00B31BEB">
              <w:t xml:space="preserve"> - </w:t>
            </w:r>
            <w:r w:rsidRPr="00B31BEB">
              <w:rPr>
                <w:position w:val="-12"/>
              </w:rPr>
              <w:object w:dxaOrig="279" w:dyaOrig="360">
                <v:shape id="_x0000_i1104" type="#_x0000_t75" style="width:13.2pt;height:18pt" o:ole="">
                  <v:imagedata r:id="rId162" o:title=""/>
                </v:shape>
                <o:OLEObject Type="Embed" ProgID="Equation.DSMT4" ShapeID="_x0000_i1104" DrawAspect="Content" ObjectID="_1649081706" r:id="rId163"/>
              </w:object>
            </w:r>
            <w:r w:rsidRPr="00B31BEB">
              <w:t xml:space="preserve"> )</w:t>
            </w:r>
          </w:p>
        </w:tc>
      </w:tr>
      <w:tr w:rsidR="00B31BEB" w:rsidRPr="00B31BEB" w:rsidTr="001A5DEC">
        <w:trPr>
          <w:gridAfter w:val="1"/>
          <w:wAfter w:w="6" w:type="dxa"/>
          <w:jc w:val="center"/>
        </w:trPr>
        <w:tc>
          <w:tcPr>
            <w:tcW w:w="1662"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Trust label </w:t>
            </w:r>
          </w:p>
        </w:tc>
        <w:tc>
          <w:tcPr>
            <w:tcW w:w="1883"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0.48 (0.12) </w:t>
            </w:r>
          </w:p>
        </w:tc>
        <w:tc>
          <w:tcPr>
            <w:tcW w:w="1558"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2.10 (0.36) </w:t>
            </w:r>
          </w:p>
        </w:tc>
        <w:tc>
          <w:tcPr>
            <w:tcW w:w="1996" w:type="dxa"/>
            <w:tcBorders>
              <w:top w:val="nil"/>
              <w:left w:val="nil"/>
              <w:bottom w:val="nil"/>
              <w:right w:val="nil"/>
            </w:tcBorders>
          </w:tcPr>
          <w:p w:rsidR="00AA11F0" w:rsidRPr="00B31BEB" w:rsidRDefault="00AA11F0" w:rsidP="00AA11F0">
            <w:pPr>
              <w:tabs>
                <w:tab w:val="center" w:pos="4800"/>
                <w:tab w:val="right" w:pos="9500"/>
              </w:tabs>
              <w:ind w:firstLine="720"/>
              <w:jc w:val="both"/>
            </w:pPr>
            <w:r w:rsidRPr="00B31BEB">
              <w:t xml:space="preserve"> </w:t>
            </w:r>
          </w:p>
        </w:tc>
        <w:tc>
          <w:tcPr>
            <w:tcW w:w="1454"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0.96 (0.15) </w:t>
            </w:r>
          </w:p>
        </w:tc>
      </w:tr>
      <w:tr w:rsidR="00B31BEB" w:rsidRPr="00B31BEB" w:rsidTr="001A5DEC">
        <w:trPr>
          <w:gridAfter w:val="1"/>
          <w:wAfter w:w="6" w:type="dxa"/>
          <w:jc w:val="center"/>
        </w:trPr>
        <w:tc>
          <w:tcPr>
            <w:tcW w:w="1662"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Headquarters </w:t>
            </w:r>
          </w:p>
        </w:tc>
        <w:tc>
          <w:tcPr>
            <w:tcW w:w="1883"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-0.01 (0.12) </w:t>
            </w:r>
          </w:p>
        </w:tc>
        <w:tc>
          <w:tcPr>
            <w:tcW w:w="1558"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0.83 (0.78) </w:t>
            </w:r>
          </w:p>
        </w:tc>
        <w:tc>
          <w:tcPr>
            <w:tcW w:w="1996" w:type="dxa"/>
            <w:tcBorders>
              <w:top w:val="nil"/>
              <w:left w:val="nil"/>
              <w:bottom w:val="nil"/>
              <w:right w:val="nil"/>
            </w:tcBorders>
          </w:tcPr>
          <w:p w:rsidR="00AA11F0" w:rsidRPr="00B31BEB" w:rsidRDefault="00AA11F0" w:rsidP="00AA11F0">
            <w:pPr>
              <w:tabs>
                <w:tab w:val="center" w:pos="4800"/>
                <w:tab w:val="right" w:pos="9500"/>
              </w:tabs>
              <w:ind w:firstLine="720"/>
              <w:jc w:val="both"/>
            </w:pPr>
            <w:r w:rsidRPr="00B31BEB">
              <w:t xml:space="preserve"> </w:t>
            </w:r>
          </w:p>
        </w:tc>
        <w:tc>
          <w:tcPr>
            <w:tcW w:w="1454" w:type="dxa"/>
            <w:tcBorders>
              <w:top w:val="nil"/>
              <w:left w:val="nil"/>
              <w:bottom w:val="nil"/>
              <w:right w:val="nil"/>
            </w:tcBorders>
          </w:tcPr>
          <w:p w:rsidR="00AA11F0" w:rsidRPr="00B31BEB" w:rsidRDefault="00AA11F0" w:rsidP="00AA11F0">
            <w:pPr>
              <w:tabs>
                <w:tab w:val="center" w:pos="4800"/>
                <w:tab w:val="right" w:pos="9500"/>
              </w:tabs>
              <w:jc w:val="both"/>
            </w:pPr>
            <w:r w:rsidRPr="00B31BEB">
              <w:t xml:space="preserve">0.10 (0.10) </w:t>
            </w:r>
          </w:p>
        </w:tc>
      </w:tr>
      <w:tr w:rsidR="00B31BEB" w:rsidRPr="00B31BEB" w:rsidTr="001A5DEC">
        <w:trPr>
          <w:gridAfter w:val="1"/>
          <w:wAfter w:w="6" w:type="dxa"/>
          <w:jc w:val="center"/>
        </w:trPr>
        <w:tc>
          <w:tcPr>
            <w:tcW w:w="1662" w:type="dxa"/>
            <w:tcBorders>
              <w:top w:val="nil"/>
              <w:left w:val="nil"/>
              <w:bottom w:val="single" w:sz="4" w:space="0" w:color="auto"/>
              <w:right w:val="nil"/>
            </w:tcBorders>
          </w:tcPr>
          <w:p w:rsidR="00AA11F0" w:rsidRPr="00B31BEB" w:rsidRDefault="00AA11F0" w:rsidP="00AA11F0">
            <w:pPr>
              <w:tabs>
                <w:tab w:val="center" w:pos="4800"/>
                <w:tab w:val="right" w:pos="9500"/>
              </w:tabs>
              <w:jc w:val="both"/>
            </w:pPr>
            <w:r w:rsidRPr="00B31BEB">
              <w:t xml:space="preserve">Distance </w:t>
            </w:r>
          </w:p>
        </w:tc>
        <w:tc>
          <w:tcPr>
            <w:tcW w:w="1883" w:type="dxa"/>
            <w:tcBorders>
              <w:top w:val="nil"/>
              <w:left w:val="nil"/>
              <w:bottom w:val="single" w:sz="4" w:space="0" w:color="auto"/>
              <w:right w:val="nil"/>
            </w:tcBorders>
          </w:tcPr>
          <w:p w:rsidR="00AA11F0" w:rsidRPr="00B31BEB" w:rsidRDefault="00AA11F0" w:rsidP="00AA11F0">
            <w:pPr>
              <w:tabs>
                <w:tab w:val="center" w:pos="4800"/>
                <w:tab w:val="right" w:pos="9500"/>
              </w:tabs>
              <w:jc w:val="both"/>
            </w:pPr>
            <w:r w:rsidRPr="00B31BEB">
              <w:t xml:space="preserve">-0.04 (0.01) </w:t>
            </w:r>
          </w:p>
        </w:tc>
        <w:tc>
          <w:tcPr>
            <w:tcW w:w="1558" w:type="dxa"/>
            <w:tcBorders>
              <w:top w:val="nil"/>
              <w:left w:val="nil"/>
              <w:bottom w:val="single" w:sz="4" w:space="0" w:color="auto"/>
              <w:right w:val="nil"/>
            </w:tcBorders>
          </w:tcPr>
          <w:p w:rsidR="00AA11F0" w:rsidRPr="00B31BEB" w:rsidRDefault="00AA11F0" w:rsidP="00AA11F0">
            <w:pPr>
              <w:tabs>
                <w:tab w:val="center" w:pos="4800"/>
                <w:tab w:val="right" w:pos="9500"/>
              </w:tabs>
              <w:jc w:val="both"/>
            </w:pPr>
            <w:r w:rsidRPr="00B31BEB">
              <w:t xml:space="preserve">-0.19 (0.13) </w:t>
            </w:r>
          </w:p>
        </w:tc>
        <w:tc>
          <w:tcPr>
            <w:tcW w:w="1996" w:type="dxa"/>
            <w:tcBorders>
              <w:top w:val="nil"/>
              <w:left w:val="nil"/>
              <w:bottom w:val="single" w:sz="4" w:space="0" w:color="auto"/>
              <w:right w:val="nil"/>
            </w:tcBorders>
          </w:tcPr>
          <w:p w:rsidR="00AA11F0" w:rsidRPr="00B31BEB" w:rsidRDefault="00AA11F0" w:rsidP="00AA11F0">
            <w:pPr>
              <w:tabs>
                <w:tab w:val="center" w:pos="4800"/>
                <w:tab w:val="right" w:pos="9500"/>
              </w:tabs>
              <w:ind w:firstLine="720"/>
              <w:jc w:val="both"/>
            </w:pPr>
            <w:r w:rsidRPr="00B31BEB">
              <w:t xml:space="preserve"> </w:t>
            </w:r>
          </w:p>
        </w:tc>
        <w:tc>
          <w:tcPr>
            <w:tcW w:w="1454" w:type="dxa"/>
            <w:tcBorders>
              <w:top w:val="nil"/>
              <w:left w:val="nil"/>
              <w:bottom w:val="single" w:sz="4" w:space="0" w:color="auto"/>
              <w:right w:val="nil"/>
            </w:tcBorders>
          </w:tcPr>
          <w:p w:rsidR="00AA11F0" w:rsidRPr="00B31BEB" w:rsidRDefault="00AA11F0" w:rsidP="00AA11F0">
            <w:pPr>
              <w:tabs>
                <w:tab w:val="center" w:pos="4800"/>
                <w:tab w:val="right" w:pos="9500"/>
              </w:tabs>
              <w:jc w:val="both"/>
            </w:pPr>
            <w:r w:rsidRPr="00B31BEB">
              <w:t xml:space="preserve">-0.01 (0.01) </w:t>
            </w:r>
          </w:p>
        </w:tc>
      </w:tr>
      <w:tr w:rsidR="001301AF" w:rsidRPr="00B31BEB" w:rsidTr="001A5DEC">
        <w:trPr>
          <w:gridAfter w:val="1"/>
          <w:wAfter w:w="6" w:type="dxa"/>
          <w:jc w:val="center"/>
        </w:trPr>
        <w:tc>
          <w:tcPr>
            <w:tcW w:w="8553" w:type="dxa"/>
            <w:gridSpan w:val="5"/>
            <w:tcBorders>
              <w:top w:val="single" w:sz="4" w:space="0" w:color="auto"/>
              <w:left w:val="nil"/>
              <w:bottom w:val="single" w:sz="4" w:space="0" w:color="auto"/>
              <w:right w:val="nil"/>
            </w:tcBorders>
          </w:tcPr>
          <w:p w:rsidR="001301AF" w:rsidRPr="00B31BEB" w:rsidRDefault="001301AF">
            <w:pPr>
              <w:tabs>
                <w:tab w:val="center" w:pos="4800"/>
                <w:tab w:val="right" w:pos="9500"/>
              </w:tabs>
              <w:jc w:val="both"/>
              <w:rPr>
                <w:noProof/>
              </w:rPr>
            </w:pPr>
            <w:r w:rsidRPr="00B31BEB">
              <w:rPr>
                <w:noProof/>
              </w:rPr>
              <w:t>Notes:</w:t>
            </w:r>
          </w:p>
          <w:p w:rsidR="00952E54" w:rsidRPr="00B31BEB" w:rsidRDefault="0075779D" w:rsidP="001A5DEC">
            <w:pPr>
              <w:tabs>
                <w:tab w:val="center" w:pos="4800"/>
                <w:tab w:val="right" w:pos="9500"/>
              </w:tabs>
              <w:rPr>
                <w:noProof/>
              </w:rPr>
            </w:pPr>
            <w:r w:rsidRPr="00B31BEB">
              <w:rPr>
                <w:noProof/>
              </w:rPr>
              <w:t>Coef</w:t>
            </w:r>
            <w:r w:rsidR="00A06AB5" w:rsidRPr="00B31BEB">
              <w:rPr>
                <w:position w:val="-4"/>
              </w:rPr>
              <w:object w:dxaOrig="220" w:dyaOrig="300">
                <v:shape id="_x0000_i1105" type="#_x0000_t75" style="width:11.4pt;height:16.2pt" o:ole="">
                  <v:imagedata r:id="rId164" o:title=""/>
                </v:shape>
                <o:OLEObject Type="Embed" ProgID="Equation.DSMT4" ShapeID="_x0000_i1105" DrawAspect="Content" ObjectID="_1649081707" r:id="rId165"/>
              </w:object>
            </w:r>
            <w:r w:rsidRPr="00B31BEB">
              <w:rPr>
                <w:noProof/>
              </w:rPr>
              <w:t xml:space="preserve"> (SD) implies that the Coefficient has not been adjusted for  </w:t>
            </w:r>
            <w:r w:rsidR="006541DE" w:rsidRPr="00B31BEB">
              <w:rPr>
                <w:noProof/>
              </w:rPr>
              <w:t xml:space="preserve">attendance </w:t>
            </w:r>
            <w:r w:rsidR="00230CEA" w:rsidRPr="00B31BEB">
              <w:rPr>
                <w:noProof/>
              </w:rPr>
              <w:t xml:space="preserve">     </w:t>
            </w:r>
            <w:r w:rsidR="006541DE" w:rsidRPr="00B31BEB">
              <w:rPr>
                <w:noProof/>
              </w:rPr>
              <w:t>probability. SD is the Standard Deviation</w:t>
            </w:r>
            <w:r w:rsidR="00C1653E" w:rsidRPr="00B31BEB">
              <w:rPr>
                <w:noProof/>
              </w:rPr>
              <w:t xml:space="preserve">. </w:t>
            </w:r>
            <w:r w:rsidR="00952E54" w:rsidRPr="00B31BEB">
              <w:rPr>
                <w:noProof/>
              </w:rPr>
              <w:t>Coef</w:t>
            </w:r>
            <w:r w:rsidR="0086765A" w:rsidRPr="00B31BEB">
              <w:rPr>
                <w:position w:val="-4"/>
              </w:rPr>
              <w:object w:dxaOrig="139" w:dyaOrig="300">
                <v:shape id="_x0000_i1106" type="#_x0000_t75" style="width:6.6pt;height:16.2pt" o:ole="">
                  <v:imagedata r:id="rId166" o:title=""/>
                </v:shape>
                <o:OLEObject Type="Embed" ProgID="Equation.DSMT4" ShapeID="_x0000_i1106" DrawAspect="Content" ObjectID="_1649081708" r:id="rId167"/>
              </w:object>
            </w:r>
            <w:r w:rsidR="00952E54" w:rsidRPr="00B31BEB">
              <w:rPr>
                <w:noProof/>
              </w:rPr>
              <w:t xml:space="preserve"> (SD) implies that it has been adjusted for attendance probability i.e., Coef</w:t>
            </w:r>
            <w:r w:rsidR="00D220B1" w:rsidRPr="00B31BEB">
              <w:rPr>
                <w:noProof/>
                <w:position w:val="-4"/>
              </w:rPr>
              <w:object w:dxaOrig="139" w:dyaOrig="300">
                <v:shape id="_x0000_i1107" type="#_x0000_t75" style="width:6.6pt;height:16.2pt" o:ole="">
                  <v:imagedata r:id="rId168" o:title=""/>
                </v:shape>
                <o:OLEObject Type="Embed" ProgID="Equation.DSMT4" ShapeID="_x0000_i1107" DrawAspect="Content" ObjectID="_1649081709" r:id="rId169"/>
              </w:object>
            </w:r>
            <w:r w:rsidR="00952E54" w:rsidRPr="00B31BEB">
              <w:rPr>
                <w:noProof/>
              </w:rPr>
              <w:t xml:space="preserve"> = Coef</w:t>
            </w:r>
            <w:r w:rsidR="00D220B1" w:rsidRPr="00B31BEB">
              <w:rPr>
                <w:noProof/>
                <w:position w:val="-4"/>
              </w:rPr>
              <w:object w:dxaOrig="220" w:dyaOrig="300">
                <v:shape id="_x0000_i1108" type="#_x0000_t75" style="width:11.4pt;height:16.2pt" o:ole="">
                  <v:imagedata r:id="rId170" o:title=""/>
                </v:shape>
                <o:OLEObject Type="Embed" ProgID="Equation.DSMT4" ShapeID="_x0000_i1108" DrawAspect="Content" ObjectID="_1649081710" r:id="rId171"/>
              </w:object>
            </w:r>
            <w:r w:rsidR="00D220B1" w:rsidRPr="00B31BEB">
              <w:rPr>
                <w:noProof/>
              </w:rPr>
              <w:t>*</w:t>
            </w:r>
            <w:r w:rsidR="00952E54" w:rsidRPr="00B31BEB">
              <w:rPr>
                <w:noProof/>
              </w:rPr>
              <w:t>attendance probability</w:t>
            </w:r>
          </w:p>
          <w:p w:rsidR="002C61D9" w:rsidRPr="00B31BEB" w:rsidRDefault="002C61D9" w:rsidP="001A5DEC">
            <w:pPr>
              <w:tabs>
                <w:tab w:val="center" w:pos="4800"/>
                <w:tab w:val="right" w:pos="9500"/>
              </w:tabs>
              <w:rPr>
                <w:noProof/>
              </w:rPr>
            </w:pPr>
            <w:r w:rsidRPr="00B31BEB">
              <w:rPr>
                <w:noProof/>
              </w:rPr>
              <w:t>Attendance prob (L, U) are the lower (L) &amp; upper (U) 95% confidence interval limits for the attendance probabilities.</w:t>
            </w:r>
          </w:p>
          <w:p w:rsidR="00D3511C" w:rsidRPr="00B31BEB" w:rsidRDefault="00D3511C">
            <w:pPr>
              <w:tabs>
                <w:tab w:val="center" w:pos="4800"/>
                <w:tab w:val="right" w:pos="9500"/>
              </w:tabs>
            </w:pPr>
            <w:r w:rsidRPr="00B31BEB">
              <w:rPr>
                <w:noProof/>
              </w:rPr>
              <w:t xml:space="preserve">Greyed out numbers reflect non-significance at </w:t>
            </w:r>
            <w:r w:rsidRPr="00B31BEB">
              <w:rPr>
                <w:noProof/>
                <w:position w:val="-6"/>
              </w:rPr>
              <w:object w:dxaOrig="900" w:dyaOrig="279">
                <v:shape id="_x0000_i1109" type="#_x0000_t75" style="width:46.2pt;height:13.2pt" o:ole="">
                  <v:imagedata r:id="rId172" o:title=""/>
                </v:shape>
                <o:OLEObject Type="Embed" ProgID="Equation.DSMT4" ShapeID="_x0000_i1109" DrawAspect="Content" ObjectID="_1649081711" r:id="rId173"/>
              </w:object>
            </w:r>
          </w:p>
        </w:tc>
      </w:tr>
    </w:tbl>
    <w:p w:rsidR="00BA613A" w:rsidRDefault="00937AA1" w:rsidP="00BA613A">
      <w:pPr>
        <w:tabs>
          <w:tab w:val="center" w:pos="4800"/>
          <w:tab w:val="right" w:pos="9500"/>
        </w:tabs>
        <w:ind w:firstLine="720"/>
        <w:rPr>
          <w:noProof/>
        </w:rPr>
      </w:pPr>
      <w:r w:rsidRPr="00B31BEB">
        <w:rPr>
          <w:noProof/>
        </w:rPr>
        <w:lastRenderedPageBreak/>
        <w:t xml:space="preserve">Table 8 shows that except for the trust label, headquarters, distance and delivery time attributes, the proportion of consumers that initially attended to the remaining attributes in the switching ANA model were similar to those in the static ANA model. Initially, the trust label, headquarters and distance attributes were taken into account by 24%, 9% and 5% of the consumers respectively. After providing information on trust-labelled websites, the economic impacts of foreign-based webshops and the environmental impacts of long distance items transfers, the marginal share of consumers that attended to the trust label, headquarters and distance attributes increased to 43%, 12% and 10% respectively. The transition attendance probabilities in the second block of choice sets, which </w:t>
      </w:r>
      <w:r w:rsidR="00B03306" w:rsidRPr="00B31BEB">
        <w:rPr>
          <w:noProof/>
        </w:rPr>
        <w:t>are</w:t>
      </w:r>
      <w:r w:rsidRPr="00B31BEB">
        <w:rPr>
          <w:noProof/>
        </w:rPr>
        <w:t xml:space="preserve"> the building blocks for these marginal proportions, are provided in Table 9 and are discussed next. </w:t>
      </w:r>
    </w:p>
    <w:p w:rsidR="00623C36" w:rsidRPr="00B31BEB" w:rsidRDefault="00937AA1" w:rsidP="00BA613A">
      <w:pPr>
        <w:tabs>
          <w:tab w:val="center" w:pos="4800"/>
          <w:tab w:val="right" w:pos="9500"/>
        </w:tabs>
        <w:ind w:firstLine="720"/>
        <w:rPr>
          <w:noProof/>
        </w:rPr>
      </w:pPr>
      <w:r w:rsidRPr="00B31BEB">
        <w:rPr>
          <w:noProof/>
        </w:rPr>
        <w:t xml:space="preserve">Table 9 shows that 28% of the consumers who did not attend to the trust label attribute in the first block attended to it in the second block of choice sets. This proportion was 6% and 5% for the headquarters and distance attributes respectively. The 95% confidence intervals for these conditional attendance proportions did not include zero. This suggests that for e-consumers who did not initially attend to the three attributes, their attendance probabilities were significantly higher post-information. </w:t>
      </w:r>
      <w:r w:rsidR="00A66301" w:rsidRPr="00B31BEB">
        <w:rPr>
          <w:noProof/>
        </w:rPr>
        <w:t>These results support our first hypothesis</w:t>
      </w:r>
      <w:r w:rsidR="00FF7F58" w:rsidRPr="00B31BEB">
        <w:rPr>
          <w:noProof/>
        </w:rPr>
        <w:t xml:space="preserve"> (H1)</w:t>
      </w:r>
      <w:r w:rsidR="00A66301" w:rsidRPr="00B31BEB">
        <w:rPr>
          <w:noProof/>
        </w:rPr>
        <w:t>. On the other hand, the proportion of consumers who attended to the trust label, headquarters and distance attributes in the</w:t>
      </w:r>
      <w:r w:rsidR="00623C36" w:rsidRPr="00623C36">
        <w:rPr>
          <w:noProof/>
        </w:rPr>
        <w:t xml:space="preserve"> </w:t>
      </w:r>
      <w:r w:rsidR="00623C36" w:rsidRPr="00B31BEB">
        <w:rPr>
          <w:noProof/>
        </w:rPr>
        <w:t>second block having also attended to them in the first block were 91%, 76% and 96% respectively. These results indicate that consumers who initially attended to each of the three attributes almost certainly attended to the attribute in the second block.</w:t>
      </w:r>
    </w:p>
    <w:p w:rsidR="00623C36" w:rsidRDefault="00623C36">
      <w:pPr>
        <w:tabs>
          <w:tab w:val="center" w:pos="4800"/>
          <w:tab w:val="right" w:pos="9500"/>
        </w:tabs>
        <w:ind w:firstLine="720"/>
        <w:rPr>
          <w:noProof/>
        </w:rPr>
      </w:pPr>
    </w:p>
    <w:p w:rsidR="00623C36" w:rsidRDefault="00623C36">
      <w:pPr>
        <w:tabs>
          <w:tab w:val="center" w:pos="4800"/>
          <w:tab w:val="right" w:pos="9500"/>
        </w:tabs>
        <w:ind w:firstLine="720"/>
        <w:rPr>
          <w:noProof/>
        </w:rPr>
      </w:pPr>
    </w:p>
    <w:p w:rsidR="00A87515" w:rsidRPr="00B31BEB" w:rsidRDefault="00A66301">
      <w:pPr>
        <w:tabs>
          <w:tab w:val="center" w:pos="4800"/>
          <w:tab w:val="right" w:pos="9500"/>
        </w:tabs>
        <w:ind w:firstLine="720"/>
        <w:rPr>
          <w:noProof/>
        </w:rPr>
      </w:pPr>
      <w:r w:rsidRPr="00B31BEB">
        <w:rPr>
          <w:noProof/>
        </w:rPr>
        <w:t xml:space="preserve"> </w:t>
      </w:r>
    </w:p>
    <w:p w:rsidR="00D82ACD" w:rsidRPr="00B31BEB" w:rsidRDefault="00565402" w:rsidP="00545D01">
      <w:pPr>
        <w:tabs>
          <w:tab w:val="center" w:pos="4800"/>
          <w:tab w:val="right" w:pos="9500"/>
        </w:tabs>
        <w:ind w:firstLine="720"/>
        <w:rPr>
          <w:noProof/>
        </w:rPr>
      </w:pPr>
      <w:r w:rsidRPr="00B31BEB">
        <w:lastRenderedPageBreak/>
        <w:t>Table 8</w:t>
      </w:r>
      <w:r w:rsidR="00D82ACD" w:rsidRPr="00B31BEB">
        <w:t xml:space="preserve">. </w:t>
      </w:r>
      <w:r w:rsidR="00124462" w:rsidRPr="00B31BEB">
        <w:rPr>
          <w:noProof/>
        </w:rPr>
        <w:t>Multinomial logit model with switching ANA (</w:t>
      </w:r>
      <w:r w:rsidR="00124462" w:rsidRPr="00B31BEB">
        <w:rPr>
          <w:i/>
          <w:iCs/>
          <w:noProof/>
        </w:rPr>
        <w:t>Model 3</w:t>
      </w:r>
      <w:r w:rsidR="00124462" w:rsidRPr="00B31BEB">
        <w:rPr>
          <w:noProof/>
        </w:rPr>
        <w:t>)</w:t>
      </w:r>
    </w:p>
    <w:tbl>
      <w:tblPr>
        <w:tblStyle w:val="TableGrid"/>
        <w:tblW w:w="9987" w:type="dxa"/>
        <w:jc w:val="center"/>
        <w:tblLook w:val="04A0" w:firstRow="1" w:lastRow="0" w:firstColumn="1" w:lastColumn="0" w:noHBand="0" w:noVBand="1"/>
      </w:tblPr>
      <w:tblGrid>
        <w:gridCol w:w="1650"/>
        <w:gridCol w:w="1415"/>
        <w:gridCol w:w="1887"/>
        <w:gridCol w:w="1433"/>
        <w:gridCol w:w="2126"/>
        <w:gridCol w:w="1476"/>
      </w:tblGrid>
      <w:tr w:rsidR="00B31BEB" w:rsidRPr="00B31BEB" w:rsidTr="008E1EC0">
        <w:trPr>
          <w:jc w:val="center"/>
        </w:trPr>
        <w:tc>
          <w:tcPr>
            <w:tcW w:w="1650" w:type="dxa"/>
            <w:tcBorders>
              <w:top w:val="single" w:sz="4" w:space="0" w:color="auto"/>
              <w:left w:val="nil"/>
              <w:bottom w:val="single" w:sz="4" w:space="0" w:color="auto"/>
              <w:right w:val="nil"/>
            </w:tcBorders>
          </w:tcPr>
          <w:p w:rsidR="00664351" w:rsidRPr="00B31BEB" w:rsidRDefault="00664351" w:rsidP="00545D01">
            <w:pPr>
              <w:tabs>
                <w:tab w:val="center" w:pos="4800"/>
                <w:tab w:val="right" w:pos="9500"/>
              </w:tabs>
              <w:rPr>
                <w:noProof/>
              </w:rPr>
            </w:pPr>
          </w:p>
        </w:tc>
        <w:tc>
          <w:tcPr>
            <w:tcW w:w="1415" w:type="dxa"/>
            <w:tcBorders>
              <w:top w:val="single" w:sz="4" w:space="0" w:color="auto"/>
              <w:left w:val="nil"/>
              <w:bottom w:val="single" w:sz="4" w:space="0" w:color="auto"/>
              <w:right w:val="nil"/>
            </w:tcBorders>
          </w:tcPr>
          <w:p w:rsidR="00664351" w:rsidRPr="00B31BEB" w:rsidRDefault="00664351" w:rsidP="00545D01">
            <w:pPr>
              <w:tabs>
                <w:tab w:val="center" w:pos="4800"/>
                <w:tab w:val="right" w:pos="9500"/>
              </w:tabs>
              <w:rPr>
                <w:noProof/>
              </w:rPr>
            </w:pPr>
          </w:p>
        </w:tc>
        <w:tc>
          <w:tcPr>
            <w:tcW w:w="3320" w:type="dxa"/>
            <w:gridSpan w:val="2"/>
            <w:tcBorders>
              <w:top w:val="single" w:sz="4" w:space="0" w:color="auto"/>
              <w:left w:val="nil"/>
              <w:bottom w:val="single" w:sz="4" w:space="0" w:color="auto"/>
              <w:right w:val="nil"/>
            </w:tcBorders>
          </w:tcPr>
          <w:p w:rsidR="00664351" w:rsidRPr="00B31BEB" w:rsidRDefault="00664351" w:rsidP="00A27B80">
            <w:pPr>
              <w:tabs>
                <w:tab w:val="center" w:pos="4800"/>
                <w:tab w:val="right" w:pos="9500"/>
              </w:tabs>
              <w:jc w:val="center"/>
              <w:rPr>
                <w:noProof/>
              </w:rPr>
            </w:pPr>
            <w:r w:rsidRPr="00B31BEB">
              <w:rPr>
                <w:noProof/>
              </w:rPr>
              <w:t>Choice sets 1 - 6</w:t>
            </w:r>
          </w:p>
        </w:tc>
        <w:tc>
          <w:tcPr>
            <w:tcW w:w="3602" w:type="dxa"/>
            <w:gridSpan w:val="2"/>
            <w:tcBorders>
              <w:top w:val="single" w:sz="4" w:space="0" w:color="auto"/>
              <w:left w:val="nil"/>
              <w:bottom w:val="single" w:sz="4" w:space="0" w:color="auto"/>
              <w:right w:val="nil"/>
            </w:tcBorders>
          </w:tcPr>
          <w:p w:rsidR="00664351" w:rsidRPr="00B31BEB" w:rsidRDefault="00664351" w:rsidP="00664351">
            <w:pPr>
              <w:tabs>
                <w:tab w:val="center" w:pos="4800"/>
                <w:tab w:val="right" w:pos="9500"/>
              </w:tabs>
              <w:jc w:val="center"/>
              <w:rPr>
                <w:noProof/>
              </w:rPr>
            </w:pPr>
            <w:r w:rsidRPr="00B31BEB">
              <w:rPr>
                <w:noProof/>
              </w:rPr>
              <w:t>Choice sets 7 - 12</w:t>
            </w:r>
          </w:p>
        </w:tc>
      </w:tr>
      <w:tr w:rsidR="00B31BEB" w:rsidRPr="00B31BEB" w:rsidTr="008E1EC0">
        <w:trPr>
          <w:jc w:val="center"/>
        </w:trPr>
        <w:tc>
          <w:tcPr>
            <w:tcW w:w="1650" w:type="dxa"/>
            <w:tcBorders>
              <w:top w:val="single" w:sz="4" w:space="0" w:color="auto"/>
              <w:left w:val="nil"/>
              <w:bottom w:val="single" w:sz="4" w:space="0" w:color="auto"/>
              <w:right w:val="nil"/>
            </w:tcBorders>
          </w:tcPr>
          <w:p w:rsidR="00805BC7" w:rsidRPr="00B31BEB" w:rsidRDefault="00805BC7" w:rsidP="00545D01">
            <w:pPr>
              <w:tabs>
                <w:tab w:val="center" w:pos="4800"/>
                <w:tab w:val="right" w:pos="9500"/>
              </w:tabs>
              <w:rPr>
                <w:noProof/>
              </w:rPr>
            </w:pPr>
            <w:r w:rsidRPr="00B31BEB">
              <w:rPr>
                <w:noProof/>
              </w:rPr>
              <w:t>Attribute</w:t>
            </w:r>
          </w:p>
        </w:tc>
        <w:tc>
          <w:tcPr>
            <w:tcW w:w="1415" w:type="dxa"/>
            <w:tcBorders>
              <w:top w:val="single" w:sz="4" w:space="0" w:color="auto"/>
              <w:left w:val="nil"/>
              <w:bottom w:val="single" w:sz="4" w:space="0" w:color="auto"/>
              <w:right w:val="nil"/>
            </w:tcBorders>
          </w:tcPr>
          <w:p w:rsidR="00805BC7" w:rsidRPr="00B31BEB" w:rsidRDefault="00805BC7" w:rsidP="00FA0AD3">
            <w:pPr>
              <w:tabs>
                <w:tab w:val="center" w:pos="4800"/>
                <w:tab w:val="right" w:pos="9500"/>
              </w:tabs>
              <w:rPr>
                <w:noProof/>
              </w:rPr>
            </w:pPr>
            <w:r w:rsidRPr="00B31BEB">
              <w:rPr>
                <w:noProof/>
              </w:rPr>
              <w:t>Coef</w:t>
            </w:r>
            <w:r w:rsidR="00FA0AD3" w:rsidRPr="00B31BEB">
              <w:rPr>
                <w:position w:val="-4"/>
              </w:rPr>
              <w:object w:dxaOrig="220" w:dyaOrig="300">
                <v:shape id="_x0000_i1110" type="#_x0000_t75" style="width:11.4pt;height:16.2pt" o:ole="">
                  <v:imagedata r:id="rId174" o:title=""/>
                </v:shape>
                <o:OLEObject Type="Embed" ProgID="Equation.DSMT4" ShapeID="_x0000_i1110" DrawAspect="Content" ObjectID="_1649081712" r:id="rId175"/>
              </w:object>
            </w:r>
            <w:r w:rsidRPr="00B31BEB">
              <w:rPr>
                <w:noProof/>
              </w:rPr>
              <w:t>SD)</w:t>
            </w:r>
          </w:p>
        </w:tc>
        <w:tc>
          <w:tcPr>
            <w:tcW w:w="1887" w:type="dxa"/>
            <w:tcBorders>
              <w:top w:val="single" w:sz="4" w:space="0" w:color="auto"/>
              <w:left w:val="nil"/>
              <w:bottom w:val="single" w:sz="4" w:space="0" w:color="auto"/>
              <w:right w:val="nil"/>
            </w:tcBorders>
          </w:tcPr>
          <w:p w:rsidR="00805BC7" w:rsidRPr="00B31BEB" w:rsidRDefault="00977F87" w:rsidP="00B52298">
            <w:pPr>
              <w:tabs>
                <w:tab w:val="center" w:pos="4800"/>
                <w:tab w:val="right" w:pos="9500"/>
              </w:tabs>
              <w:rPr>
                <w:noProof/>
              </w:rPr>
            </w:pPr>
            <w:r w:rsidRPr="00B31BEB">
              <w:rPr>
                <w:noProof/>
              </w:rPr>
              <w:t>Initial (</w:t>
            </w:r>
            <w:r w:rsidR="00F5793C" w:rsidRPr="00B31BEB">
              <w:rPr>
                <w:position w:val="-14"/>
              </w:rPr>
              <w:object w:dxaOrig="260" w:dyaOrig="380">
                <v:shape id="_x0000_i1111" type="#_x0000_t75" style="width:12.6pt;height:18.6pt" o:ole="">
                  <v:imagedata r:id="rId176" o:title=""/>
                </v:shape>
                <o:OLEObject Type="Embed" ProgID="Equation.DSMT4" ShapeID="_x0000_i1111" DrawAspect="Content" ObjectID="_1649081713" r:id="rId177"/>
              </w:object>
            </w:r>
            <w:r w:rsidR="00F5793C" w:rsidRPr="00B31BEB">
              <w:rPr>
                <w:noProof/>
              </w:rPr>
              <w:t>) attendance prob</w:t>
            </w:r>
            <w:r w:rsidR="00B52298" w:rsidRPr="00B31BEB">
              <w:rPr>
                <w:position w:val="-10"/>
              </w:rPr>
              <w:object w:dxaOrig="660" w:dyaOrig="360">
                <v:shape id="_x0000_i1112" type="#_x0000_t75" style="width:34.2pt;height:18pt" o:ole="">
                  <v:imagedata r:id="rId178" o:title=""/>
                </v:shape>
                <o:OLEObject Type="Embed" ProgID="Equation.DSMT4" ShapeID="_x0000_i1112" DrawAspect="Content" ObjectID="_1649081714" r:id="rId179"/>
              </w:object>
            </w:r>
            <w:r w:rsidR="00F5793C" w:rsidRPr="00B31BEB">
              <w:rPr>
                <w:noProof/>
              </w:rPr>
              <w:t xml:space="preserve"> </w:t>
            </w:r>
          </w:p>
        </w:tc>
        <w:tc>
          <w:tcPr>
            <w:tcW w:w="1433" w:type="dxa"/>
            <w:tcBorders>
              <w:top w:val="single" w:sz="4" w:space="0" w:color="auto"/>
              <w:left w:val="nil"/>
              <w:bottom w:val="single" w:sz="4" w:space="0" w:color="auto"/>
              <w:right w:val="nil"/>
            </w:tcBorders>
          </w:tcPr>
          <w:p w:rsidR="00805BC7" w:rsidRPr="00B31BEB" w:rsidRDefault="001460A2" w:rsidP="0076417B">
            <w:pPr>
              <w:tabs>
                <w:tab w:val="center" w:pos="4800"/>
                <w:tab w:val="right" w:pos="9500"/>
              </w:tabs>
              <w:rPr>
                <w:noProof/>
              </w:rPr>
            </w:pPr>
            <w:r w:rsidRPr="00B31BEB">
              <w:rPr>
                <w:noProof/>
              </w:rPr>
              <w:t>Coef</w:t>
            </w:r>
            <w:r w:rsidR="0076417B" w:rsidRPr="00B31BEB">
              <w:rPr>
                <w:position w:val="-4"/>
              </w:rPr>
              <w:object w:dxaOrig="139" w:dyaOrig="300">
                <v:shape id="_x0000_i1113" type="#_x0000_t75" style="width:6.6pt;height:16.2pt" o:ole="">
                  <v:imagedata r:id="rId180" o:title=""/>
                </v:shape>
                <o:OLEObject Type="Embed" ProgID="Equation.DSMT4" ShapeID="_x0000_i1113" DrawAspect="Content" ObjectID="_1649081715" r:id="rId181"/>
              </w:object>
            </w:r>
            <w:r w:rsidRPr="00B31BEB">
              <w:rPr>
                <w:noProof/>
              </w:rPr>
              <w:t>(SD)</w:t>
            </w:r>
          </w:p>
        </w:tc>
        <w:tc>
          <w:tcPr>
            <w:tcW w:w="2126" w:type="dxa"/>
            <w:tcBorders>
              <w:top w:val="single" w:sz="4" w:space="0" w:color="auto"/>
              <w:left w:val="nil"/>
              <w:bottom w:val="single" w:sz="4" w:space="0" w:color="auto"/>
              <w:right w:val="nil"/>
            </w:tcBorders>
          </w:tcPr>
          <w:p w:rsidR="00805BC7" w:rsidRPr="00B31BEB" w:rsidRDefault="00313044" w:rsidP="00313044">
            <w:pPr>
              <w:tabs>
                <w:tab w:val="center" w:pos="4800"/>
                <w:tab w:val="right" w:pos="9500"/>
              </w:tabs>
              <w:rPr>
                <w:noProof/>
              </w:rPr>
            </w:pPr>
            <w:r w:rsidRPr="00B31BEB">
              <w:rPr>
                <w:noProof/>
              </w:rPr>
              <w:t>Marginal (</w:t>
            </w:r>
            <w:r w:rsidRPr="00B31BEB">
              <w:rPr>
                <w:position w:val="-14"/>
              </w:rPr>
              <w:object w:dxaOrig="279" w:dyaOrig="380">
                <v:shape id="_x0000_i1114" type="#_x0000_t75" style="width:13.2pt;height:18.6pt" o:ole="">
                  <v:imagedata r:id="rId182" o:title=""/>
                </v:shape>
                <o:OLEObject Type="Embed" ProgID="Equation.DSMT4" ShapeID="_x0000_i1114" DrawAspect="Content" ObjectID="_1649081716" r:id="rId183"/>
              </w:object>
            </w:r>
            <w:r w:rsidRPr="00B31BEB">
              <w:rPr>
                <w:noProof/>
              </w:rPr>
              <w:t>) attendance prob</w:t>
            </w:r>
            <w:r w:rsidRPr="00B31BEB">
              <w:rPr>
                <w:position w:val="-10"/>
              </w:rPr>
              <w:object w:dxaOrig="680" w:dyaOrig="360">
                <v:shape id="_x0000_i1115" type="#_x0000_t75" style="width:34.2pt;height:18pt" o:ole="">
                  <v:imagedata r:id="rId184" o:title=""/>
                </v:shape>
                <o:OLEObject Type="Embed" ProgID="Equation.DSMT4" ShapeID="_x0000_i1115" DrawAspect="Content" ObjectID="_1649081717" r:id="rId185"/>
              </w:object>
            </w:r>
          </w:p>
        </w:tc>
        <w:tc>
          <w:tcPr>
            <w:tcW w:w="1476" w:type="dxa"/>
            <w:tcBorders>
              <w:top w:val="single" w:sz="4" w:space="0" w:color="auto"/>
              <w:left w:val="nil"/>
              <w:bottom w:val="single" w:sz="4" w:space="0" w:color="auto"/>
              <w:right w:val="nil"/>
            </w:tcBorders>
          </w:tcPr>
          <w:p w:rsidR="00805BC7" w:rsidRPr="00B31BEB" w:rsidRDefault="00DC5037" w:rsidP="00545D01">
            <w:pPr>
              <w:tabs>
                <w:tab w:val="center" w:pos="4800"/>
                <w:tab w:val="right" w:pos="9500"/>
              </w:tabs>
              <w:rPr>
                <w:noProof/>
              </w:rPr>
            </w:pPr>
            <w:r w:rsidRPr="00B31BEB">
              <w:rPr>
                <w:noProof/>
              </w:rPr>
              <w:t>Coef</w:t>
            </w:r>
            <w:r w:rsidRPr="00B31BEB">
              <w:rPr>
                <w:position w:val="-4"/>
              </w:rPr>
              <w:object w:dxaOrig="139" w:dyaOrig="300">
                <v:shape id="_x0000_i1116" type="#_x0000_t75" style="width:6.6pt;height:16.2pt" o:ole="">
                  <v:imagedata r:id="rId180" o:title=""/>
                </v:shape>
                <o:OLEObject Type="Embed" ProgID="Equation.DSMT4" ShapeID="_x0000_i1116" DrawAspect="Content" ObjectID="_1649081718" r:id="rId186"/>
              </w:object>
            </w:r>
            <w:r w:rsidRPr="00B31BEB">
              <w:rPr>
                <w:noProof/>
              </w:rPr>
              <w:t>(SD)</w:t>
            </w:r>
          </w:p>
        </w:tc>
      </w:tr>
      <w:tr w:rsidR="00B31BEB" w:rsidRPr="00B31BEB" w:rsidTr="008E1EC0">
        <w:trPr>
          <w:jc w:val="center"/>
        </w:trPr>
        <w:tc>
          <w:tcPr>
            <w:tcW w:w="1650" w:type="dxa"/>
            <w:tcBorders>
              <w:top w:val="single" w:sz="4" w:space="0" w:color="auto"/>
              <w:left w:val="nil"/>
              <w:bottom w:val="nil"/>
              <w:right w:val="nil"/>
            </w:tcBorders>
          </w:tcPr>
          <w:p w:rsidR="00805BC7" w:rsidRPr="00B31BEB" w:rsidRDefault="000B7C08" w:rsidP="00545D01">
            <w:pPr>
              <w:tabs>
                <w:tab w:val="center" w:pos="4800"/>
                <w:tab w:val="right" w:pos="9500"/>
              </w:tabs>
              <w:rPr>
                <w:noProof/>
              </w:rPr>
            </w:pPr>
            <w:r w:rsidRPr="00B31BEB">
              <w:t>OptOut</w:t>
            </w:r>
          </w:p>
        </w:tc>
        <w:tc>
          <w:tcPr>
            <w:tcW w:w="1415" w:type="dxa"/>
            <w:tcBorders>
              <w:top w:val="single" w:sz="4" w:space="0" w:color="auto"/>
              <w:left w:val="nil"/>
              <w:bottom w:val="nil"/>
              <w:right w:val="nil"/>
            </w:tcBorders>
          </w:tcPr>
          <w:p w:rsidR="00805BC7" w:rsidRPr="00B31BEB" w:rsidRDefault="000B7C08" w:rsidP="00545D01">
            <w:pPr>
              <w:tabs>
                <w:tab w:val="center" w:pos="4800"/>
                <w:tab w:val="right" w:pos="9500"/>
              </w:tabs>
              <w:rPr>
                <w:noProof/>
              </w:rPr>
            </w:pPr>
            <w:r w:rsidRPr="00B31BEB">
              <w:t>-4.04 (0.24)</w:t>
            </w:r>
          </w:p>
        </w:tc>
        <w:tc>
          <w:tcPr>
            <w:tcW w:w="1887" w:type="dxa"/>
            <w:tcBorders>
              <w:top w:val="single" w:sz="4" w:space="0" w:color="auto"/>
              <w:left w:val="nil"/>
              <w:bottom w:val="nil"/>
              <w:right w:val="nil"/>
            </w:tcBorders>
          </w:tcPr>
          <w:p w:rsidR="00805BC7" w:rsidRPr="00B31BEB" w:rsidRDefault="00805BC7" w:rsidP="00545D01">
            <w:pPr>
              <w:tabs>
                <w:tab w:val="center" w:pos="4800"/>
                <w:tab w:val="right" w:pos="9500"/>
              </w:tabs>
              <w:rPr>
                <w:noProof/>
              </w:rPr>
            </w:pPr>
          </w:p>
        </w:tc>
        <w:tc>
          <w:tcPr>
            <w:tcW w:w="1433" w:type="dxa"/>
            <w:tcBorders>
              <w:top w:val="single" w:sz="4" w:space="0" w:color="auto"/>
              <w:left w:val="nil"/>
              <w:bottom w:val="nil"/>
              <w:right w:val="nil"/>
            </w:tcBorders>
          </w:tcPr>
          <w:p w:rsidR="00805BC7" w:rsidRPr="00B31BEB" w:rsidRDefault="000B7C08" w:rsidP="00545D01">
            <w:pPr>
              <w:tabs>
                <w:tab w:val="center" w:pos="4800"/>
                <w:tab w:val="right" w:pos="9500"/>
              </w:tabs>
              <w:rPr>
                <w:noProof/>
              </w:rPr>
            </w:pPr>
            <w:r w:rsidRPr="00B31BEB">
              <w:t>-4.04 (0.24)</w:t>
            </w:r>
          </w:p>
        </w:tc>
        <w:tc>
          <w:tcPr>
            <w:tcW w:w="2126" w:type="dxa"/>
            <w:tcBorders>
              <w:top w:val="single" w:sz="4" w:space="0" w:color="auto"/>
              <w:left w:val="nil"/>
              <w:bottom w:val="nil"/>
              <w:right w:val="nil"/>
            </w:tcBorders>
          </w:tcPr>
          <w:p w:rsidR="00805BC7" w:rsidRPr="00B31BEB" w:rsidRDefault="00805BC7" w:rsidP="00545D01">
            <w:pPr>
              <w:tabs>
                <w:tab w:val="center" w:pos="4800"/>
                <w:tab w:val="right" w:pos="9500"/>
              </w:tabs>
              <w:rPr>
                <w:noProof/>
              </w:rPr>
            </w:pPr>
          </w:p>
        </w:tc>
        <w:tc>
          <w:tcPr>
            <w:tcW w:w="1476" w:type="dxa"/>
            <w:tcBorders>
              <w:top w:val="single" w:sz="4" w:space="0" w:color="auto"/>
              <w:left w:val="nil"/>
              <w:bottom w:val="nil"/>
              <w:right w:val="nil"/>
            </w:tcBorders>
          </w:tcPr>
          <w:p w:rsidR="00805BC7" w:rsidRPr="00B31BEB" w:rsidRDefault="00805BC7" w:rsidP="00545D01">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805BC7" w:rsidRPr="00B31BEB" w:rsidRDefault="000B7C08" w:rsidP="00545D01">
            <w:pPr>
              <w:tabs>
                <w:tab w:val="center" w:pos="4800"/>
                <w:tab w:val="right" w:pos="9500"/>
              </w:tabs>
              <w:rPr>
                <w:noProof/>
              </w:rPr>
            </w:pPr>
            <w:r w:rsidRPr="00B31BEB">
              <w:t>Delivery time</w:t>
            </w:r>
          </w:p>
        </w:tc>
        <w:tc>
          <w:tcPr>
            <w:tcW w:w="1415" w:type="dxa"/>
            <w:tcBorders>
              <w:top w:val="nil"/>
              <w:left w:val="nil"/>
              <w:bottom w:val="nil"/>
              <w:right w:val="nil"/>
            </w:tcBorders>
          </w:tcPr>
          <w:p w:rsidR="00805BC7" w:rsidRPr="00B31BEB" w:rsidRDefault="00C75518" w:rsidP="00545D01">
            <w:pPr>
              <w:tabs>
                <w:tab w:val="center" w:pos="4800"/>
                <w:tab w:val="right" w:pos="9500"/>
              </w:tabs>
              <w:rPr>
                <w:noProof/>
              </w:rPr>
            </w:pPr>
            <w:r w:rsidRPr="00B31BEB">
              <w:t>-0.40 (0.23)</w:t>
            </w:r>
          </w:p>
        </w:tc>
        <w:tc>
          <w:tcPr>
            <w:tcW w:w="1887" w:type="dxa"/>
            <w:tcBorders>
              <w:top w:val="nil"/>
              <w:left w:val="nil"/>
              <w:bottom w:val="nil"/>
              <w:right w:val="nil"/>
            </w:tcBorders>
          </w:tcPr>
          <w:p w:rsidR="00805BC7" w:rsidRPr="00B31BEB" w:rsidRDefault="00D8639E" w:rsidP="00545D01">
            <w:pPr>
              <w:tabs>
                <w:tab w:val="center" w:pos="4800"/>
                <w:tab w:val="right" w:pos="9500"/>
              </w:tabs>
              <w:rPr>
                <w:noProof/>
              </w:rPr>
            </w:pPr>
            <w:r w:rsidRPr="00B31BEB">
              <w:t>0.04 (0.00, 0.34)</w:t>
            </w:r>
          </w:p>
        </w:tc>
        <w:tc>
          <w:tcPr>
            <w:tcW w:w="1433" w:type="dxa"/>
            <w:tcBorders>
              <w:top w:val="nil"/>
              <w:left w:val="nil"/>
              <w:bottom w:val="nil"/>
              <w:right w:val="nil"/>
            </w:tcBorders>
          </w:tcPr>
          <w:p w:rsidR="00805BC7" w:rsidRPr="00B31BEB" w:rsidRDefault="00D8639E" w:rsidP="00545D01">
            <w:pPr>
              <w:tabs>
                <w:tab w:val="center" w:pos="4800"/>
                <w:tab w:val="right" w:pos="9500"/>
              </w:tabs>
              <w:rPr>
                <w:noProof/>
              </w:rPr>
            </w:pPr>
            <w:r w:rsidRPr="00B31BEB">
              <w:t>-0.02 (0.01)</w:t>
            </w:r>
          </w:p>
        </w:tc>
        <w:tc>
          <w:tcPr>
            <w:tcW w:w="2126" w:type="dxa"/>
            <w:tcBorders>
              <w:top w:val="nil"/>
              <w:left w:val="nil"/>
              <w:bottom w:val="nil"/>
              <w:right w:val="nil"/>
            </w:tcBorders>
          </w:tcPr>
          <w:p w:rsidR="00805BC7" w:rsidRPr="00B31BEB" w:rsidRDefault="00805BC7" w:rsidP="00545D01">
            <w:pPr>
              <w:tabs>
                <w:tab w:val="center" w:pos="4800"/>
                <w:tab w:val="right" w:pos="9500"/>
              </w:tabs>
              <w:rPr>
                <w:noProof/>
              </w:rPr>
            </w:pPr>
          </w:p>
        </w:tc>
        <w:tc>
          <w:tcPr>
            <w:tcW w:w="1476" w:type="dxa"/>
            <w:tcBorders>
              <w:top w:val="nil"/>
              <w:left w:val="nil"/>
              <w:bottom w:val="nil"/>
              <w:right w:val="nil"/>
            </w:tcBorders>
          </w:tcPr>
          <w:p w:rsidR="00805BC7" w:rsidRPr="00B31BEB" w:rsidRDefault="00805BC7" w:rsidP="00545D01">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5B28A3" w:rsidRPr="00B31BEB" w:rsidRDefault="005B28A3" w:rsidP="005B28A3">
            <w:pPr>
              <w:tabs>
                <w:tab w:val="center" w:pos="4800"/>
                <w:tab w:val="right" w:pos="9500"/>
              </w:tabs>
              <w:rPr>
                <w:noProof/>
              </w:rPr>
            </w:pPr>
            <w:r w:rsidRPr="00B31BEB">
              <w:t>Delivery price</w:t>
            </w:r>
          </w:p>
        </w:tc>
        <w:tc>
          <w:tcPr>
            <w:tcW w:w="1415" w:type="dxa"/>
            <w:tcBorders>
              <w:top w:val="nil"/>
              <w:left w:val="nil"/>
              <w:bottom w:val="nil"/>
              <w:right w:val="nil"/>
            </w:tcBorders>
          </w:tcPr>
          <w:p w:rsidR="005B28A3" w:rsidRPr="00B31BEB" w:rsidRDefault="005B28A3" w:rsidP="005B28A3">
            <w:pPr>
              <w:tabs>
                <w:tab w:val="center" w:pos="4800"/>
                <w:tab w:val="right" w:pos="9500"/>
              </w:tabs>
              <w:rPr>
                <w:noProof/>
              </w:rPr>
            </w:pPr>
            <w:r w:rsidRPr="00B31BEB">
              <w:t>-0.37 (0.02)</w:t>
            </w:r>
          </w:p>
        </w:tc>
        <w:tc>
          <w:tcPr>
            <w:tcW w:w="1887" w:type="dxa"/>
            <w:tcBorders>
              <w:top w:val="nil"/>
              <w:left w:val="nil"/>
              <w:bottom w:val="nil"/>
              <w:right w:val="nil"/>
            </w:tcBorders>
          </w:tcPr>
          <w:p w:rsidR="005B28A3" w:rsidRPr="00B31BEB" w:rsidRDefault="005B28A3" w:rsidP="00021FCD">
            <w:pPr>
              <w:tabs>
                <w:tab w:val="center" w:pos="4800"/>
                <w:tab w:val="right" w:pos="9500"/>
              </w:tabs>
              <w:jc w:val="both"/>
            </w:pPr>
            <w:r w:rsidRPr="00B31BEB">
              <w:t xml:space="preserve">0.48 (0.39, 0.58) </w:t>
            </w:r>
          </w:p>
        </w:tc>
        <w:tc>
          <w:tcPr>
            <w:tcW w:w="1433" w:type="dxa"/>
            <w:tcBorders>
              <w:top w:val="nil"/>
              <w:left w:val="nil"/>
              <w:bottom w:val="nil"/>
              <w:right w:val="nil"/>
            </w:tcBorders>
          </w:tcPr>
          <w:p w:rsidR="005B28A3" w:rsidRPr="00B31BEB" w:rsidRDefault="005B28A3" w:rsidP="00021FCD">
            <w:pPr>
              <w:tabs>
                <w:tab w:val="center" w:pos="4800"/>
                <w:tab w:val="right" w:pos="9500"/>
              </w:tabs>
              <w:jc w:val="both"/>
            </w:pPr>
            <w:r w:rsidRPr="00B31BEB">
              <w:t xml:space="preserve">-0.18 (0.02) </w:t>
            </w:r>
          </w:p>
        </w:tc>
        <w:tc>
          <w:tcPr>
            <w:tcW w:w="2126" w:type="dxa"/>
            <w:tcBorders>
              <w:top w:val="nil"/>
              <w:left w:val="nil"/>
              <w:bottom w:val="nil"/>
              <w:right w:val="nil"/>
            </w:tcBorders>
          </w:tcPr>
          <w:p w:rsidR="005B28A3" w:rsidRPr="00B31BEB" w:rsidRDefault="005B28A3" w:rsidP="005B28A3">
            <w:pPr>
              <w:tabs>
                <w:tab w:val="center" w:pos="4800"/>
                <w:tab w:val="right" w:pos="9500"/>
              </w:tabs>
              <w:rPr>
                <w:noProof/>
              </w:rPr>
            </w:pPr>
          </w:p>
        </w:tc>
        <w:tc>
          <w:tcPr>
            <w:tcW w:w="1476" w:type="dxa"/>
            <w:tcBorders>
              <w:top w:val="nil"/>
              <w:left w:val="nil"/>
              <w:bottom w:val="nil"/>
              <w:right w:val="nil"/>
            </w:tcBorders>
          </w:tcPr>
          <w:p w:rsidR="005B28A3" w:rsidRPr="00B31BEB" w:rsidRDefault="005B28A3" w:rsidP="005B28A3">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0A3482" w:rsidRPr="00B31BEB" w:rsidRDefault="000A3482" w:rsidP="000A3482">
            <w:pPr>
              <w:tabs>
                <w:tab w:val="center" w:pos="4800"/>
                <w:tab w:val="right" w:pos="9500"/>
              </w:tabs>
              <w:jc w:val="both"/>
            </w:pPr>
            <w:r w:rsidRPr="00B31BEB">
              <w:t xml:space="preserve">Returning </w:t>
            </w:r>
          </w:p>
        </w:tc>
        <w:tc>
          <w:tcPr>
            <w:tcW w:w="1415" w:type="dxa"/>
            <w:tcBorders>
              <w:top w:val="nil"/>
              <w:left w:val="nil"/>
              <w:bottom w:val="nil"/>
              <w:right w:val="nil"/>
            </w:tcBorders>
          </w:tcPr>
          <w:p w:rsidR="000A3482" w:rsidRPr="00B31BEB" w:rsidRDefault="000A3482" w:rsidP="000A3482">
            <w:pPr>
              <w:tabs>
                <w:tab w:val="center" w:pos="4800"/>
                <w:tab w:val="right" w:pos="9500"/>
              </w:tabs>
              <w:jc w:val="both"/>
            </w:pPr>
            <w:r w:rsidRPr="00B31BEB">
              <w:t xml:space="preserve">-1.70 (0.25) </w:t>
            </w:r>
          </w:p>
        </w:tc>
        <w:tc>
          <w:tcPr>
            <w:tcW w:w="1887" w:type="dxa"/>
            <w:tcBorders>
              <w:top w:val="nil"/>
              <w:left w:val="nil"/>
              <w:bottom w:val="nil"/>
              <w:right w:val="nil"/>
            </w:tcBorders>
          </w:tcPr>
          <w:p w:rsidR="000A3482" w:rsidRPr="00B31BEB" w:rsidRDefault="000A3482" w:rsidP="000A3482">
            <w:pPr>
              <w:tabs>
                <w:tab w:val="center" w:pos="4800"/>
                <w:tab w:val="right" w:pos="9500"/>
              </w:tabs>
              <w:jc w:val="both"/>
            </w:pPr>
            <w:r w:rsidRPr="00B31BEB">
              <w:t xml:space="preserve">0.50 (0.32, 0.67) </w:t>
            </w:r>
          </w:p>
        </w:tc>
        <w:tc>
          <w:tcPr>
            <w:tcW w:w="1433" w:type="dxa"/>
            <w:tcBorders>
              <w:top w:val="nil"/>
              <w:left w:val="nil"/>
              <w:bottom w:val="nil"/>
              <w:right w:val="nil"/>
            </w:tcBorders>
          </w:tcPr>
          <w:p w:rsidR="000A3482" w:rsidRPr="00B31BEB" w:rsidRDefault="000A3482" w:rsidP="000A3482">
            <w:pPr>
              <w:tabs>
                <w:tab w:val="center" w:pos="4800"/>
                <w:tab w:val="right" w:pos="9500"/>
              </w:tabs>
              <w:jc w:val="both"/>
            </w:pPr>
            <w:r w:rsidRPr="00B31BEB">
              <w:t xml:space="preserve">-0.84 (0.10) </w:t>
            </w:r>
          </w:p>
        </w:tc>
        <w:tc>
          <w:tcPr>
            <w:tcW w:w="2126" w:type="dxa"/>
            <w:tcBorders>
              <w:top w:val="nil"/>
              <w:left w:val="nil"/>
              <w:bottom w:val="nil"/>
              <w:right w:val="nil"/>
            </w:tcBorders>
          </w:tcPr>
          <w:p w:rsidR="000A3482" w:rsidRPr="00B31BEB" w:rsidRDefault="000A3482" w:rsidP="000A3482">
            <w:pPr>
              <w:tabs>
                <w:tab w:val="center" w:pos="4800"/>
                <w:tab w:val="right" w:pos="9500"/>
              </w:tabs>
              <w:rPr>
                <w:noProof/>
              </w:rPr>
            </w:pPr>
          </w:p>
        </w:tc>
        <w:tc>
          <w:tcPr>
            <w:tcW w:w="1476" w:type="dxa"/>
            <w:tcBorders>
              <w:top w:val="nil"/>
              <w:left w:val="nil"/>
              <w:bottom w:val="nil"/>
              <w:right w:val="nil"/>
            </w:tcBorders>
          </w:tcPr>
          <w:p w:rsidR="000A3482" w:rsidRPr="00B31BEB" w:rsidRDefault="000A3482" w:rsidP="000A3482">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933B27" w:rsidRPr="00B31BEB" w:rsidRDefault="00933B27" w:rsidP="00933B27">
            <w:pPr>
              <w:tabs>
                <w:tab w:val="center" w:pos="4800"/>
                <w:tab w:val="right" w:pos="9500"/>
              </w:tabs>
              <w:jc w:val="both"/>
            </w:pPr>
            <w:r w:rsidRPr="00B31BEB">
              <w:t xml:space="preserve">Rating </w:t>
            </w:r>
          </w:p>
        </w:tc>
        <w:tc>
          <w:tcPr>
            <w:tcW w:w="1415" w:type="dxa"/>
            <w:tcBorders>
              <w:top w:val="nil"/>
              <w:left w:val="nil"/>
              <w:bottom w:val="nil"/>
              <w:right w:val="nil"/>
            </w:tcBorders>
          </w:tcPr>
          <w:p w:rsidR="00933B27" w:rsidRPr="00B31BEB" w:rsidRDefault="00933B27" w:rsidP="00933B27">
            <w:pPr>
              <w:tabs>
                <w:tab w:val="center" w:pos="4800"/>
                <w:tab w:val="right" w:pos="9500"/>
              </w:tabs>
              <w:jc w:val="both"/>
            </w:pPr>
            <w:r w:rsidRPr="00B31BEB">
              <w:t xml:space="preserve">0.51 (0.09) </w:t>
            </w:r>
          </w:p>
        </w:tc>
        <w:tc>
          <w:tcPr>
            <w:tcW w:w="1887" w:type="dxa"/>
            <w:tcBorders>
              <w:top w:val="nil"/>
              <w:left w:val="nil"/>
              <w:bottom w:val="nil"/>
              <w:right w:val="nil"/>
            </w:tcBorders>
          </w:tcPr>
          <w:p w:rsidR="00933B27" w:rsidRPr="00B31BEB" w:rsidRDefault="00933B27" w:rsidP="00933B27">
            <w:pPr>
              <w:tabs>
                <w:tab w:val="center" w:pos="4800"/>
                <w:tab w:val="right" w:pos="9500"/>
              </w:tabs>
              <w:jc w:val="both"/>
            </w:pPr>
            <w:r w:rsidRPr="00B31BEB">
              <w:t xml:space="preserve">0.21 (0.11, 0.36) </w:t>
            </w:r>
          </w:p>
        </w:tc>
        <w:tc>
          <w:tcPr>
            <w:tcW w:w="1433" w:type="dxa"/>
            <w:tcBorders>
              <w:top w:val="nil"/>
              <w:left w:val="nil"/>
              <w:bottom w:val="nil"/>
              <w:right w:val="nil"/>
            </w:tcBorders>
          </w:tcPr>
          <w:p w:rsidR="00933B27" w:rsidRPr="00B31BEB" w:rsidRDefault="00933B27" w:rsidP="00933B27">
            <w:pPr>
              <w:tabs>
                <w:tab w:val="center" w:pos="4800"/>
                <w:tab w:val="right" w:pos="9500"/>
              </w:tabs>
              <w:jc w:val="both"/>
            </w:pPr>
            <w:r w:rsidRPr="00B31BEB">
              <w:t xml:space="preserve">0.11 (0.02) </w:t>
            </w:r>
          </w:p>
        </w:tc>
        <w:tc>
          <w:tcPr>
            <w:tcW w:w="2126" w:type="dxa"/>
            <w:tcBorders>
              <w:top w:val="nil"/>
              <w:left w:val="nil"/>
              <w:bottom w:val="nil"/>
              <w:right w:val="nil"/>
            </w:tcBorders>
          </w:tcPr>
          <w:p w:rsidR="00933B27" w:rsidRPr="00B31BEB" w:rsidRDefault="00933B27" w:rsidP="00933B27">
            <w:pPr>
              <w:tabs>
                <w:tab w:val="center" w:pos="4800"/>
                <w:tab w:val="right" w:pos="9500"/>
              </w:tabs>
              <w:rPr>
                <w:noProof/>
              </w:rPr>
            </w:pPr>
          </w:p>
        </w:tc>
        <w:tc>
          <w:tcPr>
            <w:tcW w:w="1476" w:type="dxa"/>
            <w:tcBorders>
              <w:top w:val="nil"/>
              <w:left w:val="nil"/>
              <w:bottom w:val="nil"/>
              <w:right w:val="nil"/>
            </w:tcBorders>
          </w:tcPr>
          <w:p w:rsidR="00933B27" w:rsidRPr="00B31BEB" w:rsidRDefault="00933B27" w:rsidP="00933B27">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0363C1" w:rsidRPr="00B31BEB" w:rsidRDefault="000363C1" w:rsidP="000363C1">
            <w:pPr>
              <w:tabs>
                <w:tab w:val="center" w:pos="4800"/>
                <w:tab w:val="right" w:pos="9500"/>
              </w:tabs>
              <w:jc w:val="both"/>
            </w:pPr>
            <w:r w:rsidRPr="00B31BEB">
              <w:t xml:space="preserve">Discount </w:t>
            </w:r>
          </w:p>
        </w:tc>
        <w:tc>
          <w:tcPr>
            <w:tcW w:w="1415" w:type="dxa"/>
            <w:tcBorders>
              <w:top w:val="nil"/>
              <w:left w:val="nil"/>
              <w:bottom w:val="nil"/>
              <w:right w:val="nil"/>
            </w:tcBorders>
          </w:tcPr>
          <w:p w:rsidR="000363C1" w:rsidRPr="00B31BEB" w:rsidRDefault="000363C1" w:rsidP="000363C1">
            <w:pPr>
              <w:tabs>
                <w:tab w:val="center" w:pos="4800"/>
                <w:tab w:val="right" w:pos="9500"/>
              </w:tabs>
              <w:jc w:val="both"/>
            </w:pPr>
            <w:r w:rsidRPr="00B31BEB">
              <w:t xml:space="preserve">0.23 (0.06) </w:t>
            </w:r>
          </w:p>
        </w:tc>
        <w:tc>
          <w:tcPr>
            <w:tcW w:w="1887" w:type="dxa"/>
            <w:tcBorders>
              <w:top w:val="nil"/>
              <w:left w:val="nil"/>
              <w:bottom w:val="nil"/>
              <w:right w:val="nil"/>
            </w:tcBorders>
          </w:tcPr>
          <w:p w:rsidR="000363C1" w:rsidRPr="00B31BEB" w:rsidRDefault="000363C1" w:rsidP="000363C1">
            <w:pPr>
              <w:tabs>
                <w:tab w:val="center" w:pos="4800"/>
                <w:tab w:val="right" w:pos="9500"/>
              </w:tabs>
              <w:jc w:val="both"/>
            </w:pPr>
            <w:r w:rsidRPr="00B31BEB">
              <w:t xml:space="preserve">0.02 (0.01, 0.07) </w:t>
            </w:r>
          </w:p>
        </w:tc>
        <w:tc>
          <w:tcPr>
            <w:tcW w:w="1433" w:type="dxa"/>
            <w:tcBorders>
              <w:top w:val="nil"/>
              <w:left w:val="nil"/>
              <w:bottom w:val="nil"/>
              <w:right w:val="nil"/>
            </w:tcBorders>
          </w:tcPr>
          <w:p w:rsidR="000363C1" w:rsidRPr="00B31BEB" w:rsidRDefault="000363C1" w:rsidP="000363C1">
            <w:pPr>
              <w:tabs>
                <w:tab w:val="center" w:pos="4800"/>
                <w:tab w:val="right" w:pos="9500"/>
              </w:tabs>
              <w:jc w:val="both"/>
            </w:pPr>
            <w:r w:rsidRPr="00B31BEB">
              <w:t xml:space="preserve">0.01 (0.00) </w:t>
            </w:r>
          </w:p>
        </w:tc>
        <w:tc>
          <w:tcPr>
            <w:tcW w:w="2126" w:type="dxa"/>
            <w:tcBorders>
              <w:top w:val="nil"/>
              <w:left w:val="nil"/>
              <w:bottom w:val="nil"/>
              <w:right w:val="nil"/>
            </w:tcBorders>
          </w:tcPr>
          <w:p w:rsidR="000363C1" w:rsidRPr="00B31BEB" w:rsidRDefault="000363C1" w:rsidP="000363C1">
            <w:pPr>
              <w:tabs>
                <w:tab w:val="center" w:pos="4800"/>
                <w:tab w:val="right" w:pos="9500"/>
              </w:tabs>
              <w:rPr>
                <w:noProof/>
              </w:rPr>
            </w:pPr>
          </w:p>
        </w:tc>
        <w:tc>
          <w:tcPr>
            <w:tcW w:w="1476" w:type="dxa"/>
            <w:tcBorders>
              <w:top w:val="nil"/>
              <w:left w:val="nil"/>
              <w:bottom w:val="nil"/>
              <w:right w:val="nil"/>
            </w:tcBorders>
          </w:tcPr>
          <w:p w:rsidR="000363C1" w:rsidRPr="00B31BEB" w:rsidRDefault="000363C1" w:rsidP="000363C1">
            <w:pPr>
              <w:tabs>
                <w:tab w:val="center" w:pos="4800"/>
                <w:tab w:val="right" w:pos="9500"/>
              </w:tabs>
              <w:rPr>
                <w:noProof/>
              </w:rPr>
            </w:pPr>
          </w:p>
        </w:tc>
      </w:tr>
      <w:tr w:rsidR="00B31BEB" w:rsidRPr="00B31BEB" w:rsidTr="008E1EC0">
        <w:trPr>
          <w:jc w:val="center"/>
        </w:trPr>
        <w:tc>
          <w:tcPr>
            <w:tcW w:w="1650" w:type="dxa"/>
            <w:tcBorders>
              <w:top w:val="nil"/>
              <w:left w:val="nil"/>
              <w:bottom w:val="nil"/>
              <w:right w:val="nil"/>
            </w:tcBorders>
          </w:tcPr>
          <w:p w:rsidR="00F71E87" w:rsidRPr="00B31BEB" w:rsidRDefault="009542ED" w:rsidP="000363C1">
            <w:pPr>
              <w:tabs>
                <w:tab w:val="center" w:pos="4800"/>
                <w:tab w:val="right" w:pos="9500"/>
              </w:tabs>
              <w:jc w:val="both"/>
            </w:pPr>
            <w:r w:rsidRPr="00B31BEB">
              <w:t>Trust label</w:t>
            </w:r>
          </w:p>
        </w:tc>
        <w:tc>
          <w:tcPr>
            <w:tcW w:w="1415" w:type="dxa"/>
            <w:tcBorders>
              <w:top w:val="nil"/>
              <w:left w:val="nil"/>
              <w:bottom w:val="nil"/>
              <w:right w:val="nil"/>
            </w:tcBorders>
          </w:tcPr>
          <w:p w:rsidR="00F71E87" w:rsidRPr="00B31BEB" w:rsidRDefault="009542ED" w:rsidP="000363C1">
            <w:pPr>
              <w:tabs>
                <w:tab w:val="center" w:pos="4800"/>
                <w:tab w:val="right" w:pos="9500"/>
              </w:tabs>
              <w:jc w:val="both"/>
            </w:pPr>
            <w:r w:rsidRPr="00B31BEB">
              <w:t>4.54 (0.35)</w:t>
            </w:r>
          </w:p>
        </w:tc>
        <w:tc>
          <w:tcPr>
            <w:tcW w:w="1887" w:type="dxa"/>
            <w:tcBorders>
              <w:top w:val="nil"/>
              <w:left w:val="nil"/>
              <w:bottom w:val="nil"/>
              <w:right w:val="nil"/>
            </w:tcBorders>
          </w:tcPr>
          <w:p w:rsidR="00F71E87" w:rsidRPr="00B31BEB" w:rsidRDefault="009542ED" w:rsidP="000363C1">
            <w:pPr>
              <w:tabs>
                <w:tab w:val="center" w:pos="4800"/>
                <w:tab w:val="right" w:pos="9500"/>
              </w:tabs>
              <w:jc w:val="both"/>
            </w:pPr>
            <w:r w:rsidRPr="00B31BEB">
              <w:t>0.24 (0.17, 0.32)</w:t>
            </w:r>
          </w:p>
        </w:tc>
        <w:tc>
          <w:tcPr>
            <w:tcW w:w="1433" w:type="dxa"/>
            <w:tcBorders>
              <w:top w:val="nil"/>
              <w:left w:val="nil"/>
              <w:bottom w:val="nil"/>
              <w:right w:val="nil"/>
            </w:tcBorders>
          </w:tcPr>
          <w:p w:rsidR="00F71E87" w:rsidRPr="00B31BEB" w:rsidRDefault="009542ED" w:rsidP="000363C1">
            <w:pPr>
              <w:tabs>
                <w:tab w:val="center" w:pos="4800"/>
                <w:tab w:val="right" w:pos="9500"/>
              </w:tabs>
              <w:jc w:val="both"/>
            </w:pPr>
            <w:r w:rsidRPr="00B31BEB">
              <w:t>1.07 (0.16)</w:t>
            </w:r>
          </w:p>
        </w:tc>
        <w:tc>
          <w:tcPr>
            <w:tcW w:w="2126" w:type="dxa"/>
            <w:tcBorders>
              <w:top w:val="nil"/>
              <w:left w:val="nil"/>
              <w:bottom w:val="nil"/>
              <w:right w:val="nil"/>
            </w:tcBorders>
          </w:tcPr>
          <w:p w:rsidR="00F71E87" w:rsidRPr="00B31BEB" w:rsidRDefault="009542ED" w:rsidP="001B416F">
            <w:pPr>
              <w:tabs>
                <w:tab w:val="center" w:pos="4800"/>
                <w:tab w:val="right" w:pos="9500"/>
              </w:tabs>
              <w:rPr>
                <w:noProof/>
              </w:rPr>
            </w:pPr>
            <w:r w:rsidRPr="00B31BEB">
              <w:t xml:space="preserve">0.43 (0.28, </w:t>
            </w:r>
            <w:r w:rsidR="001B416F" w:rsidRPr="00B31BEB">
              <w:t>0</w:t>
            </w:r>
            <w:r w:rsidRPr="00B31BEB">
              <w:t>.56)</w:t>
            </w:r>
          </w:p>
        </w:tc>
        <w:tc>
          <w:tcPr>
            <w:tcW w:w="1476" w:type="dxa"/>
            <w:tcBorders>
              <w:top w:val="nil"/>
              <w:left w:val="nil"/>
              <w:bottom w:val="nil"/>
              <w:right w:val="nil"/>
            </w:tcBorders>
          </w:tcPr>
          <w:p w:rsidR="00F71E87" w:rsidRPr="00B31BEB" w:rsidRDefault="009542ED" w:rsidP="000363C1">
            <w:pPr>
              <w:tabs>
                <w:tab w:val="center" w:pos="4800"/>
                <w:tab w:val="right" w:pos="9500"/>
              </w:tabs>
              <w:rPr>
                <w:noProof/>
              </w:rPr>
            </w:pPr>
            <w:r w:rsidRPr="00B31BEB">
              <w:t>1.95 (0.29)</w:t>
            </w:r>
          </w:p>
        </w:tc>
      </w:tr>
      <w:tr w:rsidR="00B31BEB" w:rsidRPr="00B31BEB" w:rsidTr="008E1EC0">
        <w:trPr>
          <w:jc w:val="center"/>
        </w:trPr>
        <w:tc>
          <w:tcPr>
            <w:tcW w:w="1650" w:type="dxa"/>
            <w:tcBorders>
              <w:top w:val="nil"/>
              <w:left w:val="nil"/>
              <w:bottom w:val="nil"/>
              <w:right w:val="nil"/>
            </w:tcBorders>
          </w:tcPr>
          <w:p w:rsidR="00F71E87" w:rsidRPr="00B31BEB" w:rsidRDefault="001E13CB" w:rsidP="000363C1">
            <w:pPr>
              <w:tabs>
                <w:tab w:val="center" w:pos="4800"/>
                <w:tab w:val="right" w:pos="9500"/>
              </w:tabs>
              <w:jc w:val="both"/>
            </w:pPr>
            <w:r w:rsidRPr="00B31BEB">
              <w:t>Headquarters</w:t>
            </w:r>
          </w:p>
        </w:tc>
        <w:tc>
          <w:tcPr>
            <w:tcW w:w="1415" w:type="dxa"/>
            <w:tcBorders>
              <w:top w:val="nil"/>
              <w:left w:val="nil"/>
              <w:bottom w:val="nil"/>
              <w:right w:val="nil"/>
            </w:tcBorders>
          </w:tcPr>
          <w:p w:rsidR="00F71E87" w:rsidRPr="00B31BEB" w:rsidRDefault="001E13CB" w:rsidP="000363C1">
            <w:pPr>
              <w:tabs>
                <w:tab w:val="center" w:pos="4800"/>
                <w:tab w:val="right" w:pos="9500"/>
              </w:tabs>
              <w:jc w:val="both"/>
            </w:pPr>
            <w:r w:rsidRPr="00B31BEB">
              <w:t>4.22 (0.87)</w:t>
            </w:r>
          </w:p>
        </w:tc>
        <w:tc>
          <w:tcPr>
            <w:tcW w:w="1887" w:type="dxa"/>
            <w:tcBorders>
              <w:top w:val="nil"/>
              <w:left w:val="nil"/>
              <w:bottom w:val="nil"/>
              <w:right w:val="nil"/>
            </w:tcBorders>
          </w:tcPr>
          <w:p w:rsidR="00F71E87" w:rsidRPr="00B31BEB" w:rsidRDefault="001E13CB" w:rsidP="000363C1">
            <w:pPr>
              <w:tabs>
                <w:tab w:val="center" w:pos="4800"/>
                <w:tab w:val="right" w:pos="9500"/>
              </w:tabs>
              <w:jc w:val="both"/>
            </w:pPr>
            <w:r w:rsidRPr="00B31BEB">
              <w:t>0.09 (0.05, 0.16)</w:t>
            </w:r>
          </w:p>
        </w:tc>
        <w:tc>
          <w:tcPr>
            <w:tcW w:w="1433" w:type="dxa"/>
            <w:tcBorders>
              <w:top w:val="nil"/>
              <w:left w:val="nil"/>
              <w:bottom w:val="nil"/>
              <w:right w:val="nil"/>
            </w:tcBorders>
          </w:tcPr>
          <w:p w:rsidR="00F71E87" w:rsidRPr="00B31BEB" w:rsidRDefault="001E13CB" w:rsidP="000363C1">
            <w:pPr>
              <w:tabs>
                <w:tab w:val="center" w:pos="4800"/>
                <w:tab w:val="right" w:pos="9500"/>
              </w:tabs>
              <w:jc w:val="both"/>
            </w:pPr>
            <w:r w:rsidRPr="00B31BEB">
              <w:t>0.38 (0.11)</w:t>
            </w:r>
          </w:p>
        </w:tc>
        <w:tc>
          <w:tcPr>
            <w:tcW w:w="2126" w:type="dxa"/>
            <w:tcBorders>
              <w:top w:val="nil"/>
              <w:left w:val="nil"/>
              <w:bottom w:val="nil"/>
              <w:right w:val="nil"/>
            </w:tcBorders>
          </w:tcPr>
          <w:p w:rsidR="00F71E87" w:rsidRPr="00B31BEB" w:rsidRDefault="001E13CB" w:rsidP="000363C1">
            <w:pPr>
              <w:tabs>
                <w:tab w:val="center" w:pos="4800"/>
                <w:tab w:val="right" w:pos="9500"/>
              </w:tabs>
              <w:rPr>
                <w:noProof/>
              </w:rPr>
            </w:pPr>
            <w:r w:rsidRPr="00B31BEB">
              <w:t>0.12 (0.04, 0.27)</w:t>
            </w:r>
          </w:p>
        </w:tc>
        <w:tc>
          <w:tcPr>
            <w:tcW w:w="1476" w:type="dxa"/>
            <w:tcBorders>
              <w:top w:val="nil"/>
              <w:left w:val="nil"/>
              <w:bottom w:val="nil"/>
              <w:right w:val="nil"/>
            </w:tcBorders>
          </w:tcPr>
          <w:p w:rsidR="00F71E87" w:rsidRPr="00B31BEB" w:rsidRDefault="00C9151D" w:rsidP="000363C1">
            <w:pPr>
              <w:tabs>
                <w:tab w:val="center" w:pos="4800"/>
                <w:tab w:val="right" w:pos="9500"/>
              </w:tabs>
              <w:rPr>
                <w:noProof/>
              </w:rPr>
            </w:pPr>
            <w:r w:rsidRPr="00B31BEB">
              <w:t>0.51(0.19)</w:t>
            </w:r>
          </w:p>
        </w:tc>
      </w:tr>
      <w:tr w:rsidR="00B31BEB" w:rsidRPr="00B31BEB" w:rsidTr="00602F74">
        <w:trPr>
          <w:jc w:val="center"/>
        </w:trPr>
        <w:tc>
          <w:tcPr>
            <w:tcW w:w="1650" w:type="dxa"/>
            <w:tcBorders>
              <w:top w:val="nil"/>
              <w:left w:val="nil"/>
              <w:bottom w:val="single" w:sz="4" w:space="0" w:color="auto"/>
              <w:right w:val="nil"/>
            </w:tcBorders>
          </w:tcPr>
          <w:p w:rsidR="00F71E87" w:rsidRPr="00B31BEB" w:rsidRDefault="00C9151D" w:rsidP="000363C1">
            <w:pPr>
              <w:tabs>
                <w:tab w:val="center" w:pos="4800"/>
                <w:tab w:val="right" w:pos="9500"/>
              </w:tabs>
              <w:jc w:val="both"/>
            </w:pPr>
            <w:r w:rsidRPr="00B31BEB">
              <w:t>Distance</w:t>
            </w:r>
          </w:p>
        </w:tc>
        <w:tc>
          <w:tcPr>
            <w:tcW w:w="1415" w:type="dxa"/>
            <w:tcBorders>
              <w:top w:val="nil"/>
              <w:left w:val="nil"/>
              <w:bottom w:val="single" w:sz="4" w:space="0" w:color="auto"/>
              <w:right w:val="nil"/>
            </w:tcBorders>
          </w:tcPr>
          <w:p w:rsidR="00F71E87" w:rsidRPr="00B31BEB" w:rsidRDefault="00C9151D" w:rsidP="000363C1">
            <w:pPr>
              <w:tabs>
                <w:tab w:val="center" w:pos="4800"/>
                <w:tab w:val="right" w:pos="9500"/>
              </w:tabs>
              <w:jc w:val="both"/>
            </w:pPr>
            <w:r w:rsidRPr="00B31BEB">
              <w:t>-0.52 (0.12)</w:t>
            </w:r>
          </w:p>
        </w:tc>
        <w:tc>
          <w:tcPr>
            <w:tcW w:w="1887" w:type="dxa"/>
            <w:tcBorders>
              <w:top w:val="nil"/>
              <w:left w:val="nil"/>
              <w:bottom w:val="single" w:sz="4" w:space="0" w:color="auto"/>
              <w:right w:val="nil"/>
            </w:tcBorders>
          </w:tcPr>
          <w:p w:rsidR="00F71E87" w:rsidRPr="00B31BEB" w:rsidRDefault="00C9151D" w:rsidP="000363C1">
            <w:pPr>
              <w:tabs>
                <w:tab w:val="center" w:pos="4800"/>
                <w:tab w:val="right" w:pos="9500"/>
              </w:tabs>
              <w:jc w:val="both"/>
            </w:pPr>
            <w:r w:rsidRPr="00B31BEB">
              <w:t>0.05 (0.02, 0.12)</w:t>
            </w:r>
          </w:p>
        </w:tc>
        <w:tc>
          <w:tcPr>
            <w:tcW w:w="1433" w:type="dxa"/>
            <w:tcBorders>
              <w:top w:val="nil"/>
              <w:left w:val="nil"/>
              <w:bottom w:val="single" w:sz="4" w:space="0" w:color="auto"/>
              <w:right w:val="nil"/>
            </w:tcBorders>
          </w:tcPr>
          <w:p w:rsidR="00F71E87" w:rsidRPr="00B31BEB" w:rsidRDefault="00C9151D" w:rsidP="000363C1">
            <w:pPr>
              <w:tabs>
                <w:tab w:val="center" w:pos="4800"/>
                <w:tab w:val="right" w:pos="9500"/>
              </w:tabs>
              <w:jc w:val="both"/>
            </w:pPr>
            <w:r w:rsidRPr="00B31BEB">
              <w:t>-0.03 (0.02)</w:t>
            </w:r>
          </w:p>
        </w:tc>
        <w:tc>
          <w:tcPr>
            <w:tcW w:w="2126" w:type="dxa"/>
            <w:tcBorders>
              <w:top w:val="nil"/>
              <w:left w:val="nil"/>
              <w:bottom w:val="single" w:sz="4" w:space="0" w:color="auto"/>
              <w:right w:val="nil"/>
            </w:tcBorders>
          </w:tcPr>
          <w:p w:rsidR="00F71E87" w:rsidRPr="00B31BEB" w:rsidRDefault="00C9151D" w:rsidP="000363C1">
            <w:pPr>
              <w:tabs>
                <w:tab w:val="center" w:pos="4800"/>
                <w:tab w:val="right" w:pos="9500"/>
              </w:tabs>
              <w:rPr>
                <w:noProof/>
              </w:rPr>
            </w:pPr>
            <w:r w:rsidRPr="00B31BEB">
              <w:t>0.10 (0.03, 0.24)</w:t>
            </w:r>
          </w:p>
        </w:tc>
        <w:tc>
          <w:tcPr>
            <w:tcW w:w="1476" w:type="dxa"/>
            <w:tcBorders>
              <w:top w:val="nil"/>
              <w:left w:val="nil"/>
              <w:bottom w:val="single" w:sz="4" w:space="0" w:color="auto"/>
              <w:right w:val="nil"/>
            </w:tcBorders>
          </w:tcPr>
          <w:p w:rsidR="00F71E87" w:rsidRPr="00B31BEB" w:rsidRDefault="00635C9F" w:rsidP="000363C1">
            <w:pPr>
              <w:tabs>
                <w:tab w:val="center" w:pos="4800"/>
                <w:tab w:val="right" w:pos="9500"/>
              </w:tabs>
              <w:rPr>
                <w:noProof/>
              </w:rPr>
            </w:pPr>
            <w:r w:rsidRPr="00B31BEB">
              <w:t>-0.05 (0.03)</w:t>
            </w:r>
          </w:p>
        </w:tc>
      </w:tr>
      <w:tr w:rsidR="00F0639B" w:rsidRPr="00B31BEB" w:rsidTr="00602F74">
        <w:trPr>
          <w:jc w:val="center"/>
        </w:trPr>
        <w:tc>
          <w:tcPr>
            <w:tcW w:w="9987" w:type="dxa"/>
            <w:gridSpan w:val="6"/>
            <w:tcBorders>
              <w:top w:val="single" w:sz="4" w:space="0" w:color="auto"/>
              <w:left w:val="nil"/>
              <w:bottom w:val="single" w:sz="4" w:space="0" w:color="auto"/>
              <w:right w:val="nil"/>
            </w:tcBorders>
          </w:tcPr>
          <w:p w:rsidR="00F0639B" w:rsidRPr="00B31BEB" w:rsidRDefault="00F0639B" w:rsidP="000363C1">
            <w:pPr>
              <w:tabs>
                <w:tab w:val="center" w:pos="4800"/>
                <w:tab w:val="right" w:pos="9500"/>
              </w:tabs>
            </w:pPr>
            <w:r w:rsidRPr="00B31BEB">
              <w:t>Notes:</w:t>
            </w:r>
          </w:p>
          <w:p w:rsidR="00C34090" w:rsidRPr="00B31BEB" w:rsidRDefault="00E50D29" w:rsidP="005C0FFB">
            <w:pPr>
              <w:tabs>
                <w:tab w:val="center" w:pos="4800"/>
                <w:tab w:val="right" w:pos="9500"/>
              </w:tabs>
              <w:rPr>
                <w:noProof/>
              </w:rPr>
            </w:pPr>
            <w:r w:rsidRPr="00B31BEB">
              <w:t xml:space="preserve">Coef </w:t>
            </w:r>
            <w:r w:rsidR="005C0FFB" w:rsidRPr="00B31BEB">
              <w:rPr>
                <w:position w:val="-4"/>
              </w:rPr>
              <w:object w:dxaOrig="220" w:dyaOrig="300">
                <v:shape id="_x0000_i1117" type="#_x0000_t75" style="width:11.4pt;height:16.2pt" o:ole="">
                  <v:imagedata r:id="rId187" o:title=""/>
                </v:shape>
                <o:OLEObject Type="Embed" ProgID="Equation.DSMT4" ShapeID="_x0000_i1117" DrawAspect="Content" ObjectID="_1649081719" r:id="rId188"/>
              </w:object>
            </w:r>
            <w:r w:rsidR="00C34090" w:rsidRPr="00B31BEB">
              <w:t xml:space="preserve">(SD) </w:t>
            </w:r>
            <w:r w:rsidR="00C34090" w:rsidRPr="00B31BEB">
              <w:rPr>
                <w:noProof/>
              </w:rPr>
              <w:t xml:space="preserve">implies that the Coefficient has not been adjusted for attendance probability. </w:t>
            </w:r>
            <w:r w:rsidR="0085225F" w:rsidRPr="00B31BEB">
              <w:rPr>
                <w:noProof/>
              </w:rPr>
              <w:t>SD is the Standard Deviation</w:t>
            </w:r>
            <w:r w:rsidR="004647E8" w:rsidRPr="00B31BEB">
              <w:rPr>
                <w:noProof/>
              </w:rPr>
              <w:t>.</w:t>
            </w:r>
          </w:p>
          <w:p w:rsidR="00B901B0" w:rsidRPr="00B31BEB" w:rsidRDefault="00B901B0" w:rsidP="005C0FFB">
            <w:pPr>
              <w:tabs>
                <w:tab w:val="center" w:pos="4800"/>
                <w:tab w:val="right" w:pos="9500"/>
              </w:tabs>
              <w:rPr>
                <w:noProof/>
              </w:rPr>
            </w:pPr>
            <w:r w:rsidRPr="00B31BEB">
              <w:rPr>
                <w:noProof/>
              </w:rPr>
              <w:t>Attendance prob (L, U)</w:t>
            </w:r>
            <w:r w:rsidRPr="00B31BEB">
              <w:rPr>
                <w:noProof/>
                <w:position w:val="-4"/>
              </w:rPr>
              <w:object w:dxaOrig="120" w:dyaOrig="300">
                <v:shape id="_x0000_i1118" type="#_x0000_t75" style="width:6pt;height:16.2pt" o:ole="">
                  <v:imagedata r:id="rId189" o:title=""/>
                </v:shape>
                <o:OLEObject Type="Embed" ProgID="Equation.DSMT4" ShapeID="_x0000_i1118" DrawAspect="Content" ObjectID="_1649081720" r:id="rId190"/>
              </w:object>
            </w:r>
            <w:r w:rsidRPr="00B31BEB">
              <w:rPr>
                <w:noProof/>
              </w:rPr>
              <w:t xml:space="preserve"> are the lower (L) &amp; upper (U) 95% confidence interval limits for the initial attendance</w:t>
            </w:r>
            <w:r w:rsidR="004647E8" w:rsidRPr="00B31BEB">
              <w:rPr>
                <w:noProof/>
              </w:rPr>
              <w:t xml:space="preserve"> probabilities in the first block of choice sets.</w:t>
            </w:r>
          </w:p>
          <w:p w:rsidR="0099313F" w:rsidRPr="00B31BEB" w:rsidRDefault="0099313F" w:rsidP="00670610">
            <w:pPr>
              <w:tabs>
                <w:tab w:val="center" w:pos="4800"/>
                <w:tab w:val="right" w:pos="9500"/>
              </w:tabs>
              <w:rPr>
                <w:noProof/>
              </w:rPr>
            </w:pPr>
            <w:r w:rsidRPr="00B31BEB">
              <w:rPr>
                <w:noProof/>
              </w:rPr>
              <w:t>Coef</w:t>
            </w:r>
            <w:r w:rsidR="00670610" w:rsidRPr="00B31BEB">
              <w:rPr>
                <w:noProof/>
                <w:position w:val="-4"/>
              </w:rPr>
              <w:object w:dxaOrig="180" w:dyaOrig="300">
                <v:shape id="_x0000_i1119" type="#_x0000_t75" style="width:10.2pt;height:16.2pt" o:ole="">
                  <v:imagedata r:id="rId191" o:title=""/>
                </v:shape>
                <o:OLEObject Type="Embed" ProgID="Equation.DSMT4" ShapeID="_x0000_i1119" DrawAspect="Content" ObjectID="_1649081721" r:id="rId192"/>
              </w:object>
            </w:r>
            <w:r w:rsidRPr="00B31BEB">
              <w:rPr>
                <w:noProof/>
              </w:rPr>
              <w:t>(SD) implies that it has been adjusted for attendance probability i.e., Coef = Coef</w:t>
            </w:r>
            <w:r w:rsidR="00670610" w:rsidRPr="00B31BEB">
              <w:rPr>
                <w:noProof/>
                <w:position w:val="-4"/>
              </w:rPr>
              <w:object w:dxaOrig="220" w:dyaOrig="300">
                <v:shape id="_x0000_i1120" type="#_x0000_t75" style="width:11.4pt;height:16.2pt" o:ole="">
                  <v:imagedata r:id="rId193" o:title=""/>
                </v:shape>
                <o:OLEObject Type="Embed" ProgID="Equation.DSMT4" ShapeID="_x0000_i1120" DrawAspect="Content" ObjectID="_1649081722" r:id="rId194"/>
              </w:object>
            </w:r>
            <w:r w:rsidR="00670610" w:rsidRPr="00B31BEB">
              <w:rPr>
                <w:noProof/>
              </w:rPr>
              <w:t>*a</w:t>
            </w:r>
            <w:r w:rsidRPr="00B31BEB">
              <w:rPr>
                <w:noProof/>
              </w:rPr>
              <w:t xml:space="preserve">ttendance prob.  </w:t>
            </w:r>
          </w:p>
          <w:p w:rsidR="00513D2D" w:rsidRPr="00B31BEB" w:rsidRDefault="00513D2D" w:rsidP="00670610">
            <w:pPr>
              <w:tabs>
                <w:tab w:val="center" w:pos="4800"/>
                <w:tab w:val="right" w:pos="9500"/>
              </w:tabs>
              <w:rPr>
                <w:noProof/>
              </w:rPr>
            </w:pPr>
            <w:r w:rsidRPr="00B31BEB">
              <w:rPr>
                <w:noProof/>
              </w:rPr>
              <w:t>Attendance prob (L, U)</w:t>
            </w:r>
            <w:r w:rsidRPr="00B31BEB">
              <w:rPr>
                <w:noProof/>
                <w:position w:val="-4"/>
              </w:rPr>
              <w:object w:dxaOrig="160" w:dyaOrig="300">
                <v:shape id="_x0000_i1121" type="#_x0000_t75" style="width:7.8pt;height:16.2pt" o:ole="">
                  <v:imagedata r:id="rId195" o:title=""/>
                </v:shape>
                <o:OLEObject Type="Embed" ProgID="Equation.DSMT4" ShapeID="_x0000_i1121" DrawAspect="Content" ObjectID="_1649081723" r:id="rId196"/>
              </w:object>
            </w:r>
            <w:r w:rsidRPr="00B31BEB">
              <w:rPr>
                <w:noProof/>
              </w:rPr>
              <w:t xml:space="preserve"> are the lower (L) &amp; upper (U) 95% confidence interval limits for the marginal attendance</w:t>
            </w:r>
            <w:r w:rsidR="009C5A61" w:rsidRPr="00B31BEB">
              <w:rPr>
                <w:noProof/>
              </w:rPr>
              <w:t xml:space="preserve"> probabilities in the second block of choice sets.</w:t>
            </w:r>
          </w:p>
          <w:p w:rsidR="0027032C" w:rsidRPr="00B31BEB" w:rsidRDefault="0027032C" w:rsidP="00670610">
            <w:pPr>
              <w:tabs>
                <w:tab w:val="center" w:pos="4800"/>
                <w:tab w:val="right" w:pos="9500"/>
              </w:tabs>
            </w:pPr>
            <w:r w:rsidRPr="00B31BEB">
              <w:rPr>
                <w:noProof/>
              </w:rPr>
              <w:t xml:space="preserve">Greyed out numbers reflect non-significance at </w:t>
            </w:r>
            <w:r w:rsidRPr="00B31BEB">
              <w:rPr>
                <w:noProof/>
                <w:position w:val="-6"/>
              </w:rPr>
              <w:object w:dxaOrig="900" w:dyaOrig="279">
                <v:shape id="_x0000_i1122" type="#_x0000_t75" style="width:46.2pt;height:13.2pt" o:ole="">
                  <v:imagedata r:id="rId197" o:title=""/>
                </v:shape>
                <o:OLEObject Type="Embed" ProgID="Equation.DSMT4" ShapeID="_x0000_i1122" DrawAspect="Content" ObjectID="_1649081724" r:id="rId198"/>
              </w:object>
            </w:r>
          </w:p>
        </w:tc>
      </w:tr>
    </w:tbl>
    <w:p w:rsidR="00F8575F" w:rsidRDefault="00F8575F" w:rsidP="00E170AC">
      <w:pPr>
        <w:tabs>
          <w:tab w:val="center" w:pos="4800"/>
          <w:tab w:val="right" w:pos="9500"/>
        </w:tabs>
        <w:jc w:val="center"/>
      </w:pPr>
    </w:p>
    <w:p w:rsidR="007A6DBF" w:rsidRPr="00B31BEB" w:rsidRDefault="00614B6E" w:rsidP="00E170AC">
      <w:pPr>
        <w:tabs>
          <w:tab w:val="center" w:pos="4800"/>
          <w:tab w:val="right" w:pos="9500"/>
        </w:tabs>
        <w:jc w:val="center"/>
        <w:rPr>
          <w:noProof/>
        </w:rPr>
      </w:pPr>
      <w:r w:rsidRPr="00B31BEB">
        <w:lastRenderedPageBreak/>
        <w:t>Table 9</w:t>
      </w:r>
      <w:r w:rsidR="00D1015F" w:rsidRPr="00B31BEB">
        <w:t xml:space="preserve">. </w:t>
      </w:r>
      <w:r w:rsidR="00E170AC" w:rsidRPr="00B31BEB">
        <w:rPr>
          <w:noProof/>
        </w:rPr>
        <w:t>Transition probabilities for the switching attribute attendance behavior model</w:t>
      </w:r>
    </w:p>
    <w:tbl>
      <w:tblPr>
        <w:tblStyle w:val="TableGrid"/>
        <w:tblW w:w="0" w:type="auto"/>
        <w:jc w:val="center"/>
        <w:tblLook w:val="04A0" w:firstRow="1" w:lastRow="0" w:firstColumn="1" w:lastColumn="0" w:noHBand="0" w:noVBand="1"/>
      </w:tblPr>
      <w:tblGrid>
        <w:gridCol w:w="1616"/>
        <w:gridCol w:w="2830"/>
        <w:gridCol w:w="2830"/>
      </w:tblGrid>
      <w:tr w:rsidR="00B31BEB" w:rsidRPr="00B31BEB" w:rsidTr="005E0FDC">
        <w:trPr>
          <w:jc w:val="center"/>
        </w:trPr>
        <w:tc>
          <w:tcPr>
            <w:tcW w:w="1616" w:type="dxa"/>
            <w:tcBorders>
              <w:top w:val="single" w:sz="4" w:space="0" w:color="auto"/>
              <w:left w:val="nil"/>
              <w:bottom w:val="nil"/>
              <w:right w:val="nil"/>
            </w:tcBorders>
          </w:tcPr>
          <w:p w:rsidR="00640111" w:rsidRPr="00B31BEB" w:rsidRDefault="00640111" w:rsidP="00E170AC">
            <w:pPr>
              <w:tabs>
                <w:tab w:val="center" w:pos="4800"/>
                <w:tab w:val="right" w:pos="9500"/>
              </w:tabs>
              <w:jc w:val="center"/>
              <w:rPr>
                <w:noProof/>
              </w:rPr>
            </w:pPr>
          </w:p>
        </w:tc>
        <w:tc>
          <w:tcPr>
            <w:tcW w:w="5660" w:type="dxa"/>
            <w:gridSpan w:val="2"/>
            <w:tcBorders>
              <w:top w:val="single" w:sz="4" w:space="0" w:color="auto"/>
              <w:left w:val="nil"/>
              <w:bottom w:val="nil"/>
              <w:right w:val="nil"/>
            </w:tcBorders>
          </w:tcPr>
          <w:p w:rsidR="00640111" w:rsidRPr="00B31BEB" w:rsidRDefault="00640111" w:rsidP="00E170AC">
            <w:pPr>
              <w:tabs>
                <w:tab w:val="center" w:pos="4800"/>
                <w:tab w:val="right" w:pos="9500"/>
              </w:tabs>
              <w:jc w:val="center"/>
              <w:rPr>
                <w:noProof/>
              </w:rPr>
            </w:pPr>
            <w:r w:rsidRPr="00B31BEB">
              <w:rPr>
                <w:noProof/>
              </w:rPr>
              <w:t>Attendance in choice sets 7 – 12 given:</w:t>
            </w:r>
          </w:p>
        </w:tc>
      </w:tr>
      <w:tr w:rsidR="00B31BEB" w:rsidRPr="00B31BEB" w:rsidTr="005E0FDC">
        <w:trPr>
          <w:jc w:val="center"/>
        </w:trPr>
        <w:tc>
          <w:tcPr>
            <w:tcW w:w="1616" w:type="dxa"/>
            <w:tcBorders>
              <w:top w:val="nil"/>
              <w:left w:val="nil"/>
              <w:bottom w:val="single" w:sz="4" w:space="0" w:color="auto"/>
              <w:right w:val="nil"/>
            </w:tcBorders>
          </w:tcPr>
          <w:p w:rsidR="00C32F6D" w:rsidRPr="00B31BEB" w:rsidRDefault="00C32F6D" w:rsidP="00E170AC">
            <w:pPr>
              <w:tabs>
                <w:tab w:val="center" w:pos="4800"/>
                <w:tab w:val="right" w:pos="9500"/>
              </w:tabs>
              <w:jc w:val="center"/>
              <w:rPr>
                <w:noProof/>
              </w:rPr>
            </w:pPr>
            <w:r w:rsidRPr="00B31BEB">
              <w:rPr>
                <w:noProof/>
              </w:rPr>
              <w:t>Attribute</w:t>
            </w:r>
          </w:p>
        </w:tc>
        <w:tc>
          <w:tcPr>
            <w:tcW w:w="2830" w:type="dxa"/>
            <w:tcBorders>
              <w:top w:val="nil"/>
              <w:left w:val="nil"/>
              <w:bottom w:val="single" w:sz="4" w:space="0" w:color="auto"/>
              <w:right w:val="nil"/>
            </w:tcBorders>
          </w:tcPr>
          <w:p w:rsidR="00C32F6D" w:rsidRPr="00B31BEB" w:rsidRDefault="00C32F6D" w:rsidP="009239D5">
            <w:pPr>
              <w:tabs>
                <w:tab w:val="center" w:pos="4800"/>
                <w:tab w:val="right" w:pos="9500"/>
              </w:tabs>
              <w:jc w:val="center"/>
              <w:rPr>
                <w:noProof/>
              </w:rPr>
            </w:pPr>
            <w:r w:rsidRPr="00B31BEB">
              <w:rPr>
                <w:noProof/>
              </w:rPr>
              <w:t>Non-attendance in choice sets 1 – 6 (</w:t>
            </w:r>
            <w:r w:rsidR="009239D5" w:rsidRPr="00B31BEB">
              <w:rPr>
                <w:position w:val="-14"/>
              </w:rPr>
              <w:object w:dxaOrig="360" w:dyaOrig="380">
                <v:shape id="_x0000_i1123" type="#_x0000_t75" style="width:18pt;height:18.6pt" o:ole="">
                  <v:imagedata r:id="rId199" o:title=""/>
                </v:shape>
                <o:OLEObject Type="Embed" ProgID="Equation.DSMT4" ShapeID="_x0000_i1123" DrawAspect="Content" ObjectID="_1649081725" r:id="rId200"/>
              </w:object>
            </w:r>
            <w:r w:rsidRPr="00B31BEB">
              <w:rPr>
                <w:noProof/>
              </w:rPr>
              <w:t>’s)</w:t>
            </w:r>
          </w:p>
        </w:tc>
        <w:tc>
          <w:tcPr>
            <w:tcW w:w="2830" w:type="dxa"/>
            <w:tcBorders>
              <w:top w:val="nil"/>
              <w:left w:val="nil"/>
              <w:bottom w:val="single" w:sz="4" w:space="0" w:color="auto"/>
              <w:right w:val="nil"/>
            </w:tcBorders>
          </w:tcPr>
          <w:p w:rsidR="00C32F6D" w:rsidRPr="00B31BEB" w:rsidRDefault="003430B4" w:rsidP="00E170AC">
            <w:pPr>
              <w:tabs>
                <w:tab w:val="center" w:pos="4800"/>
                <w:tab w:val="right" w:pos="9500"/>
              </w:tabs>
              <w:jc w:val="center"/>
              <w:rPr>
                <w:noProof/>
              </w:rPr>
            </w:pPr>
            <w:r w:rsidRPr="00B31BEB">
              <w:rPr>
                <w:noProof/>
              </w:rPr>
              <w:t>A</w:t>
            </w:r>
            <w:r w:rsidR="007B49E3" w:rsidRPr="00B31BEB">
              <w:rPr>
                <w:noProof/>
              </w:rPr>
              <w:t>ttendance in choice sets 1 – 6 (</w:t>
            </w:r>
            <w:r w:rsidR="00081496" w:rsidRPr="00B31BEB">
              <w:rPr>
                <w:position w:val="-14"/>
              </w:rPr>
              <w:object w:dxaOrig="340" w:dyaOrig="380">
                <v:shape id="_x0000_i1124" type="#_x0000_t75" style="width:17.4pt;height:18.6pt" o:ole="">
                  <v:imagedata r:id="rId201" o:title=""/>
                </v:shape>
                <o:OLEObject Type="Embed" ProgID="Equation.DSMT4" ShapeID="_x0000_i1124" DrawAspect="Content" ObjectID="_1649081726" r:id="rId202"/>
              </w:object>
            </w:r>
            <w:r w:rsidR="007B49E3" w:rsidRPr="00B31BEB">
              <w:rPr>
                <w:noProof/>
              </w:rPr>
              <w:t>’s)</w:t>
            </w:r>
          </w:p>
        </w:tc>
      </w:tr>
      <w:tr w:rsidR="00B31BEB" w:rsidRPr="00B31BEB" w:rsidTr="00FB58F0">
        <w:trPr>
          <w:jc w:val="center"/>
        </w:trPr>
        <w:tc>
          <w:tcPr>
            <w:tcW w:w="1616" w:type="dxa"/>
            <w:tcBorders>
              <w:top w:val="single" w:sz="4" w:space="0" w:color="auto"/>
              <w:left w:val="nil"/>
              <w:bottom w:val="nil"/>
              <w:right w:val="nil"/>
            </w:tcBorders>
          </w:tcPr>
          <w:p w:rsidR="00F8771E" w:rsidRPr="00B31BEB" w:rsidRDefault="00F8771E" w:rsidP="00F8771E">
            <w:pPr>
              <w:tabs>
                <w:tab w:val="center" w:pos="4800"/>
                <w:tab w:val="right" w:pos="9500"/>
              </w:tabs>
              <w:jc w:val="center"/>
              <w:rPr>
                <w:noProof/>
              </w:rPr>
            </w:pPr>
            <w:r w:rsidRPr="00B31BEB">
              <w:t>Trust label</w:t>
            </w:r>
          </w:p>
        </w:tc>
        <w:tc>
          <w:tcPr>
            <w:tcW w:w="2830" w:type="dxa"/>
            <w:tcBorders>
              <w:top w:val="single" w:sz="4" w:space="0" w:color="auto"/>
              <w:left w:val="nil"/>
              <w:bottom w:val="nil"/>
              <w:right w:val="nil"/>
            </w:tcBorders>
          </w:tcPr>
          <w:p w:rsidR="00F8771E" w:rsidRPr="00B31BEB" w:rsidRDefault="00F8771E" w:rsidP="00F8771E">
            <w:pPr>
              <w:tabs>
                <w:tab w:val="center" w:pos="4800"/>
                <w:tab w:val="right" w:pos="9500"/>
              </w:tabs>
              <w:ind w:firstLine="720"/>
              <w:jc w:val="both"/>
            </w:pPr>
            <w:r w:rsidRPr="00B31BEB">
              <w:t xml:space="preserve"> 0.28 (0.20, 0.37) </w:t>
            </w:r>
          </w:p>
        </w:tc>
        <w:tc>
          <w:tcPr>
            <w:tcW w:w="2830" w:type="dxa"/>
            <w:tcBorders>
              <w:top w:val="single" w:sz="4" w:space="0" w:color="auto"/>
              <w:left w:val="nil"/>
              <w:bottom w:val="nil"/>
              <w:right w:val="nil"/>
            </w:tcBorders>
          </w:tcPr>
          <w:p w:rsidR="00F8771E" w:rsidRPr="00B31BEB" w:rsidRDefault="00F8771E" w:rsidP="00F8771E">
            <w:pPr>
              <w:tabs>
                <w:tab w:val="center" w:pos="4800"/>
                <w:tab w:val="right" w:pos="9500"/>
              </w:tabs>
              <w:ind w:firstLine="720"/>
              <w:jc w:val="both"/>
            </w:pPr>
            <w:r w:rsidRPr="00B31BEB">
              <w:t xml:space="preserve"> 0.91 (0.69, 0.98) </w:t>
            </w:r>
          </w:p>
        </w:tc>
      </w:tr>
      <w:tr w:rsidR="00B31BEB" w:rsidRPr="00B31BEB" w:rsidTr="00FB58F0">
        <w:trPr>
          <w:jc w:val="center"/>
        </w:trPr>
        <w:tc>
          <w:tcPr>
            <w:tcW w:w="1616" w:type="dxa"/>
            <w:tcBorders>
              <w:top w:val="nil"/>
              <w:left w:val="nil"/>
              <w:bottom w:val="nil"/>
              <w:right w:val="nil"/>
            </w:tcBorders>
          </w:tcPr>
          <w:p w:rsidR="00F8771E" w:rsidRPr="00B31BEB" w:rsidRDefault="00F8771E" w:rsidP="00F8771E">
            <w:pPr>
              <w:tabs>
                <w:tab w:val="center" w:pos="4800"/>
                <w:tab w:val="right" w:pos="9500"/>
              </w:tabs>
              <w:jc w:val="center"/>
              <w:rPr>
                <w:noProof/>
              </w:rPr>
            </w:pPr>
            <w:r w:rsidRPr="00B31BEB">
              <w:t>Headquarters</w:t>
            </w:r>
          </w:p>
        </w:tc>
        <w:tc>
          <w:tcPr>
            <w:tcW w:w="2830" w:type="dxa"/>
            <w:tcBorders>
              <w:top w:val="nil"/>
              <w:left w:val="nil"/>
              <w:bottom w:val="nil"/>
              <w:right w:val="nil"/>
            </w:tcBorders>
          </w:tcPr>
          <w:p w:rsidR="00F8771E" w:rsidRPr="00B31BEB" w:rsidRDefault="00F8771E" w:rsidP="00F8771E">
            <w:pPr>
              <w:tabs>
                <w:tab w:val="center" w:pos="4800"/>
                <w:tab w:val="right" w:pos="9500"/>
              </w:tabs>
              <w:ind w:firstLine="720"/>
              <w:jc w:val="both"/>
            </w:pPr>
            <w:r w:rsidRPr="00B31BEB">
              <w:t xml:space="preserve"> 0.06 (0.02, 0.14) </w:t>
            </w:r>
          </w:p>
        </w:tc>
        <w:tc>
          <w:tcPr>
            <w:tcW w:w="2830" w:type="dxa"/>
            <w:tcBorders>
              <w:top w:val="nil"/>
              <w:left w:val="nil"/>
              <w:bottom w:val="nil"/>
              <w:right w:val="nil"/>
            </w:tcBorders>
          </w:tcPr>
          <w:p w:rsidR="00F8771E" w:rsidRPr="00B31BEB" w:rsidRDefault="00F8771E" w:rsidP="00F8771E">
            <w:pPr>
              <w:tabs>
                <w:tab w:val="center" w:pos="4800"/>
                <w:tab w:val="right" w:pos="9500"/>
              </w:tabs>
              <w:ind w:firstLine="720"/>
              <w:jc w:val="both"/>
            </w:pPr>
            <w:r w:rsidRPr="00B31BEB">
              <w:t xml:space="preserve"> 0.76 (0.36, 0.94) </w:t>
            </w:r>
          </w:p>
        </w:tc>
      </w:tr>
      <w:tr w:rsidR="00B31BEB" w:rsidRPr="00B31BEB" w:rsidTr="00FB58F0">
        <w:trPr>
          <w:jc w:val="center"/>
        </w:trPr>
        <w:tc>
          <w:tcPr>
            <w:tcW w:w="1616" w:type="dxa"/>
            <w:tcBorders>
              <w:top w:val="nil"/>
              <w:left w:val="nil"/>
              <w:bottom w:val="single" w:sz="4" w:space="0" w:color="auto"/>
              <w:right w:val="nil"/>
            </w:tcBorders>
          </w:tcPr>
          <w:p w:rsidR="00F8771E" w:rsidRPr="00B31BEB" w:rsidRDefault="00F8771E" w:rsidP="00F8771E">
            <w:pPr>
              <w:tabs>
                <w:tab w:val="center" w:pos="4800"/>
                <w:tab w:val="right" w:pos="9500"/>
              </w:tabs>
              <w:jc w:val="center"/>
              <w:rPr>
                <w:noProof/>
              </w:rPr>
            </w:pPr>
            <w:r w:rsidRPr="00B31BEB">
              <w:t>Distance</w:t>
            </w:r>
          </w:p>
        </w:tc>
        <w:tc>
          <w:tcPr>
            <w:tcW w:w="2830" w:type="dxa"/>
            <w:tcBorders>
              <w:top w:val="nil"/>
              <w:left w:val="nil"/>
              <w:bottom w:val="single" w:sz="4" w:space="0" w:color="auto"/>
              <w:right w:val="nil"/>
            </w:tcBorders>
          </w:tcPr>
          <w:p w:rsidR="00F8771E" w:rsidRPr="00B31BEB" w:rsidRDefault="00F8771E" w:rsidP="00F8771E">
            <w:pPr>
              <w:tabs>
                <w:tab w:val="center" w:pos="4800"/>
                <w:tab w:val="right" w:pos="9500"/>
              </w:tabs>
              <w:ind w:firstLine="720"/>
              <w:jc w:val="both"/>
            </w:pPr>
            <w:r w:rsidRPr="00B31BEB">
              <w:t xml:space="preserve"> 0.05 (0.02, 0.14) </w:t>
            </w:r>
          </w:p>
        </w:tc>
        <w:tc>
          <w:tcPr>
            <w:tcW w:w="2830" w:type="dxa"/>
            <w:tcBorders>
              <w:top w:val="nil"/>
              <w:left w:val="nil"/>
              <w:bottom w:val="single" w:sz="4" w:space="0" w:color="auto"/>
              <w:right w:val="nil"/>
            </w:tcBorders>
          </w:tcPr>
          <w:p w:rsidR="00F8771E" w:rsidRPr="00B31BEB" w:rsidRDefault="00F8771E" w:rsidP="00F8771E">
            <w:pPr>
              <w:tabs>
                <w:tab w:val="center" w:pos="4800"/>
                <w:tab w:val="right" w:pos="9500"/>
              </w:tabs>
              <w:ind w:firstLine="720"/>
              <w:jc w:val="both"/>
            </w:pPr>
            <w:r w:rsidRPr="00B31BEB">
              <w:t xml:space="preserve"> 0.96 (0.30, 1.00) </w:t>
            </w:r>
          </w:p>
        </w:tc>
      </w:tr>
    </w:tbl>
    <w:p w:rsidR="009111D3" w:rsidRPr="00B31BEB" w:rsidRDefault="00B60103" w:rsidP="009111D3">
      <w:pPr>
        <w:pStyle w:val="Heading2"/>
      </w:pPr>
      <w:r w:rsidRPr="00B31BEB">
        <w:t>Factors influencing changes in attribute attendance behavior</w:t>
      </w:r>
    </w:p>
    <w:p w:rsidR="0082126D" w:rsidRDefault="00F948BC" w:rsidP="0082126D">
      <w:pPr>
        <w:tabs>
          <w:tab w:val="center" w:pos="4800"/>
          <w:tab w:val="right" w:pos="9500"/>
        </w:tabs>
        <w:ind w:firstLine="720"/>
        <w:rPr>
          <w:noProof/>
        </w:rPr>
      </w:pPr>
      <w:r w:rsidRPr="00B31BEB">
        <w:rPr>
          <w:noProof/>
        </w:rPr>
        <w:t xml:space="preserve">Table 10 shows estimates and significances for </w:t>
      </w:r>
      <w:r w:rsidRPr="00B31BEB">
        <w:rPr>
          <w:i/>
          <w:iCs/>
          <w:noProof/>
        </w:rPr>
        <w:t>Model 4</w:t>
      </w:r>
      <w:r w:rsidRPr="00B31BEB">
        <w:rPr>
          <w:noProof/>
        </w:rPr>
        <w:t xml:space="preserve"> investigating socio-economic and attitudinal factors’ effects on changes in ANA. As a preliminary step, we tested and found no significant effects of socio-economic and attitudinal factors on the attendance probabilities of attributes where no information was provided. </w:t>
      </w:r>
    </w:p>
    <w:p w:rsidR="0082126D" w:rsidRPr="00B31BEB" w:rsidRDefault="00F948BC" w:rsidP="0082126D">
      <w:pPr>
        <w:tabs>
          <w:tab w:val="center" w:pos="4800"/>
          <w:tab w:val="right" w:pos="9500"/>
        </w:tabs>
        <w:ind w:firstLine="720"/>
        <w:rPr>
          <w:noProof/>
        </w:rPr>
      </w:pPr>
      <w:r w:rsidRPr="00B31BEB">
        <w:rPr>
          <w:noProof/>
        </w:rPr>
        <w:t>For the trust label, initial probabilities were significantly influenced by consumers’ age (p-value 0.0</w:t>
      </w:r>
      <w:r w:rsidR="00A54333" w:rsidRPr="00B31BEB">
        <w:rPr>
          <w:noProof/>
        </w:rPr>
        <w:t>17</w:t>
      </w:r>
      <w:r w:rsidRPr="00B31BEB">
        <w:rPr>
          <w:noProof/>
        </w:rPr>
        <w:t xml:space="preserve">) while </w:t>
      </w:r>
      <w:r w:rsidR="002E0555" w:rsidRPr="00B31BEB">
        <w:rPr>
          <w:noProof/>
        </w:rPr>
        <w:t xml:space="preserve">gender </w:t>
      </w:r>
      <w:r w:rsidRPr="00B31BEB">
        <w:rPr>
          <w:noProof/>
        </w:rPr>
        <w:t>was not significant (p-value 0.</w:t>
      </w:r>
      <w:r w:rsidR="006B31A1" w:rsidRPr="00B31BEB">
        <w:rPr>
          <w:noProof/>
        </w:rPr>
        <w:t>08</w:t>
      </w:r>
      <w:r w:rsidRPr="00B31BEB">
        <w:rPr>
          <w:noProof/>
        </w:rPr>
        <w:t>).</w:t>
      </w:r>
      <w:r w:rsidR="00000115" w:rsidRPr="00B31BEB">
        <w:rPr>
          <w:noProof/>
        </w:rPr>
        <w:t xml:space="preserve"> </w:t>
      </w:r>
      <w:r w:rsidRPr="00B31BEB">
        <w:rPr>
          <w:noProof/>
        </w:rPr>
        <w:t>Table 10 shows that for an increase of one standard deviation (SD) in age, the logit of the initial probability of attending to the trust label decreases by 0.49 units. Hence, initially, older consumers were less likely to account for the trust label attribute.</w:t>
      </w:r>
      <w:r w:rsidR="006E4DD7" w:rsidRPr="00B31BEB">
        <w:rPr>
          <w:noProof/>
        </w:rPr>
        <w:t xml:space="preserve"> This </w:t>
      </w:r>
      <w:r w:rsidR="00E94FE1" w:rsidRPr="00B31BEB">
        <w:rPr>
          <w:noProof/>
        </w:rPr>
        <w:t>could</w:t>
      </w:r>
      <w:r w:rsidR="006E4DD7" w:rsidRPr="00B31BEB">
        <w:rPr>
          <w:noProof/>
        </w:rPr>
        <w:t xml:space="preserve"> be because older consumers</w:t>
      </w:r>
      <w:r w:rsidR="0028107F" w:rsidRPr="00B31BEB">
        <w:rPr>
          <w:noProof/>
        </w:rPr>
        <w:t xml:space="preserve"> shop online</w:t>
      </w:r>
      <w:r w:rsidR="00B80CE9" w:rsidRPr="00B31BEB">
        <w:rPr>
          <w:noProof/>
        </w:rPr>
        <w:t xml:space="preserve"> less</w:t>
      </w:r>
      <w:r w:rsidR="0028107F" w:rsidRPr="00B31BEB">
        <w:rPr>
          <w:noProof/>
        </w:rPr>
        <w:t xml:space="preserve"> compared to young </w:t>
      </w:r>
      <w:r w:rsidR="0036651D" w:rsidRPr="00B31BEB">
        <w:rPr>
          <w:noProof/>
        </w:rPr>
        <w:t xml:space="preserve">and more </w:t>
      </w:r>
      <w:r w:rsidR="0028107F" w:rsidRPr="00B31BEB">
        <w:rPr>
          <w:noProof/>
        </w:rPr>
        <w:t>digital consumers.</w:t>
      </w:r>
      <w:r w:rsidR="00DB445A" w:rsidRPr="00B31BEB">
        <w:rPr>
          <w:noProof/>
        </w:rPr>
        <w:t xml:space="preserve"> As a result, they may not be aware of website</w:t>
      </w:r>
      <w:r w:rsidR="00C24A18" w:rsidRPr="00B31BEB">
        <w:rPr>
          <w:noProof/>
        </w:rPr>
        <w:t xml:space="preserve"> characteristics such as </w:t>
      </w:r>
      <w:r w:rsidR="00DB445A" w:rsidRPr="00B31BEB">
        <w:rPr>
          <w:noProof/>
        </w:rPr>
        <w:t xml:space="preserve">presence of trust labels. The significance </w:t>
      </w:r>
      <w:r w:rsidR="004B373C" w:rsidRPr="00B31BEB">
        <w:rPr>
          <w:noProof/>
        </w:rPr>
        <w:t xml:space="preserve">and direction of </w:t>
      </w:r>
      <w:r w:rsidR="00DB445A" w:rsidRPr="00B31BEB">
        <w:rPr>
          <w:noProof/>
        </w:rPr>
        <w:t>age on trust label’s attendance probability provides support for hypothesis H2A.</w:t>
      </w:r>
      <w:r w:rsidR="00F617F2" w:rsidRPr="00B31BEB">
        <w:rPr>
          <w:noProof/>
        </w:rPr>
        <w:t xml:space="preserve"> However, </w:t>
      </w:r>
      <w:r w:rsidR="00EA2BC7" w:rsidRPr="00B31BEB">
        <w:rPr>
          <w:noProof/>
        </w:rPr>
        <w:t>hypothesis H3A</w:t>
      </w:r>
      <w:r w:rsidR="00F617F2" w:rsidRPr="00B31BEB">
        <w:rPr>
          <w:noProof/>
        </w:rPr>
        <w:t xml:space="preserve"> </w:t>
      </w:r>
      <w:r w:rsidR="00EA2BC7" w:rsidRPr="00B31BEB">
        <w:rPr>
          <w:noProof/>
        </w:rPr>
        <w:t>about</w:t>
      </w:r>
      <w:r w:rsidR="0082126D">
        <w:rPr>
          <w:noProof/>
        </w:rPr>
        <w:t xml:space="preserve"> </w:t>
      </w:r>
      <w:r w:rsidR="00F617F2" w:rsidRPr="00B31BEB">
        <w:rPr>
          <w:noProof/>
        </w:rPr>
        <w:t xml:space="preserve"> </w:t>
      </w:r>
      <w:r w:rsidR="0082126D" w:rsidRPr="00B31BEB">
        <w:rPr>
          <w:noProof/>
        </w:rPr>
        <w:t xml:space="preserve">gender influence on e-consumers’ initial attendance probability to the trust label attribute was not supported. </w:t>
      </w:r>
    </w:p>
    <w:p w:rsidR="004C698F" w:rsidRPr="00B31BEB" w:rsidRDefault="004C698F">
      <w:pPr>
        <w:tabs>
          <w:tab w:val="center" w:pos="4800"/>
          <w:tab w:val="right" w:pos="9500"/>
        </w:tabs>
        <w:ind w:firstLine="720"/>
        <w:rPr>
          <w:noProof/>
        </w:rPr>
      </w:pPr>
    </w:p>
    <w:p w:rsidR="00E0497F" w:rsidRPr="00B31BEB" w:rsidRDefault="00E0497F" w:rsidP="009C4400">
      <w:pPr>
        <w:tabs>
          <w:tab w:val="center" w:pos="4800"/>
          <w:tab w:val="right" w:pos="9500"/>
        </w:tabs>
        <w:ind w:firstLine="720"/>
        <w:jc w:val="both"/>
        <w:rPr>
          <w:noProof/>
        </w:rPr>
      </w:pPr>
      <w:r w:rsidRPr="00B31BEB">
        <w:lastRenderedPageBreak/>
        <w:t>Table 1</w:t>
      </w:r>
      <w:r w:rsidR="00B10200" w:rsidRPr="00B31BEB">
        <w:t>0</w:t>
      </w:r>
      <w:r w:rsidRPr="00B31BEB">
        <w:t xml:space="preserve">. </w:t>
      </w:r>
      <w:r w:rsidR="00B10200" w:rsidRPr="00B31BEB">
        <w:rPr>
          <w:i/>
          <w:iCs/>
          <w:noProof/>
        </w:rPr>
        <w:t>Model 4</w:t>
      </w:r>
      <w:r w:rsidR="00B10200" w:rsidRPr="00B31BEB">
        <w:rPr>
          <w:noProof/>
        </w:rPr>
        <w:t xml:space="preserve"> showing covariate effects on initial and transition attendance probabilities</w:t>
      </w:r>
    </w:p>
    <w:tbl>
      <w:tblPr>
        <w:tblStyle w:val="TableGrid"/>
        <w:tblW w:w="0" w:type="auto"/>
        <w:tblLook w:val="04A0" w:firstRow="1" w:lastRow="0" w:firstColumn="1" w:lastColumn="0" w:noHBand="0" w:noVBand="1"/>
      </w:tblPr>
      <w:tblGrid>
        <w:gridCol w:w="2216"/>
        <w:gridCol w:w="1645"/>
        <w:gridCol w:w="1546"/>
        <w:gridCol w:w="1546"/>
        <w:gridCol w:w="1546"/>
      </w:tblGrid>
      <w:tr w:rsidR="00B31BEB" w:rsidRPr="00B31BEB" w:rsidTr="00915C1C">
        <w:tc>
          <w:tcPr>
            <w:tcW w:w="2216" w:type="dxa"/>
            <w:tcBorders>
              <w:top w:val="single" w:sz="4" w:space="0" w:color="auto"/>
              <w:left w:val="nil"/>
              <w:bottom w:val="nil"/>
              <w:right w:val="nil"/>
            </w:tcBorders>
          </w:tcPr>
          <w:p w:rsidR="009E70B1" w:rsidRPr="00B31BEB" w:rsidRDefault="009E70B1" w:rsidP="009C4400">
            <w:pPr>
              <w:tabs>
                <w:tab w:val="center" w:pos="4800"/>
                <w:tab w:val="right" w:pos="9500"/>
              </w:tabs>
              <w:jc w:val="both"/>
              <w:rPr>
                <w:noProof/>
              </w:rPr>
            </w:pPr>
          </w:p>
        </w:tc>
        <w:tc>
          <w:tcPr>
            <w:tcW w:w="1645" w:type="dxa"/>
            <w:tcBorders>
              <w:top w:val="single" w:sz="4" w:space="0" w:color="auto"/>
              <w:left w:val="nil"/>
              <w:bottom w:val="nil"/>
              <w:right w:val="nil"/>
            </w:tcBorders>
          </w:tcPr>
          <w:p w:rsidR="009E70B1" w:rsidRPr="00B31BEB" w:rsidRDefault="009E70B1" w:rsidP="009C4400">
            <w:pPr>
              <w:tabs>
                <w:tab w:val="center" w:pos="4800"/>
                <w:tab w:val="right" w:pos="9500"/>
              </w:tabs>
              <w:jc w:val="both"/>
              <w:rPr>
                <w:noProof/>
              </w:rPr>
            </w:pPr>
          </w:p>
        </w:tc>
        <w:tc>
          <w:tcPr>
            <w:tcW w:w="1546" w:type="dxa"/>
            <w:tcBorders>
              <w:top w:val="single" w:sz="4" w:space="0" w:color="auto"/>
              <w:left w:val="nil"/>
              <w:bottom w:val="nil"/>
              <w:right w:val="nil"/>
            </w:tcBorders>
          </w:tcPr>
          <w:p w:rsidR="009E70B1" w:rsidRPr="00B31BEB" w:rsidRDefault="009E70B1" w:rsidP="005232A1">
            <w:pPr>
              <w:tabs>
                <w:tab w:val="center" w:pos="4800"/>
                <w:tab w:val="right" w:pos="9500"/>
              </w:tabs>
              <w:jc w:val="both"/>
              <w:rPr>
                <w:noProof/>
              </w:rPr>
            </w:pPr>
            <w:r w:rsidRPr="00B31BEB">
              <w:rPr>
                <w:noProof/>
              </w:rPr>
              <w:t xml:space="preserve">Initial </w:t>
            </w:r>
            <w:r w:rsidR="00E42F07" w:rsidRPr="00B31BEB">
              <w:rPr>
                <w:noProof/>
              </w:rPr>
              <w:t>prob.</w:t>
            </w:r>
            <w:r w:rsidRPr="00B31BEB">
              <w:rPr>
                <w:noProof/>
              </w:rPr>
              <w:t xml:space="preserve"> </w:t>
            </w:r>
          </w:p>
        </w:tc>
        <w:tc>
          <w:tcPr>
            <w:tcW w:w="3092" w:type="dxa"/>
            <w:gridSpan w:val="2"/>
            <w:tcBorders>
              <w:top w:val="single" w:sz="4" w:space="0" w:color="auto"/>
              <w:left w:val="nil"/>
              <w:bottom w:val="nil"/>
              <w:right w:val="nil"/>
            </w:tcBorders>
          </w:tcPr>
          <w:p w:rsidR="009E70B1" w:rsidRPr="00B31BEB" w:rsidRDefault="009E70B1" w:rsidP="009C4400">
            <w:pPr>
              <w:tabs>
                <w:tab w:val="center" w:pos="4800"/>
                <w:tab w:val="right" w:pos="9500"/>
              </w:tabs>
              <w:jc w:val="both"/>
              <w:rPr>
                <w:noProof/>
              </w:rPr>
            </w:pPr>
            <w:r w:rsidRPr="00B31BEB">
              <w:rPr>
                <w:noProof/>
              </w:rPr>
              <w:t>Transition probabilities</w:t>
            </w:r>
          </w:p>
        </w:tc>
      </w:tr>
      <w:tr w:rsidR="00B31BEB" w:rsidRPr="00B31BEB" w:rsidTr="00915C1C">
        <w:tc>
          <w:tcPr>
            <w:tcW w:w="2216" w:type="dxa"/>
            <w:tcBorders>
              <w:top w:val="nil"/>
              <w:left w:val="nil"/>
              <w:bottom w:val="nil"/>
              <w:right w:val="nil"/>
            </w:tcBorders>
          </w:tcPr>
          <w:p w:rsidR="005232A1" w:rsidRPr="00B31BEB" w:rsidRDefault="005232A1" w:rsidP="009C4400">
            <w:pPr>
              <w:tabs>
                <w:tab w:val="center" w:pos="4800"/>
                <w:tab w:val="right" w:pos="9500"/>
              </w:tabs>
              <w:jc w:val="both"/>
              <w:rPr>
                <w:noProof/>
              </w:rPr>
            </w:pPr>
          </w:p>
        </w:tc>
        <w:tc>
          <w:tcPr>
            <w:tcW w:w="1645" w:type="dxa"/>
            <w:tcBorders>
              <w:top w:val="nil"/>
              <w:left w:val="nil"/>
              <w:bottom w:val="nil"/>
              <w:right w:val="nil"/>
            </w:tcBorders>
          </w:tcPr>
          <w:p w:rsidR="005232A1" w:rsidRPr="00B31BEB" w:rsidRDefault="005232A1" w:rsidP="009C4400">
            <w:pPr>
              <w:tabs>
                <w:tab w:val="center" w:pos="4800"/>
                <w:tab w:val="right" w:pos="9500"/>
              </w:tabs>
              <w:jc w:val="both"/>
              <w:rPr>
                <w:noProof/>
              </w:rPr>
            </w:pPr>
          </w:p>
        </w:tc>
        <w:tc>
          <w:tcPr>
            <w:tcW w:w="1546" w:type="dxa"/>
            <w:tcBorders>
              <w:top w:val="nil"/>
              <w:left w:val="nil"/>
              <w:bottom w:val="nil"/>
              <w:right w:val="nil"/>
            </w:tcBorders>
          </w:tcPr>
          <w:p w:rsidR="005232A1" w:rsidRPr="00B31BEB" w:rsidRDefault="005232A1" w:rsidP="002E2AA2">
            <w:pPr>
              <w:tabs>
                <w:tab w:val="center" w:pos="4800"/>
                <w:tab w:val="right" w:pos="9500"/>
              </w:tabs>
              <w:jc w:val="both"/>
              <w:rPr>
                <w:noProof/>
              </w:rPr>
            </w:pPr>
            <w:r w:rsidRPr="00B31BEB">
              <w:rPr>
                <w:position w:val="-14"/>
              </w:rPr>
              <w:object w:dxaOrig="260" w:dyaOrig="380">
                <v:shape id="_x0000_i1125" type="#_x0000_t75" style="width:12.6pt;height:18.6pt" o:ole="">
                  <v:imagedata r:id="rId203" o:title=""/>
                </v:shape>
                <o:OLEObject Type="Embed" ProgID="Equation.DSMT4" ShapeID="_x0000_i1125" DrawAspect="Content" ObjectID="_1649081727" r:id="rId204"/>
              </w:object>
            </w:r>
          </w:p>
        </w:tc>
        <w:tc>
          <w:tcPr>
            <w:tcW w:w="1546" w:type="dxa"/>
            <w:tcBorders>
              <w:top w:val="nil"/>
              <w:left w:val="nil"/>
              <w:bottom w:val="nil"/>
              <w:right w:val="nil"/>
            </w:tcBorders>
          </w:tcPr>
          <w:p w:rsidR="005232A1" w:rsidRPr="00B31BEB" w:rsidRDefault="009E70B1" w:rsidP="009E70B1">
            <w:pPr>
              <w:tabs>
                <w:tab w:val="center" w:pos="4800"/>
                <w:tab w:val="right" w:pos="9500"/>
              </w:tabs>
              <w:jc w:val="both"/>
              <w:rPr>
                <w:noProof/>
              </w:rPr>
            </w:pPr>
            <w:r w:rsidRPr="00B31BEB">
              <w:rPr>
                <w:position w:val="-14"/>
              </w:rPr>
              <w:object w:dxaOrig="360" w:dyaOrig="380">
                <v:shape id="_x0000_i1126" type="#_x0000_t75" style="width:18pt;height:18.6pt" o:ole="">
                  <v:imagedata r:id="rId205" o:title=""/>
                </v:shape>
                <o:OLEObject Type="Embed" ProgID="Equation.DSMT4" ShapeID="_x0000_i1126" DrawAspect="Content" ObjectID="_1649081728" r:id="rId206"/>
              </w:object>
            </w:r>
          </w:p>
        </w:tc>
        <w:tc>
          <w:tcPr>
            <w:tcW w:w="1546" w:type="dxa"/>
            <w:tcBorders>
              <w:top w:val="nil"/>
              <w:left w:val="nil"/>
              <w:bottom w:val="nil"/>
              <w:right w:val="nil"/>
            </w:tcBorders>
          </w:tcPr>
          <w:p w:rsidR="005232A1" w:rsidRPr="00B31BEB" w:rsidRDefault="009E70B1" w:rsidP="009E70B1">
            <w:pPr>
              <w:tabs>
                <w:tab w:val="center" w:pos="4800"/>
                <w:tab w:val="right" w:pos="9500"/>
              </w:tabs>
              <w:jc w:val="both"/>
              <w:rPr>
                <w:noProof/>
              </w:rPr>
            </w:pPr>
            <w:r w:rsidRPr="00B31BEB">
              <w:rPr>
                <w:position w:val="-14"/>
              </w:rPr>
              <w:object w:dxaOrig="340" w:dyaOrig="380">
                <v:shape id="_x0000_i1127" type="#_x0000_t75" style="width:17.4pt;height:18.6pt" o:ole="">
                  <v:imagedata r:id="rId207" o:title=""/>
                </v:shape>
                <o:OLEObject Type="Embed" ProgID="Equation.DSMT4" ShapeID="_x0000_i1127" DrawAspect="Content" ObjectID="_1649081729" r:id="rId208"/>
              </w:object>
            </w:r>
          </w:p>
        </w:tc>
      </w:tr>
      <w:tr w:rsidR="00B31BEB" w:rsidRPr="00B31BEB" w:rsidTr="00915C1C">
        <w:tc>
          <w:tcPr>
            <w:tcW w:w="2216" w:type="dxa"/>
            <w:tcBorders>
              <w:top w:val="nil"/>
              <w:left w:val="nil"/>
              <w:bottom w:val="single" w:sz="4" w:space="0" w:color="auto"/>
              <w:right w:val="nil"/>
            </w:tcBorders>
          </w:tcPr>
          <w:p w:rsidR="000878BF" w:rsidRPr="00B31BEB" w:rsidRDefault="000878BF" w:rsidP="009C4400">
            <w:pPr>
              <w:tabs>
                <w:tab w:val="center" w:pos="4800"/>
                <w:tab w:val="right" w:pos="9500"/>
              </w:tabs>
              <w:jc w:val="both"/>
              <w:rPr>
                <w:noProof/>
              </w:rPr>
            </w:pPr>
            <w:r w:rsidRPr="00B31BEB">
              <w:rPr>
                <w:noProof/>
              </w:rPr>
              <w:t>Attribute</w:t>
            </w:r>
          </w:p>
        </w:tc>
        <w:tc>
          <w:tcPr>
            <w:tcW w:w="1645" w:type="dxa"/>
            <w:tcBorders>
              <w:top w:val="nil"/>
              <w:left w:val="nil"/>
              <w:bottom w:val="single" w:sz="4" w:space="0" w:color="auto"/>
              <w:right w:val="nil"/>
            </w:tcBorders>
          </w:tcPr>
          <w:p w:rsidR="000878BF" w:rsidRPr="00B31BEB" w:rsidRDefault="000878BF" w:rsidP="009C4400">
            <w:pPr>
              <w:tabs>
                <w:tab w:val="center" w:pos="4800"/>
                <w:tab w:val="right" w:pos="9500"/>
              </w:tabs>
              <w:jc w:val="both"/>
              <w:rPr>
                <w:noProof/>
              </w:rPr>
            </w:pPr>
            <w:r w:rsidRPr="00B31BEB">
              <w:rPr>
                <w:noProof/>
              </w:rPr>
              <w:t>Covariate</w:t>
            </w:r>
          </w:p>
        </w:tc>
        <w:tc>
          <w:tcPr>
            <w:tcW w:w="1546" w:type="dxa"/>
            <w:tcBorders>
              <w:top w:val="nil"/>
              <w:left w:val="nil"/>
              <w:bottom w:val="single" w:sz="4" w:space="0" w:color="auto"/>
              <w:right w:val="nil"/>
            </w:tcBorders>
          </w:tcPr>
          <w:p w:rsidR="000878BF" w:rsidRPr="00B31BEB" w:rsidRDefault="000878BF" w:rsidP="009C4400">
            <w:pPr>
              <w:tabs>
                <w:tab w:val="center" w:pos="4800"/>
                <w:tab w:val="right" w:pos="9500"/>
              </w:tabs>
              <w:jc w:val="both"/>
              <w:rPr>
                <w:noProof/>
              </w:rPr>
            </w:pPr>
            <w:r w:rsidRPr="00B31BEB">
              <w:rPr>
                <w:noProof/>
              </w:rPr>
              <w:t>Coef (SD)</w:t>
            </w:r>
          </w:p>
        </w:tc>
        <w:tc>
          <w:tcPr>
            <w:tcW w:w="1546" w:type="dxa"/>
            <w:tcBorders>
              <w:top w:val="nil"/>
              <w:left w:val="nil"/>
              <w:bottom w:val="single" w:sz="4" w:space="0" w:color="auto"/>
              <w:right w:val="nil"/>
            </w:tcBorders>
          </w:tcPr>
          <w:p w:rsidR="000878BF" w:rsidRPr="00B31BEB" w:rsidRDefault="000878BF" w:rsidP="009C4400">
            <w:pPr>
              <w:tabs>
                <w:tab w:val="center" w:pos="4800"/>
                <w:tab w:val="right" w:pos="9500"/>
              </w:tabs>
              <w:jc w:val="both"/>
              <w:rPr>
                <w:noProof/>
              </w:rPr>
            </w:pPr>
            <w:r w:rsidRPr="00B31BEB">
              <w:rPr>
                <w:noProof/>
              </w:rPr>
              <w:t>Coef (SD)</w:t>
            </w:r>
          </w:p>
        </w:tc>
        <w:tc>
          <w:tcPr>
            <w:tcW w:w="1546" w:type="dxa"/>
            <w:tcBorders>
              <w:top w:val="nil"/>
              <w:left w:val="nil"/>
              <w:bottom w:val="single" w:sz="4" w:space="0" w:color="auto"/>
              <w:right w:val="nil"/>
            </w:tcBorders>
          </w:tcPr>
          <w:p w:rsidR="000878BF" w:rsidRPr="00B31BEB" w:rsidRDefault="000878BF" w:rsidP="009C4400">
            <w:pPr>
              <w:tabs>
                <w:tab w:val="center" w:pos="4800"/>
                <w:tab w:val="right" w:pos="9500"/>
              </w:tabs>
              <w:jc w:val="both"/>
              <w:rPr>
                <w:noProof/>
              </w:rPr>
            </w:pPr>
            <w:r w:rsidRPr="00B31BEB">
              <w:rPr>
                <w:noProof/>
              </w:rPr>
              <w:t>Coef (SD)</w:t>
            </w:r>
          </w:p>
        </w:tc>
      </w:tr>
      <w:tr w:rsidR="00B31BEB" w:rsidRPr="00B31BEB" w:rsidTr="00915C1C">
        <w:tc>
          <w:tcPr>
            <w:tcW w:w="2216" w:type="dxa"/>
            <w:tcBorders>
              <w:top w:val="single" w:sz="4" w:space="0" w:color="auto"/>
              <w:left w:val="nil"/>
              <w:bottom w:val="nil"/>
              <w:right w:val="nil"/>
            </w:tcBorders>
          </w:tcPr>
          <w:p w:rsidR="00D82B6A" w:rsidRPr="00B31BEB" w:rsidRDefault="00D82B6A" w:rsidP="00D82B6A">
            <w:pPr>
              <w:tabs>
                <w:tab w:val="center" w:pos="4800"/>
                <w:tab w:val="right" w:pos="9500"/>
              </w:tabs>
              <w:jc w:val="both"/>
              <w:rPr>
                <w:noProof/>
              </w:rPr>
            </w:pPr>
            <w:r w:rsidRPr="00B31BEB">
              <w:t>Trust label</w:t>
            </w:r>
          </w:p>
        </w:tc>
        <w:tc>
          <w:tcPr>
            <w:tcW w:w="1645" w:type="dxa"/>
            <w:tcBorders>
              <w:top w:val="single" w:sz="4" w:space="0" w:color="auto"/>
              <w:left w:val="nil"/>
              <w:bottom w:val="nil"/>
              <w:right w:val="nil"/>
            </w:tcBorders>
          </w:tcPr>
          <w:p w:rsidR="00D82B6A" w:rsidRPr="00B31BEB" w:rsidRDefault="00D82B6A" w:rsidP="00D82B6A">
            <w:pPr>
              <w:tabs>
                <w:tab w:val="center" w:pos="4800"/>
                <w:tab w:val="right" w:pos="9500"/>
              </w:tabs>
              <w:jc w:val="both"/>
            </w:pPr>
            <w:r w:rsidRPr="00B31BEB">
              <w:t xml:space="preserve">Intercept </w:t>
            </w:r>
          </w:p>
        </w:tc>
        <w:tc>
          <w:tcPr>
            <w:tcW w:w="1546" w:type="dxa"/>
            <w:tcBorders>
              <w:top w:val="single" w:sz="4" w:space="0" w:color="auto"/>
              <w:left w:val="nil"/>
              <w:bottom w:val="nil"/>
              <w:right w:val="nil"/>
            </w:tcBorders>
          </w:tcPr>
          <w:p w:rsidR="00D82B6A" w:rsidRPr="00B31BEB" w:rsidRDefault="00D82B6A" w:rsidP="00D82B6A">
            <w:pPr>
              <w:tabs>
                <w:tab w:val="center" w:pos="4800"/>
                <w:tab w:val="right" w:pos="9500"/>
              </w:tabs>
              <w:jc w:val="both"/>
            </w:pPr>
            <w:r w:rsidRPr="00B31BEB">
              <w:t xml:space="preserve">-1.76 (0.43) </w:t>
            </w:r>
          </w:p>
        </w:tc>
        <w:tc>
          <w:tcPr>
            <w:tcW w:w="1546" w:type="dxa"/>
            <w:tcBorders>
              <w:top w:val="single" w:sz="4" w:space="0" w:color="auto"/>
              <w:left w:val="nil"/>
              <w:bottom w:val="nil"/>
              <w:right w:val="nil"/>
            </w:tcBorders>
          </w:tcPr>
          <w:p w:rsidR="00D82B6A" w:rsidRPr="00B31BEB" w:rsidRDefault="00D82B6A" w:rsidP="00D82B6A">
            <w:pPr>
              <w:tabs>
                <w:tab w:val="center" w:pos="4800"/>
                <w:tab w:val="right" w:pos="9500"/>
              </w:tabs>
              <w:jc w:val="both"/>
            </w:pPr>
            <w:r w:rsidRPr="00B31BEB">
              <w:t xml:space="preserve">-1.45 (0.42) </w:t>
            </w:r>
          </w:p>
        </w:tc>
        <w:tc>
          <w:tcPr>
            <w:tcW w:w="1546" w:type="dxa"/>
            <w:tcBorders>
              <w:top w:val="single" w:sz="4" w:space="0" w:color="auto"/>
              <w:left w:val="nil"/>
              <w:bottom w:val="nil"/>
              <w:right w:val="nil"/>
            </w:tcBorders>
          </w:tcPr>
          <w:p w:rsidR="00D82B6A" w:rsidRPr="00B31BEB" w:rsidRDefault="00D82B6A" w:rsidP="00D82B6A">
            <w:pPr>
              <w:tabs>
                <w:tab w:val="center" w:pos="4800"/>
                <w:tab w:val="right" w:pos="9500"/>
              </w:tabs>
              <w:jc w:val="both"/>
            </w:pPr>
            <w:r w:rsidRPr="00B31BEB">
              <w:t xml:space="preserve">3.20 (3.36) </w:t>
            </w:r>
          </w:p>
        </w:tc>
      </w:tr>
      <w:tr w:rsidR="00B31BEB" w:rsidRPr="00B31BEB" w:rsidTr="00915C1C">
        <w:tc>
          <w:tcPr>
            <w:tcW w:w="2216" w:type="dxa"/>
            <w:tcBorders>
              <w:top w:val="nil"/>
              <w:left w:val="nil"/>
              <w:bottom w:val="nil"/>
              <w:right w:val="nil"/>
            </w:tcBorders>
          </w:tcPr>
          <w:p w:rsidR="008A0518" w:rsidRPr="00B31BEB" w:rsidRDefault="008A0518" w:rsidP="008A0518">
            <w:pPr>
              <w:tabs>
                <w:tab w:val="center" w:pos="4800"/>
                <w:tab w:val="right" w:pos="9500"/>
              </w:tabs>
              <w:jc w:val="both"/>
              <w:rPr>
                <w:noProof/>
              </w:rPr>
            </w:pPr>
          </w:p>
        </w:tc>
        <w:tc>
          <w:tcPr>
            <w:tcW w:w="1645" w:type="dxa"/>
            <w:tcBorders>
              <w:top w:val="nil"/>
              <w:left w:val="nil"/>
              <w:bottom w:val="nil"/>
              <w:right w:val="nil"/>
            </w:tcBorders>
          </w:tcPr>
          <w:p w:rsidR="008A0518" w:rsidRPr="00B31BEB" w:rsidRDefault="0029668D" w:rsidP="008A0518">
            <w:pPr>
              <w:tabs>
                <w:tab w:val="center" w:pos="4800"/>
                <w:tab w:val="right" w:pos="9500"/>
              </w:tabs>
              <w:jc w:val="both"/>
            </w:pPr>
            <w:r w:rsidRPr="00B31BEB">
              <w:t xml:space="preserve">Male </w:t>
            </w:r>
          </w:p>
        </w:tc>
        <w:tc>
          <w:tcPr>
            <w:tcW w:w="1546" w:type="dxa"/>
            <w:tcBorders>
              <w:top w:val="nil"/>
              <w:left w:val="nil"/>
              <w:bottom w:val="nil"/>
              <w:right w:val="nil"/>
            </w:tcBorders>
          </w:tcPr>
          <w:p w:rsidR="008A0518" w:rsidRPr="00B31BEB" w:rsidRDefault="008A0518" w:rsidP="008A0518">
            <w:pPr>
              <w:tabs>
                <w:tab w:val="center" w:pos="4800"/>
                <w:tab w:val="right" w:pos="9500"/>
              </w:tabs>
              <w:jc w:val="both"/>
            </w:pPr>
            <w:r w:rsidRPr="00B31BEB">
              <w:t xml:space="preserve">0.68 (0.47) </w:t>
            </w:r>
          </w:p>
        </w:tc>
        <w:tc>
          <w:tcPr>
            <w:tcW w:w="1546" w:type="dxa"/>
            <w:tcBorders>
              <w:top w:val="nil"/>
              <w:left w:val="nil"/>
              <w:bottom w:val="nil"/>
              <w:right w:val="nil"/>
            </w:tcBorders>
          </w:tcPr>
          <w:p w:rsidR="008A0518" w:rsidRPr="00B31BEB" w:rsidRDefault="008A0518" w:rsidP="008A0518">
            <w:pPr>
              <w:tabs>
                <w:tab w:val="center" w:pos="4800"/>
                <w:tab w:val="right" w:pos="9500"/>
              </w:tabs>
              <w:jc w:val="both"/>
            </w:pPr>
            <w:r w:rsidRPr="00B31BEB">
              <w:t xml:space="preserve">0.65 (0.49) </w:t>
            </w:r>
          </w:p>
        </w:tc>
        <w:tc>
          <w:tcPr>
            <w:tcW w:w="1546" w:type="dxa"/>
            <w:tcBorders>
              <w:top w:val="nil"/>
              <w:left w:val="nil"/>
              <w:bottom w:val="nil"/>
              <w:right w:val="nil"/>
            </w:tcBorders>
          </w:tcPr>
          <w:p w:rsidR="008A0518" w:rsidRPr="00B31BEB" w:rsidRDefault="008A0518" w:rsidP="008A0518">
            <w:pPr>
              <w:tabs>
                <w:tab w:val="center" w:pos="4800"/>
                <w:tab w:val="right" w:pos="9500"/>
              </w:tabs>
              <w:jc w:val="both"/>
            </w:pPr>
            <w:r w:rsidRPr="00B31BEB">
              <w:t>-0.75 (3.50)</w:t>
            </w:r>
          </w:p>
        </w:tc>
      </w:tr>
      <w:tr w:rsidR="00B31BEB" w:rsidRPr="00B31BEB" w:rsidTr="00915C1C">
        <w:tc>
          <w:tcPr>
            <w:tcW w:w="2216" w:type="dxa"/>
            <w:tcBorders>
              <w:top w:val="nil"/>
              <w:left w:val="nil"/>
              <w:bottom w:val="nil"/>
              <w:right w:val="nil"/>
            </w:tcBorders>
          </w:tcPr>
          <w:p w:rsidR="008A0518" w:rsidRPr="00B31BEB" w:rsidRDefault="008A0518" w:rsidP="008A0518">
            <w:pPr>
              <w:tabs>
                <w:tab w:val="center" w:pos="4800"/>
                <w:tab w:val="right" w:pos="9500"/>
              </w:tabs>
              <w:jc w:val="both"/>
              <w:rPr>
                <w:noProof/>
              </w:rPr>
            </w:pPr>
          </w:p>
        </w:tc>
        <w:tc>
          <w:tcPr>
            <w:tcW w:w="1645" w:type="dxa"/>
            <w:tcBorders>
              <w:top w:val="nil"/>
              <w:left w:val="nil"/>
              <w:bottom w:val="nil"/>
              <w:right w:val="nil"/>
            </w:tcBorders>
          </w:tcPr>
          <w:p w:rsidR="008A0518" w:rsidRPr="00B31BEB" w:rsidRDefault="008A0518" w:rsidP="00EA3CE0">
            <w:pPr>
              <w:tabs>
                <w:tab w:val="center" w:pos="4800"/>
                <w:tab w:val="right" w:pos="9500"/>
              </w:tabs>
              <w:jc w:val="both"/>
            </w:pPr>
            <w:r w:rsidRPr="00B31BEB">
              <w:t xml:space="preserve">Age </w:t>
            </w:r>
          </w:p>
        </w:tc>
        <w:tc>
          <w:tcPr>
            <w:tcW w:w="1546" w:type="dxa"/>
            <w:tcBorders>
              <w:top w:val="nil"/>
              <w:left w:val="nil"/>
              <w:bottom w:val="nil"/>
              <w:right w:val="nil"/>
            </w:tcBorders>
          </w:tcPr>
          <w:p w:rsidR="008A0518" w:rsidRPr="00B31BEB" w:rsidRDefault="008A0518" w:rsidP="00EA3CE0">
            <w:pPr>
              <w:tabs>
                <w:tab w:val="center" w:pos="4800"/>
                <w:tab w:val="right" w:pos="9500"/>
              </w:tabs>
              <w:jc w:val="both"/>
            </w:pPr>
            <w:r w:rsidRPr="00B31BEB">
              <w:t xml:space="preserve">-0.49 (0.23) </w:t>
            </w:r>
          </w:p>
        </w:tc>
        <w:tc>
          <w:tcPr>
            <w:tcW w:w="1546" w:type="dxa"/>
            <w:tcBorders>
              <w:top w:val="nil"/>
              <w:left w:val="nil"/>
              <w:bottom w:val="nil"/>
              <w:right w:val="nil"/>
            </w:tcBorders>
          </w:tcPr>
          <w:p w:rsidR="008A0518" w:rsidRPr="00B31BEB" w:rsidRDefault="008A0518" w:rsidP="00EA3CE0">
            <w:pPr>
              <w:tabs>
                <w:tab w:val="center" w:pos="4800"/>
                <w:tab w:val="right" w:pos="9500"/>
              </w:tabs>
              <w:jc w:val="both"/>
            </w:pPr>
            <w:r w:rsidRPr="00B31BEB">
              <w:t xml:space="preserve">0.17 (0.21) </w:t>
            </w:r>
          </w:p>
        </w:tc>
        <w:tc>
          <w:tcPr>
            <w:tcW w:w="1546" w:type="dxa"/>
            <w:tcBorders>
              <w:top w:val="nil"/>
              <w:left w:val="nil"/>
              <w:bottom w:val="nil"/>
              <w:right w:val="nil"/>
            </w:tcBorders>
          </w:tcPr>
          <w:p w:rsidR="008A0518" w:rsidRPr="00B31BEB" w:rsidRDefault="008A0518" w:rsidP="00EA3CE0">
            <w:pPr>
              <w:tabs>
                <w:tab w:val="center" w:pos="4800"/>
                <w:tab w:val="right" w:pos="9500"/>
              </w:tabs>
              <w:jc w:val="both"/>
            </w:pPr>
            <w:r w:rsidRPr="00B31BEB">
              <w:t xml:space="preserve">0.20 (1.00) </w:t>
            </w:r>
          </w:p>
        </w:tc>
      </w:tr>
      <w:tr w:rsidR="00B31BEB" w:rsidRPr="00B31BEB" w:rsidTr="00915C1C">
        <w:tc>
          <w:tcPr>
            <w:tcW w:w="221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Distance </w:t>
            </w:r>
          </w:p>
        </w:tc>
        <w:tc>
          <w:tcPr>
            <w:tcW w:w="1645"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Intercept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-3.06 (0.44)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-2.94 (0.55)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3.11 (2.14) </w:t>
            </w:r>
          </w:p>
        </w:tc>
      </w:tr>
      <w:tr w:rsidR="00B31BEB" w:rsidRPr="00B31BEB" w:rsidTr="00915C1C">
        <w:tc>
          <w:tcPr>
            <w:tcW w:w="2216" w:type="dxa"/>
            <w:tcBorders>
              <w:top w:val="nil"/>
              <w:left w:val="nil"/>
              <w:bottom w:val="nil"/>
              <w:right w:val="nil"/>
            </w:tcBorders>
          </w:tcPr>
          <w:p w:rsidR="00BD7AF5" w:rsidRPr="00B31BEB" w:rsidRDefault="00BD7AF5" w:rsidP="00BD7AF5">
            <w:pPr>
              <w:tabs>
                <w:tab w:val="center" w:pos="4800"/>
                <w:tab w:val="right" w:pos="9500"/>
              </w:tabs>
              <w:ind w:firstLine="720"/>
              <w:jc w:val="both"/>
            </w:pPr>
          </w:p>
        </w:tc>
        <w:tc>
          <w:tcPr>
            <w:tcW w:w="1645"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NEP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-0.06 (0.09)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0.21 (0.09) </w:t>
            </w:r>
          </w:p>
        </w:tc>
        <w:tc>
          <w:tcPr>
            <w:tcW w:w="1546" w:type="dxa"/>
            <w:tcBorders>
              <w:top w:val="nil"/>
              <w:left w:val="nil"/>
              <w:bottom w:val="nil"/>
              <w:right w:val="nil"/>
            </w:tcBorders>
          </w:tcPr>
          <w:p w:rsidR="00BD7AF5" w:rsidRPr="00B31BEB" w:rsidRDefault="00BD7AF5" w:rsidP="00BD7AF5">
            <w:pPr>
              <w:tabs>
                <w:tab w:val="center" w:pos="4800"/>
                <w:tab w:val="right" w:pos="9500"/>
              </w:tabs>
              <w:jc w:val="both"/>
            </w:pPr>
            <w:r w:rsidRPr="00B31BEB">
              <w:t xml:space="preserve">-0.04 (0.38) </w:t>
            </w:r>
          </w:p>
        </w:tc>
      </w:tr>
      <w:tr w:rsidR="00B31BEB" w:rsidRPr="00B31BEB" w:rsidTr="00915C1C">
        <w:tc>
          <w:tcPr>
            <w:tcW w:w="2216" w:type="dxa"/>
            <w:tcBorders>
              <w:top w:val="nil"/>
              <w:left w:val="nil"/>
              <w:bottom w:val="nil"/>
              <w:right w:val="nil"/>
            </w:tcBorders>
          </w:tcPr>
          <w:p w:rsidR="00AD64EC" w:rsidRPr="00B31BEB" w:rsidRDefault="00AD64EC" w:rsidP="00915C1C">
            <w:pPr>
              <w:tabs>
                <w:tab w:val="center" w:pos="4800"/>
                <w:tab w:val="right" w:pos="9500"/>
              </w:tabs>
              <w:jc w:val="both"/>
            </w:pPr>
            <w:r w:rsidRPr="00B31BEB">
              <w:t xml:space="preserve">Headquarters </w:t>
            </w:r>
          </w:p>
        </w:tc>
        <w:tc>
          <w:tcPr>
            <w:tcW w:w="1645"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Intercept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-2.22 (0.36)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-2.61 (0.64)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2.89 (3.35) </w:t>
            </w:r>
          </w:p>
        </w:tc>
      </w:tr>
      <w:tr w:rsidR="00B31BEB" w:rsidRPr="00B31BEB" w:rsidTr="00915C1C">
        <w:tc>
          <w:tcPr>
            <w:tcW w:w="2216" w:type="dxa"/>
            <w:tcBorders>
              <w:top w:val="nil"/>
              <w:left w:val="nil"/>
              <w:bottom w:val="nil"/>
              <w:right w:val="nil"/>
            </w:tcBorders>
          </w:tcPr>
          <w:p w:rsidR="00AD64EC" w:rsidRPr="00B31BEB" w:rsidRDefault="00AD64EC" w:rsidP="00AD64EC">
            <w:pPr>
              <w:tabs>
                <w:tab w:val="center" w:pos="4800"/>
                <w:tab w:val="right" w:pos="9500"/>
              </w:tabs>
              <w:ind w:firstLine="720"/>
              <w:jc w:val="both"/>
            </w:pPr>
          </w:p>
        </w:tc>
        <w:tc>
          <w:tcPr>
            <w:tcW w:w="1645"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Age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0.76 (0.27)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0.39 (0.64) </w:t>
            </w:r>
          </w:p>
        </w:tc>
        <w:tc>
          <w:tcPr>
            <w:tcW w:w="1546" w:type="dxa"/>
            <w:tcBorders>
              <w:top w:val="nil"/>
              <w:left w:val="nil"/>
              <w:bottom w:val="nil"/>
              <w:right w:val="nil"/>
            </w:tcBorders>
          </w:tcPr>
          <w:p w:rsidR="00AD64EC" w:rsidRPr="00B31BEB" w:rsidRDefault="00AD64EC" w:rsidP="00AD64EC">
            <w:pPr>
              <w:tabs>
                <w:tab w:val="center" w:pos="4800"/>
                <w:tab w:val="right" w:pos="9500"/>
              </w:tabs>
              <w:jc w:val="both"/>
            </w:pPr>
            <w:r w:rsidRPr="00B31BEB">
              <w:t xml:space="preserve">1.62 (3.86) </w:t>
            </w:r>
          </w:p>
        </w:tc>
      </w:tr>
      <w:tr w:rsidR="00B31BEB" w:rsidRPr="00B31BEB" w:rsidTr="00915C1C">
        <w:tc>
          <w:tcPr>
            <w:tcW w:w="2216" w:type="dxa"/>
            <w:tcBorders>
              <w:top w:val="nil"/>
              <w:left w:val="nil"/>
              <w:bottom w:val="single" w:sz="4" w:space="0" w:color="auto"/>
              <w:right w:val="nil"/>
            </w:tcBorders>
          </w:tcPr>
          <w:p w:rsidR="00AD64EC" w:rsidRPr="00B31BEB" w:rsidRDefault="00AD64EC" w:rsidP="00AD64EC">
            <w:pPr>
              <w:tabs>
                <w:tab w:val="center" w:pos="4800"/>
                <w:tab w:val="right" w:pos="9500"/>
              </w:tabs>
              <w:ind w:firstLine="720"/>
              <w:jc w:val="both"/>
            </w:pPr>
          </w:p>
        </w:tc>
        <w:tc>
          <w:tcPr>
            <w:tcW w:w="1645" w:type="dxa"/>
            <w:tcBorders>
              <w:top w:val="nil"/>
              <w:left w:val="nil"/>
              <w:bottom w:val="single" w:sz="4" w:space="0" w:color="auto"/>
              <w:right w:val="nil"/>
            </w:tcBorders>
          </w:tcPr>
          <w:p w:rsidR="00AD64EC" w:rsidRPr="00B31BEB" w:rsidRDefault="00AD64EC" w:rsidP="00AD64EC">
            <w:pPr>
              <w:tabs>
                <w:tab w:val="center" w:pos="4800"/>
                <w:tab w:val="right" w:pos="9500"/>
              </w:tabs>
              <w:jc w:val="both"/>
            </w:pPr>
            <w:r w:rsidRPr="00B31BEB">
              <w:t xml:space="preserve">Nationalism </w:t>
            </w:r>
          </w:p>
        </w:tc>
        <w:tc>
          <w:tcPr>
            <w:tcW w:w="1546" w:type="dxa"/>
            <w:tcBorders>
              <w:top w:val="nil"/>
              <w:left w:val="nil"/>
              <w:bottom w:val="single" w:sz="4" w:space="0" w:color="auto"/>
              <w:right w:val="nil"/>
            </w:tcBorders>
          </w:tcPr>
          <w:p w:rsidR="00AD64EC" w:rsidRPr="00B31BEB" w:rsidRDefault="00AD64EC" w:rsidP="00AD64EC">
            <w:pPr>
              <w:tabs>
                <w:tab w:val="center" w:pos="4800"/>
                <w:tab w:val="right" w:pos="9500"/>
              </w:tabs>
              <w:jc w:val="both"/>
            </w:pPr>
            <w:r w:rsidRPr="00B31BEB">
              <w:rPr>
                <w:iCs/>
              </w:rPr>
              <w:t>0.15</w:t>
            </w:r>
            <w:r w:rsidRPr="00B31BEB">
              <w:t xml:space="preserve"> (0.09) </w:t>
            </w:r>
          </w:p>
        </w:tc>
        <w:tc>
          <w:tcPr>
            <w:tcW w:w="1546" w:type="dxa"/>
            <w:tcBorders>
              <w:top w:val="nil"/>
              <w:left w:val="nil"/>
              <w:bottom w:val="single" w:sz="4" w:space="0" w:color="auto"/>
              <w:right w:val="nil"/>
            </w:tcBorders>
          </w:tcPr>
          <w:p w:rsidR="00AD64EC" w:rsidRPr="00B31BEB" w:rsidRDefault="00AD64EC" w:rsidP="00AD64EC">
            <w:pPr>
              <w:tabs>
                <w:tab w:val="center" w:pos="4800"/>
                <w:tab w:val="right" w:pos="9500"/>
              </w:tabs>
              <w:jc w:val="both"/>
            </w:pPr>
            <w:r w:rsidRPr="00B31BEB">
              <w:t xml:space="preserve">-0.02 (0.14) </w:t>
            </w:r>
          </w:p>
        </w:tc>
        <w:tc>
          <w:tcPr>
            <w:tcW w:w="1546" w:type="dxa"/>
            <w:tcBorders>
              <w:top w:val="nil"/>
              <w:left w:val="nil"/>
              <w:bottom w:val="single" w:sz="4" w:space="0" w:color="auto"/>
              <w:right w:val="nil"/>
            </w:tcBorders>
          </w:tcPr>
          <w:p w:rsidR="00AD64EC" w:rsidRPr="00B31BEB" w:rsidRDefault="00AD64EC" w:rsidP="00AD64EC">
            <w:pPr>
              <w:tabs>
                <w:tab w:val="center" w:pos="4800"/>
                <w:tab w:val="right" w:pos="9500"/>
              </w:tabs>
              <w:jc w:val="both"/>
            </w:pPr>
            <w:r w:rsidRPr="00B31BEB">
              <w:t xml:space="preserve">0.35 (0.56) </w:t>
            </w:r>
          </w:p>
        </w:tc>
      </w:tr>
      <w:tr w:rsidR="00B31BEB" w:rsidRPr="00B31BEB" w:rsidTr="00915C1C">
        <w:tc>
          <w:tcPr>
            <w:tcW w:w="8499" w:type="dxa"/>
            <w:gridSpan w:val="5"/>
            <w:tcBorders>
              <w:top w:val="single" w:sz="4" w:space="0" w:color="auto"/>
              <w:left w:val="nil"/>
              <w:bottom w:val="single" w:sz="4" w:space="0" w:color="auto"/>
              <w:right w:val="nil"/>
            </w:tcBorders>
          </w:tcPr>
          <w:p w:rsidR="00AD64EC" w:rsidRPr="00B31BEB" w:rsidRDefault="00AD64EC" w:rsidP="00AD64EC">
            <w:pPr>
              <w:tabs>
                <w:tab w:val="center" w:pos="4800"/>
                <w:tab w:val="right" w:pos="9500"/>
              </w:tabs>
              <w:jc w:val="both"/>
            </w:pPr>
            <w:r w:rsidRPr="00B31BEB">
              <w:t>Notes:</w:t>
            </w:r>
          </w:p>
          <w:p w:rsidR="00AD64EC" w:rsidRPr="00B31BEB" w:rsidRDefault="00AD64EC" w:rsidP="00AD64EC">
            <w:pPr>
              <w:tabs>
                <w:tab w:val="center" w:pos="4800"/>
                <w:tab w:val="right" w:pos="9500"/>
              </w:tabs>
              <w:rPr>
                <w:noProof/>
              </w:rPr>
            </w:pPr>
            <w:r w:rsidRPr="00B31BEB">
              <w:rPr>
                <w:noProof/>
                <w:position w:val="-14"/>
              </w:rPr>
              <w:object w:dxaOrig="260" w:dyaOrig="380">
                <v:shape id="_x0000_i1128" type="#_x0000_t75" style="width:12.6pt;height:18.6pt" o:ole="">
                  <v:imagedata r:id="rId209" o:title=""/>
                </v:shape>
                <o:OLEObject Type="Embed" ProgID="Equation.DSMT4" ShapeID="_x0000_i1128" DrawAspect="Content" ObjectID="_1649081730" r:id="rId210"/>
              </w:object>
            </w:r>
            <w:r w:rsidRPr="00B31BEB">
              <w:rPr>
                <w:noProof/>
              </w:rPr>
              <w:t xml:space="preserve"> is the initial attendance probability for attribute </w:t>
            </w:r>
            <w:r w:rsidRPr="00B31BEB">
              <w:rPr>
                <w:noProof/>
                <w:position w:val="-10"/>
              </w:rPr>
              <w:object w:dxaOrig="200" w:dyaOrig="300">
                <v:shape id="_x0000_i1129" type="#_x0000_t75" style="width:10.8pt;height:16.2pt" o:ole="">
                  <v:imagedata r:id="rId211" o:title=""/>
                </v:shape>
                <o:OLEObject Type="Embed" ProgID="Equation.DSMT4" ShapeID="_x0000_i1129" DrawAspect="Content" ObjectID="_1649081731" r:id="rId212"/>
              </w:object>
            </w:r>
          </w:p>
          <w:p w:rsidR="00AD64EC" w:rsidRPr="00B31BEB" w:rsidRDefault="00AD64EC" w:rsidP="00AD64EC">
            <w:pPr>
              <w:tabs>
                <w:tab w:val="center" w:pos="4800"/>
                <w:tab w:val="right" w:pos="9500"/>
              </w:tabs>
              <w:rPr>
                <w:noProof/>
              </w:rPr>
            </w:pPr>
            <w:r w:rsidRPr="00B31BEB">
              <w:rPr>
                <w:noProof/>
                <w:position w:val="-14"/>
              </w:rPr>
              <w:object w:dxaOrig="360" w:dyaOrig="380">
                <v:shape id="_x0000_i1130" type="#_x0000_t75" style="width:18pt;height:18.6pt" o:ole="">
                  <v:imagedata r:id="rId213" o:title=""/>
                </v:shape>
                <o:OLEObject Type="Embed" ProgID="Equation.DSMT4" ShapeID="_x0000_i1130" DrawAspect="Content" ObjectID="_1649081732" r:id="rId214"/>
              </w:object>
            </w:r>
            <w:r w:rsidRPr="00B31BEB">
              <w:rPr>
                <w:noProof/>
              </w:rPr>
              <w:t xml:space="preserve"> is the probability of attending to attribute </w:t>
            </w:r>
            <w:r w:rsidRPr="00B31BEB">
              <w:rPr>
                <w:noProof/>
                <w:position w:val="-10"/>
              </w:rPr>
              <w:object w:dxaOrig="200" w:dyaOrig="300">
                <v:shape id="_x0000_i1131" type="#_x0000_t75" style="width:10.8pt;height:16.2pt" o:ole="">
                  <v:imagedata r:id="rId215" o:title=""/>
                </v:shape>
                <o:OLEObject Type="Embed" ProgID="Equation.DSMT4" ShapeID="_x0000_i1131" DrawAspect="Content" ObjectID="_1649081733" r:id="rId216"/>
              </w:object>
            </w:r>
            <w:r w:rsidRPr="00B31BEB">
              <w:rPr>
                <w:noProof/>
              </w:rPr>
              <w:t xml:space="preserve"> in choice sets 7-12 conditional on non-attendance in choice sets 1-6.</w:t>
            </w:r>
          </w:p>
          <w:p w:rsidR="00AD64EC" w:rsidRPr="00B31BEB" w:rsidRDefault="00AD64EC" w:rsidP="00AD64EC">
            <w:pPr>
              <w:tabs>
                <w:tab w:val="center" w:pos="4800"/>
                <w:tab w:val="right" w:pos="9500"/>
              </w:tabs>
              <w:rPr>
                <w:noProof/>
              </w:rPr>
            </w:pPr>
            <w:r w:rsidRPr="00B31BEB">
              <w:rPr>
                <w:noProof/>
                <w:position w:val="-14"/>
              </w:rPr>
              <w:object w:dxaOrig="340" w:dyaOrig="380">
                <v:shape id="_x0000_i1132" type="#_x0000_t75" style="width:17.4pt;height:18.6pt" o:ole="">
                  <v:imagedata r:id="rId217" o:title=""/>
                </v:shape>
                <o:OLEObject Type="Embed" ProgID="Equation.DSMT4" ShapeID="_x0000_i1132" DrawAspect="Content" ObjectID="_1649081734" r:id="rId218"/>
              </w:object>
            </w:r>
            <w:r w:rsidRPr="00B31BEB">
              <w:rPr>
                <w:noProof/>
              </w:rPr>
              <w:t xml:space="preserve"> is the probability of attending to attribute </w:t>
            </w:r>
            <w:r w:rsidRPr="00B31BEB">
              <w:rPr>
                <w:noProof/>
                <w:position w:val="-10"/>
              </w:rPr>
              <w:object w:dxaOrig="200" w:dyaOrig="300">
                <v:shape id="_x0000_i1133" type="#_x0000_t75" style="width:10.8pt;height:16.2pt" o:ole="">
                  <v:imagedata r:id="rId211" o:title=""/>
                </v:shape>
                <o:OLEObject Type="Embed" ProgID="Equation.DSMT4" ShapeID="_x0000_i1133" DrawAspect="Content" ObjectID="_1649081735" r:id="rId219"/>
              </w:object>
            </w:r>
            <w:r w:rsidRPr="00B31BEB">
              <w:rPr>
                <w:noProof/>
              </w:rPr>
              <w:t xml:space="preserve"> in choice sets 7-12 conditional on attendance in choice sets 1-6.</w:t>
            </w:r>
          </w:p>
          <w:p w:rsidR="00AD64EC" w:rsidRPr="00B31BEB" w:rsidRDefault="00AD64EC" w:rsidP="00AD64EC">
            <w:pPr>
              <w:tabs>
                <w:tab w:val="center" w:pos="4800"/>
                <w:tab w:val="right" w:pos="9500"/>
              </w:tabs>
              <w:rPr>
                <w:noProof/>
              </w:rPr>
            </w:pPr>
            <w:r w:rsidRPr="00B31BEB">
              <w:rPr>
                <w:noProof/>
              </w:rPr>
              <w:t>Coef (SD) is the Coefficient (Standard Deviation).</w:t>
            </w:r>
          </w:p>
          <w:p w:rsidR="00AD64EC" w:rsidRPr="00B31BEB" w:rsidRDefault="00AD64EC" w:rsidP="00AD64EC">
            <w:pPr>
              <w:tabs>
                <w:tab w:val="center" w:pos="4800"/>
                <w:tab w:val="right" w:pos="9500"/>
              </w:tabs>
              <w:rPr>
                <w:noProof/>
              </w:rPr>
            </w:pPr>
            <w:r w:rsidRPr="00B31BEB">
              <w:rPr>
                <w:noProof/>
              </w:rPr>
              <w:t xml:space="preserve">Greyed out numbers reflect non-significance at </w:t>
            </w:r>
            <w:r w:rsidRPr="00B31BEB">
              <w:rPr>
                <w:noProof/>
                <w:position w:val="-6"/>
              </w:rPr>
              <w:object w:dxaOrig="900" w:dyaOrig="279">
                <v:shape id="_x0000_i1134" type="#_x0000_t75" style="width:46.2pt;height:13.2pt" o:ole="">
                  <v:imagedata r:id="rId197" o:title=""/>
                </v:shape>
                <o:OLEObject Type="Embed" ProgID="Equation.DSMT4" ShapeID="_x0000_i1134" DrawAspect="Content" ObjectID="_1649081736" r:id="rId220"/>
              </w:object>
            </w:r>
          </w:p>
          <w:p w:rsidR="00AD64EC" w:rsidRPr="00B31BEB" w:rsidRDefault="00AD64EC" w:rsidP="00AD64EC">
            <w:pPr>
              <w:tabs>
                <w:tab w:val="center" w:pos="4800"/>
                <w:tab w:val="right" w:pos="9500"/>
              </w:tabs>
            </w:pPr>
            <w:r w:rsidRPr="00B31BEB">
              <w:rPr>
                <w:noProof/>
              </w:rPr>
              <w:t>NEP is a short form for New Environmental Paradigm scale</w:t>
            </w:r>
          </w:p>
        </w:tc>
      </w:tr>
    </w:tbl>
    <w:p w:rsidR="00582382" w:rsidRDefault="00582382" w:rsidP="008A4F44">
      <w:pPr>
        <w:tabs>
          <w:tab w:val="center" w:pos="4800"/>
          <w:tab w:val="right" w:pos="9500"/>
        </w:tabs>
        <w:rPr>
          <w:noProof/>
        </w:rPr>
      </w:pPr>
    </w:p>
    <w:p w:rsidR="00582382" w:rsidRPr="00B31BEB" w:rsidRDefault="00582382" w:rsidP="00582382">
      <w:pPr>
        <w:tabs>
          <w:tab w:val="center" w:pos="4800"/>
          <w:tab w:val="right" w:pos="9500"/>
        </w:tabs>
        <w:ind w:firstLine="720"/>
        <w:rPr>
          <w:noProof/>
        </w:rPr>
      </w:pPr>
      <w:r w:rsidRPr="00B31BEB">
        <w:rPr>
          <w:noProof/>
        </w:rPr>
        <w:lastRenderedPageBreak/>
        <w:t xml:space="preserve">Hypotheses on rates of change in the attention probabilities post-information are based on the </w:t>
      </w:r>
      <w:r w:rsidRPr="00B31BEB">
        <w:rPr>
          <w:position w:val="-14"/>
        </w:rPr>
        <w:object w:dxaOrig="360" w:dyaOrig="380">
          <v:shape id="_x0000_i1135" type="#_x0000_t75" style="width:18pt;height:18.6pt" o:ole="">
            <v:imagedata r:id="rId221" o:title=""/>
          </v:shape>
          <o:OLEObject Type="Embed" ProgID="Equation.DSMT4" ShapeID="_x0000_i1135" DrawAspect="Content" ObjectID="_1649081737" r:id="rId222"/>
        </w:object>
      </w:r>
      <w:r w:rsidRPr="00B31BEB">
        <w:t>’s.</w:t>
      </w:r>
      <w:r w:rsidRPr="00B31BEB">
        <w:rPr>
          <w:noProof/>
        </w:rPr>
        <w:t xml:space="preserve"> This is because these are the probabilities that express the actual changes: from non-attendance to attendance. Both age (p-value 0.22) and gender (p-value 0.10) were not significant for the rate of change in attention to the trust attribute. These results imply that changes in consumers’ attention to the trust attribute neither depended on age nor gender. Thus, hypotheses H2B and H3B were not supported. </w:t>
      </w:r>
    </w:p>
    <w:p w:rsidR="00582382" w:rsidRPr="00B31BEB" w:rsidRDefault="00582382" w:rsidP="00582382">
      <w:pPr>
        <w:tabs>
          <w:tab w:val="center" w:pos="4800"/>
          <w:tab w:val="right" w:pos="9500"/>
        </w:tabs>
        <w:ind w:firstLine="720"/>
        <w:rPr>
          <w:noProof/>
        </w:rPr>
      </w:pPr>
      <w:r w:rsidRPr="00B31BEB">
        <w:rPr>
          <w:noProof/>
        </w:rPr>
        <w:t>Pre-information, the NEP score was not significantly related to the probability to attend to the distance attribute (p-value 0.26). Thus, hypothesis H4A was not supported. This means that initially, e-consumers who were keen on environmental protection were not as keen on attending to attributes that express the environmental effects of ordering items online. Post-information, the effect of pro-environmentalism was significant for the probability of non-attendance in the first to attendance in the second block (p-value 0.01). Here, a 1 SD increase in NEP increases the logit of probability of attending to the distance attribute by 0.21 units. Therefore, provision of environmentally-themed information led to stronger increases in the conditional attendance probabilities for eco-friendly e-consumers. This result provides support for hypothesis H4B.</w:t>
      </w:r>
    </w:p>
    <w:p w:rsidR="00582382" w:rsidRPr="00B31BEB" w:rsidRDefault="00582382" w:rsidP="00582382">
      <w:pPr>
        <w:tabs>
          <w:tab w:val="center" w:pos="4800"/>
          <w:tab w:val="right" w:pos="9500"/>
        </w:tabs>
        <w:ind w:firstLine="720"/>
        <w:rPr>
          <w:noProof/>
        </w:rPr>
      </w:pPr>
      <w:r w:rsidRPr="00B31BEB">
        <w:rPr>
          <w:noProof/>
        </w:rPr>
        <w:t>Both nationalistic attitudes (p-value 0.04) and age (p-value 0.002) significantly affected consumers’ propensity to initially attend to the headquarters attribute. Without controlling for age, the significance of nationalistic attitudes was stronger (p-value 0.01). This suggests presence of some collinearity between the nationalism and age effects in this sample. An increase of 1 SD in nationalism scores and age respectively led to increases of 0.15 and 0.76 units in the logit of the initial probability of attending to the headquarters attribute. Thus pre-information, the interest in local-based webshops was higher for more nationalistic and older consumers. These pair of results provide support for hypotheses H5A and H6A.  Neither nationalism (p-value 0.45) nor age (p-</w:t>
      </w:r>
      <w:r w:rsidRPr="00B31BEB">
        <w:rPr>
          <w:noProof/>
        </w:rPr>
        <w:lastRenderedPageBreak/>
        <w:t>value 0.27) influenced the rate of change in attention to the headquarters attribute post-information. Therefore, hypotheses H5B and H6B were also not supported.</w:t>
      </w:r>
    </w:p>
    <w:p w:rsidR="001B3893" w:rsidRPr="00B31BEB" w:rsidRDefault="00904943" w:rsidP="001B3893">
      <w:pPr>
        <w:pStyle w:val="Heading1"/>
      </w:pPr>
      <w:r w:rsidRPr="00B31BEB">
        <w:t>Discussion and conclusion</w:t>
      </w:r>
    </w:p>
    <w:p w:rsidR="002B74BC" w:rsidRPr="00B31BEB" w:rsidRDefault="00C925B6" w:rsidP="00C925B6">
      <w:pPr>
        <w:pStyle w:val="Heading2"/>
      </w:pPr>
      <w:r w:rsidRPr="00B31BEB">
        <w:t>Research findings</w:t>
      </w:r>
    </w:p>
    <w:p w:rsidR="00E3571E" w:rsidRPr="00B31BEB" w:rsidRDefault="00E3571E" w:rsidP="00A03897">
      <w:pPr>
        <w:tabs>
          <w:tab w:val="center" w:pos="4800"/>
          <w:tab w:val="right" w:pos="9500"/>
        </w:tabs>
        <w:ind w:firstLine="720"/>
        <w:rPr>
          <w:noProof/>
        </w:rPr>
      </w:pPr>
      <w:r w:rsidRPr="00B31BEB">
        <w:rPr>
          <w:noProof/>
        </w:rPr>
        <w:t>Consumers’ webshop choices are influenced by webshop factors that ensure a great, comfortable and secure shopping experience. The importance of these webshop attributes varies, as does the probability to attend to them when making choices. First, we investigate the impacts of webshop attributes on webshop choices. Second, we estimate consumers’ chances of accounting for these attributes when constructing their utilities. Then, we investigate the effects of providing extra information on attributes and the factors that influence changes in consumers’ attribute attendance behavior.</w:t>
      </w:r>
    </w:p>
    <w:p w:rsidR="00E3571E" w:rsidRPr="00B31BEB" w:rsidRDefault="00E3571E" w:rsidP="00A03897">
      <w:pPr>
        <w:tabs>
          <w:tab w:val="center" w:pos="4800"/>
          <w:tab w:val="right" w:pos="9500"/>
        </w:tabs>
        <w:ind w:firstLine="720"/>
        <w:rPr>
          <w:noProof/>
        </w:rPr>
      </w:pPr>
      <w:r w:rsidRPr="00B31BEB">
        <w:rPr>
          <w:noProof/>
        </w:rPr>
        <w:t>The impact of attributes in determining webshop preferences differed greatly. Trust label, headquarters, returning and distance attributes carried the most weight in consumers’ webshop choices. Trust has always been influential in e-commerce’s B2C relationships</w:t>
      </w:r>
      <w:r w:rsidR="00AB5FE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{"citationItems":[{"id":"ITEM-1","itemData":{"DOI":"10.1080/10864415.2016.1087828","ISSN":"15579301","abstract":"Trust transfer theory posits that trust can be transferred from the selling platform to the sellers and has been widely applied in the e-commerce environment. However, prior research has overlooked the boundary conditions under which trust can be transferred. Understanding of the general institutional mechanisms is necessary to ensure the trust environment underlying e-commerce. The present study identifies two key moderators that affect the relationships between trust-in-platform, trust-in-seller, and purchase intention in consumer to consumer (C2C) online shopping contexts: perceived effectiveness of e-commerce institutional mechanisms (PEEIM) and perceived website quality of the seller (PWQS). Using a sample of 294 online buyers from TaoBao (a major Chinese C2C portal), we find that trust-in-platform positively affects trust-in-seller; meanwhile, trust-in-seller positively influences purchase intention. In addition, PEEIM negatively moderates the relationship between trust-in-platform and trust-in-seller, whereas it positively moderates the relationship between trust-in-seller and purchase intention. PWQS positively moderates the relationship between trust-in-platform and trust-in-seller but negatively moderates the relationship between trust-in-seller and purchase intention. Our findings complement trust transfer theory by demonstrating how PEEIM and PWQS have different moderating effects on the trust transfer process. For C2C platform providers and sellers, the findings suggest that they should strategically build buyers trust according to different levels of PEEIM and PWQS in order to promote buyers purchasing behavior.","author":[{"dropping-particle":"","family":"Chen","given":"Xiayu","non-dropping-particle":"","parse-names":false,"suffix":""},{"dropping-particle":"","family":"Huang","given":"Qian","non-dropping-particle":"","parse-names":false,"suffix":""},{"dropping-particle":"","family":"Davison","given":"Robert M.","non-dropping-particle":"","parse-names":false,"suffix":""},{"dropping-particle":"","family":"Hua","given":"Zhongsheng","non-dropping-particle":"","parse-names":false,"suffix":""}],"container-title":"International Journal of Electronic Commerce","id":"ITEM-1","issue":"2","issued":{"date-parts":[["2015"]]},"page":"261-289","title":"What Drives Trust Transfer? the Moderating Roles of Seller-Specific and General Institutional Mechanisms","type":"article-journal","volume":"20"},"uris":["http://www.mendeley.com/documents/?uuid=73b6bc27-e019-4462-a4ac-487a722041e4"]},{"id":"ITEM-2","itemData":{"DOI":"10.1016/S1567-4223(03)00024-3","ISSN":"15674223","abstract":"Increasing use of the World Wide Web as a B2C commercial tool raises interest in understanding the key issues in building relationships with customers on the Internet. Trust is believed to be the key to these relationships. Given the differences between a virtual and a conventional marketplace, antecedents and consequences of trust merit re-examination. This research identifies a number of key factors related to trust in the B2C context and proposes a framework based on a series of underpinning relationships among these factors. The findings in this research suggest that people are more likely to purchase from the web if they perceive a higher degree of trust in e-commerce and have more experience in using the web. Customer's trust levels are likely to be influenced by the level of perceived market orientation, site quality, technical trustworthiness, and user's web experience. People with a higher level of perceived site quality seem to have a higher level of perceived market orientation and trustworthiness towards e-commerce. Furthermore, people with a higher level of trust in e-commerce are more likely to participate in e-commerce. Positive 'word of mouth', money back warranty and partnerships with well-known business partners, rank as the top three effective risk reduction tactics. These findings complement the previous findings on e-commerce and shed light on how to establish a trust relationship on the World Wide Web. © 2003 Elsevier B.V. All rights reserved.","author":[{"dropping-particle":"","family":"Corbitt","given":"Brian J.","non-dropping-particle":"","parse-names":false,"suffix":""},{"dropping-particle":"","family":"Thanasankit","given":"Theerasak","non-dropping-particle":"","parse-names":false,"suffix":""},{"dropping-particle":"","family":"Yi","given":"Han","non-dropping-particle":"","parse-names":false,"suffix":""}],"container-title":"Electronic Commerce Research and Applications","id":"ITEM-2","issue":"3","issued":{"date-parts":[["2003"]]},"page":"203-215","title":"Trust and e-commerce: A study of consumer perceptions","type":"article-journal","volume":"2"},"uris":["http://www.mendeley.com/documents/?uuid=cebafbbb-6add-437b-a556-5e5392018773"]},{"id":"ITEM-3","itemData":{"DOI":"10.1016/j.dss.2007.07.001","ISSN":"01679236","abstract":"Are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Systems","id":"ITEM-3","issue":"2","issued":{"date-parts":[["2008"]]},"page":"544-564","title":"A trust-based consumer decision-making model in electronic commerce: The role of trust, perceived risk, and their antecedents","type":"article-journal","volume":"44"},"uris":["http://www.mendeley.com/documents/?uuid=c45299bb-942c-4541-b4de-ed3fbe356d97"]},{"id":"ITEM-4","itemData":{"abstract":"Electronic Business (e-Business) is revolutionizing the way of communication between internal and external stakeholders in an organization. E-business can lead to competitive advantage and at the same time, increase profitability. There are several factors resulting on the success of e-business. One of the most important factors is trust. Acquiring customers' trust depends on many things that an e-business controls. Some relating factors for gaining customers' trust are: appeal of the website, product/service offering, branding, quality of service, and trusted seals. Actually, trust can be viewed from many angles such as transaction, information content, product, technology, and institution. There are huge numbers of impact on the way businesses think about designing, developing, and deploying Web-based applications. Web services may be an evolutionary step in designing distributed applications; however, they are not without problems. Therefore, we have to concern on the issue which is relating to the security in web-services of e-business. This paper discusses the issues relating to problems and prospects rose of the trust and security in e-business and also addressed security concerns in web services. It also discusses on the role of trust from the transaction perspective and analyses the things that what business could do in building customer trust.","author":[{"dropping-particle":"","family":"Velmurugan","given":"Manivannan Senthil","non-dropping-particle":"","parse-names":false,"suffix":""}],"container-title":"International Journal of Electronic Business Management","id":"ITEM-4","issue":"3","issued":{"date-parts":[["2009"]]},"page":"151-158","title":"Security and Trust in E-Business: Problems and Prospects","type":"article-journal","volume":"7"},"uris":["http://www.mendeley.com/documents/?uuid=10822147-7094-4c48-a615-0ed3b4d41c86"]},{"id":"ITEM-5","itemData":{"DOI":"10.1016/j.jbusres.2009.01.023","ISSN":"01482963","abstract":"Prior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Research","id":"ITEM-5","issue":"9-10","issued":{"date-parts":[["2010"]]},"page":"1007-1014","title":"Website attributes that increase consumer purchase intention: A conjoint analysis","type":"article-journal","volume":"63"},"uris":["http://www.mendeley.com/documents/?uuid=b837e457-dbc6-4d03-b986-598e17c96db3"]},{"id":"ITEM-6","itemData":{"DOI":"10.1109/TSC.2016.2553036","ISSN":"19391374","abstract":"Cloud computing is rapidly changing the digital service landscape. A proliferation of Cloud providers has emerged, increasing the difficulty of consumer decisions. Trust issues have been identified as a factor holding back Cloud adoption. The risks and challenges inherent in the adoption of Cloud services are well recognised in the computing literature. In conjunction with these risks, the relative novelty of the online environment as a context for the provision of business services can increase consumer perceptions of uncertainty. This uncertainty is worsened in a Cloud context due to the lack of transparency, from the consumer perspective, into the service types, operational conditions and the quality of service offered by the diverse providers. Previous approaches failed to provide an appropriate medium for communicating trust and trustworthiness in Clouds. A new strategy is required to improve consumer confidence and trust in Cloud providers. This paper presents the operationalisation of a trust label system designed to communicate trust and trustworthiness in Cloud services. We describe the technical details and implementation of the trust label components. Based on a use case scenario, an initial evaluation was carried out to test its operations and its usefulness for increasing consumer trust in Cloud services.","author":[{"dropping-particle":"","family":"Emeakaroha","given":"Vincent C.","non-dropping-particle":"","parse-names":false,"suffix":""},{"dropping-particle":"","family":"Fatema","given":"Kaniz","non-dropping-particle":"","parse-names":false,"suffix":""},{"dropping-particle":"","family":"Werff","given":"Lisa","non-dropping-particle":"Van Der","parse-names":false,"suffix":""},{"dropping-particle":"","family":"Healy","given":"Philip","non-dropping-particle":"","parse-names":false,"suffix":""},{"dropping-particle":"","family":"Lynn","given":"Theo","non-dropping-particle":"","parse-names":false,"suffix":""},{"dropping-particle":"","family":"Morrison","given":"John P.","non-dropping-particle":"","parse-names":false,"suffix":""}],"container-title":"IEEE Transactions on Services Computing","id":"ITEM-6","issue":"5","issued":{"date-parts":[["2017"]]},"page":"689-700","title":"A Trust Label System for Communicating Trust in Cloud Services","type":"article-journal","volume":"10"},"uris":["http://www.mendeley.com/documents/?uuid=85f2b52b-48f5-4c22-9f7b-9dc70937b0c7"]},{"id":"ITEM-7","itemData":{"DOI":"10.1080/10864415.2019.1619907","ISSN":"15579301","abstract":"Consumers are relying increasingly on social commerce for making their purchase decisions, and e-vendors have great interests in applying social commerce features in the traditional e-commerce sites to increase sales. Although the importance of trust has been well recognized in the literature, the previous studies have mainly focused on trust in e-commerce sites and failed to incorporate its multidimensional nature to study consumer behavior. To gain further insights into consumer decision-making, this study aims to develop a social commerce trust-based consumer decision-making framework. Based on the social-technical theory, we conceptualize social commerce trust in a multidimensional view including trust in social media, trust in e-commerce sites, trust in social commerce features, and trust in consumers. Data were collected from an online survey taken by U.S. Amazon consumers. Our results strongly support our new conceptualization of social commerce trust and demonstrate its importance by examining its effects on e-commerce outcomes. Further, trust in consumers and trust in social commerce features have stronger effects than trust in e-commerce sites and trust in social media in the formation of social commerce trust. Our study contributes to the theory by introducing the new conceptualization of social commerce trust and advancing our understanding of how to enhance social commerce trust. Practitioners can gain insights into the implementation of social commerce for building consumer trust and increasing sales.","author":[{"dropping-particle":"","family":"Lin","given":"Xiaolin","non-dropping-particle":"","parse-names":false,"suffix":""},{"dropping-particle":"","family":"Wang","given":"Xuequn","non-dropping-particle":"","parse-names":false,"suffix":""},{"dropping-particle":"","family":"Hajli","given":"Nick","non-dropping-particle":"","parse-names":false,"suffix":""}],"container-title":"International Journal of Electronic Commerce","id":"ITEM-7","issue":"3","issued":{"date-parts":[["2019"]]},"page":"328-363","title":"Building E-Commerce Satisfaction and Boosting Sales: The Role of Social Commerce Trust and Its Antecedents","type":"article-journal","volume":"23"},"uris":["http://www.mendeley.com/documents/?uuid=0d63ad43-e4df-4fa7-b18f-b03ca2fd3e24"]}],"mendeley":{"formattedCitation":"[6; 7; 13; 20; 36; 46; 80]","plainTextFormattedCitation":"[6; 7; 13; 20; 36; 46; 80]","previouslyFormattedCitation":"[6; 7; 13; 20; 36; 46; 80]"},"properties":{"noteIndex":0},"schema":"https://github.com/citation-style-language/schema/raw/master/csl-citation.json"}</w:instrText>
      </w:r>
      <w:r w:rsidR="000A3492" w:rsidRPr="00B31BEB">
        <w:rPr>
          <w:rStyle w:val="FootnoteReference"/>
          <w:noProof/>
        </w:rPr>
        <w:fldChar w:fldCharType="separate"/>
      </w:r>
      <w:r w:rsidR="00F8005E" w:rsidRPr="00B31BEB">
        <w:rPr>
          <w:noProof/>
        </w:rPr>
        <w:t>[6; 7; 13; 20; 36; 46; 80]</w:t>
      </w:r>
      <w:r w:rsidR="000A3492" w:rsidRPr="00B31BEB">
        <w:rPr>
          <w:rStyle w:val="FootnoteReference"/>
          <w:noProof/>
        </w:rPr>
        <w:fldChar w:fldCharType="end"/>
      </w:r>
      <w:r w:rsidRPr="00B31BEB">
        <w:rPr>
          <w:noProof/>
        </w:rPr>
        <w:t>. The trust issues stem from diverse challenges related to consumer behavior, technology and knowledge</w:t>
      </w:r>
      <w:r w:rsidR="004D724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Systems","id":"ITEM-1","issue":"2","issued":{"date-parts":[["2008"]]},"page":"544-564","title":"A trust-based consumer decision-making model in electronic commerce: The role of trust, perceived risk, and their antecedents","type":"article-journal","volume":"44"},"uris":["http://www.mendeley.com/documents/?uuid=c45299bb-942c-4541-b4de-ed3fbe356d97"]},{"id":"ITEM-2","itemData":{"DOI":"10.4304/jcp.4.1.11-18","ISSN":"1796203X","abstract":"Lack of consumer trust is a critical obstacle to the success of online retailing. Knowledge is one important factor influencing the level of trust. However, there is no consensus on the relationship between knowledge and trust. Some studies argued a negative relationship between knowledge and trust while the others argued positive. This study discussed the relationship among knowledge, trust in online shopping, and the intention to go shopping online. The results revealed that knowledge is positively associated with trust and online shopping activities. In other words, people who know more about online shopping will trust and go shopping more online. Online retailing practice should make the public knowledgeable about online transaction security mechanisms to build users' trust in online shopping. © 2009 Academy Publisher.","author":[{"dropping-particle":"","family":"Wang","given":"Chih Chien","non-dropping-particle":"","parse-names":false,"suffix":""},{"dropping-particle":"","family":"Chen","given":"Chun An","non-dropping-particle":"","parse-names":false,"suffix":""},{"dropping-particle":"","family":"Jiang","given":"Jui Chin","non-dropping-particle":"","parse-names":false,"suffix":""}],"container-title":"Journal of Computers","id":"ITEM-2","issue":"1","issued":{"date-parts":[["2009"]]},"page":"11-18","title":"The impact of knowledge and trust on E-consumers' online shopping activities: An empirical study","type":"article-journal","volume":"4"},"uris":["http://www.mendeley.com/documents/?uuid=d35520cc-bf3c-4cc2-ac7e-786e88548a94"]},{"id":"ITEM-3","itemData":{"DOI":"10.1016/j.jbusres.2009.01.023","ISSN":"01482963","abstract":"Prior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Research","id":"ITEM-3","issue":"9-10","issued":{"date-parts":[["2010"]]},"page":"1007-1014","title":"Website attributes that increase consumer purchase intention: A conjoint analysis","type":"article-journal","volume":"63"},"uris":["http://www.mendeley.com/documents/?uuid=b837e457-dbc6-4d03-b986-598e17c96db3"]},{"id":"ITEM-4","itemData":{"DOI":"10.2753/JEC1086-4415190101","ISSN":"10864415","abstract":"Trust in e-commerce is a multilevel construct (intrapersonal, system, and interpersonal), and trust building is a dynamic evolutionary process that can be adjusted over time when additional evidence of new interactions becomes available. From a consumer's perspective in a business-to-consumer e-commerce context, there are at least two trustees: the Internet as a shopping channel (the e-channel - system level) and an Internet selling party or Internet vendor (the e-vendor - interpersonal level) as a business partner. Understanding the multilevel and dynamic nature of trust in e-commerce is important because it not only provides practical insights that can be used to further enhance the online experiences for both online managers and consumers but also extends our conceptual foundations of trust. Although the multilevel and dynamic nature of trust is a crucial characteristic of trust in e-commerce, there is little empirical research. To fill this knowledge gap, this study proposes a multilevel model of e-channel and e-vendor trust, including trust propensity (intrapersonal level) from a cross-stage (pre- and postpurchase) perspective. This study also proposes a relatively new construct, the consumer's perceived delivery fulfillment in e-commerce. Implications of the findings for theory and practice as well as limitations and avenues for future study are discussed.","author":[{"dropping-particle":"","family":"Kim","given":"Dan J.","non-dropping-particle":"","parse-names":false,"suffix":""}],"container-title":"International Journal of Electronic Commerce","id":"ITEM-4","issue":"1","issued":{"date-parts":[["2014"]]},"page":"11-64","title":"A study of the multilevel and dynamic nature of trust in E-commerce from a cross-stage perspective","type":"article","volume":"19"},"uris":["http://www.mendeley.com/documents/?uuid=2568b4d5-6901-4f26-895e-a59f05b91165"]},{"id":"ITEM-5","itemData":{"DOI":"10.1080/07421222.2016.1267531","ISSN":"1557928X","abstract":"Trust underlies much of the online shopping behavior. We compare trust in online shopping in four countries: (1) the United States, a mature online market; (2) Germany; (3) China, the fastest growing online market, where consumers are plagued by counterfeits, forgeries, and spoiled or defective items; and (4) Singapore. We performed laboratory experiments in all four countries. We used three experimental treatments: (1) no assurances; (2) promises of product quality and authenticity; and (3) promises backed up by third-party assurances. We examined subjects’ perceived risk associated with different treatments across different vendor types. The impact of treatments and of vendor reputation on consumers’ trust varied across countries in ways that we did not expect. In mature online markets like the United States, online shopping appears to be treated as just another form of shopping. In China, if an online vendor can establish a reputation for quality, consumers appear to treat those merchants much as Americans do their own favorite online vendors, despite problems with Chinese shopping more generally.","author":[{"dropping-particle":"","family":"Clemons","given":"Eric K.","non-dropping-particle":"","parse-names":false,"suffix":""},{"dropping-particle":"","family":"Wilson","given":"Josh","non-dropping-particle":"","parse-names":false,"suffix":""},{"dropping-particle":"","family":"Matt","given":"Christian","non-dropping-particle":"","parse-names":false,"suffix":""},{"dropping-particle":"","family":"Hess","given":"Thomas","non-dropping-particle":"","parse-names":false,"suffix":""},{"dropping-particle":"","family":"Ren","given":"Fei","non-dropping-particle":"","parse-names":false,"suffix":""},{"dropping-particle":"","family":"Jin","given":"Fujie","non-dropping-particle":"","parse-names":false,"suffix":""},{"dropping-particle":"","family":"Koh","given":"Noi Sian","non-dropping-particle":"","parse-names":false,"suffix":""}],"container-title":"Journal of Management Information Systems","id":"ITEM-5","issue":"4","issued":{"date-parts":[["2016"]]},"page":"1117-1148","title":"Global Differences in Online Shopping Behavior: Understanding Factors Leading to Trust","type":"article-journal","volume":"33"},"uris":["http://www.mendeley.com/documents/?uuid=83f23a00-9bba-476b-8d6b-9d0a29f8a088"]},{"id":"ITEM-6","itemData":{"DOI":"10.1109/TSC.2016.2553036","ISSN":"19391374","abstract":"Cloud computing is rapidly changing the digital service landscape. A proliferation of Cloud providers has emerged, increasing the difficulty of consumer decisions. Trust issues have been identified as a factor holding back Cloud adoption. The risks and challenges inherent in the adoption of Cloud services are well recognised in the computing literature. In conjunction with these risks, the relative novelty of the online environment as a context for the provision of business services can increase consumer perceptions of uncertainty. This uncertainty is worsened in a Cloud context due to the lack of transparency, from the consumer perspective, into the service types, operational conditions and the quality of service offered by the diverse providers. Previous approaches failed to provide an appropriate medium for communicating trust and trustworthiness in Clouds. A new strategy is required to improve consumer confidence and trust in Cloud providers. This paper presents the operationalisation of a trust label system designed to communicate trust and trustworthiness in Cloud services. We describe the technical details and implementation of the trust label components. Based on a use case scenario, an initial evaluation was carried out to test its operations and its usefulness for increasing consumer trust in Cloud services.","author":[{"dropping-particle":"","family":"Emeakaroha","given":"Vincent C.","non-dropping-particle":"","parse-names":false,"suffix":""},{"dropping-particle":"","family":"Fatema","given":"Kaniz","non-dropping-particle":"","parse-names":false,"suffix":""},{"dropping-particle":"","family":"Werff","given":"Lisa","non-dropping-particle":"Van Der","parse-names":false,"suffix":""},{"dropping-particle":"","family":"Healy","given":"Philip","non-dropping-particle":"","parse-names":false,"suffix":""},{"dropping-particle":"","family":"Lynn","given":"Theo","non-dropping-particle":"","parse-names":false,"suffix":""},{"dropping-particle":"","family":"Morrison","given":"John P.","non-dropping-particle":"","parse-names":false,"suffix":""}],"container-title":"IEEE Transactions on Services Computing","id":"ITEM-6","issue":"5","issued":{"date-parts":[["2017"]]},"page":"689-700","title":"A Trust Label System for Communicating Trust in Cloud Services","type":"article-journal","volume":"10"},"uris":["http://www.mendeley.com/documents/?uuid=85f2b52b-48f5-4c22-9f7b-9dc70937b0c7"]}],"mendeley":{"formattedCitation":"[7; 11; 20; 35; 36; 83]","plainTextFormattedCitation":"[7; 11; 20; 35; 36; 83]","previouslyFormattedCitation":"[7; 11; 20; 35; 36; 83]"},"properties":{"noteIndex":0},"schema":"https://github.com/citation-style-language/schema/raw/master/csl-citation.json"}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11; 20; 35; 36; 83]</w:t>
      </w:r>
      <w:r w:rsidR="000A3492" w:rsidRPr="00B31BEB">
        <w:rPr>
          <w:rStyle w:val="FootnoteReference"/>
          <w:noProof/>
        </w:rPr>
        <w:fldChar w:fldCharType="end"/>
      </w:r>
      <w:r w:rsidRPr="00B31BEB">
        <w:rPr>
          <w:noProof/>
        </w:rPr>
        <w:t xml:space="preserve">. </w:t>
      </w:r>
      <w:r w:rsidR="00F81313" w:rsidRPr="00B31BEB">
        <w:rPr>
          <w:noProof/>
        </w:rPr>
        <w:t>Ma</w:t>
      </w:r>
      <w:r w:rsidR="006B60A0" w:rsidRPr="00B31BEB">
        <w:rPr>
          <w:noProof/>
        </w:rPr>
        <w:t xml:space="preserve">ny consumers are neither aware </w:t>
      </w:r>
      <w:r w:rsidR="00F81313" w:rsidRPr="00B31BEB">
        <w:rPr>
          <w:noProof/>
        </w:rPr>
        <w:t>nor comfortable with how e-commerce operates. This lack of understanding implies that even in cases where steps are taken to improve the online buying experience, the efforts are rarely noticed by the targeted consumers.</w:t>
      </w:r>
      <w:r w:rsidR="00A810F5" w:rsidRPr="00B31BEB">
        <w:rPr>
          <w:noProof/>
        </w:rPr>
        <w:t xml:space="preserve"> </w:t>
      </w:r>
      <w:r w:rsidR="009372DF" w:rsidRPr="00B31BEB">
        <w:rPr>
          <w:noProof/>
        </w:rPr>
        <w:t>T</w:t>
      </w:r>
      <w:r w:rsidR="00A810F5" w:rsidRPr="00B31BEB">
        <w:rPr>
          <w:noProof/>
        </w:rPr>
        <w:t>rust in e-commerce</w:t>
      </w:r>
      <w:r w:rsidR="009372DF" w:rsidRPr="00B31BEB">
        <w:rPr>
          <w:noProof/>
        </w:rPr>
        <w:t xml:space="preserve">, as a result, remains </w:t>
      </w:r>
      <w:r w:rsidR="00A810F5" w:rsidRPr="00B31BEB">
        <w:rPr>
          <w:noProof/>
        </w:rPr>
        <w:t>low.</w:t>
      </w:r>
      <w:r w:rsidR="00F81313" w:rsidRPr="00B31BEB">
        <w:rPr>
          <w:noProof/>
        </w:rPr>
        <w:t xml:space="preserve"> </w:t>
      </w:r>
      <w:r w:rsidRPr="00B31BEB">
        <w:rPr>
          <w:noProof/>
        </w:rPr>
        <w:t xml:space="preserve">Ways to enhance and factors affecting trust in e-commerce have been suggested </w:t>
      </w:r>
      <w:r w:rsidR="000A3492" w:rsidRPr="00B31BEB">
        <w:rPr>
          <w:rStyle w:val="FootnoteReference"/>
          <w:noProof/>
        </w:rPr>
        <w:fldChar w:fldCharType="begin" w:fldLock="1"/>
      </w:r>
      <w:r w:rsidR="00E23587" w:rsidRPr="00B31BEB">
        <w:rPr>
          <w:noProof/>
        </w:rPr>
        <w:instrText>ADDIN CSL_CITATION {"citationItems":[{"id":"ITEM-1","itemData":{"DOI":"10.1016/S1567-4223(03)00024-3","ISSN":"15674223","abstract":"Increasing use of the World Wide Web as a B2C commercial tool raises interest in understanding the key issues in building relationships with customers on the Internet. Trust is believed to be the key to these relationships. Given the differences between a virtual and a conventional marketplace, antecedents and consequences of trust merit re-examination. This research identifies a number of key factors related to trust in the B2C context and proposes a framework based on a series of underpinning relationships among these factors. The findings in this research suggest that people are more likely to purchase from the web if they perceive a higher degree of trust in e-commerce and have more experience in using the web. Customer's trust levels are likely to be influenced by the level of perceived market orientation, site quality, technical trustworthiness, and user's web experience. People with a higher level of perceived site quality seem to have a higher level of perceived market orientation and trustworthiness towards e-commerce. Furthermore, people with a higher level of trust in e-commerce are more likely to participate in e-commerce. Positive 'word of mouth', money back warranty and partnerships with well-known business partners, rank as the top three effective risk reduction tactics. These findings complement the previous findings on e-commerce and shed light on how to establish a trust relationship on the World Wide Web. © 2003 Elsevier B.V. All rights reserved.","author":[{"dropping-particle":"","family":"Corbitt","given":"Brian J.","non-dropping-particle":"","parse-names":false,"suffix":""},{"dropping-particle":"","family":"Thanasankit","given":"Theerasak","non-dropping-particle":"","parse-names":false,"suffix":""},{"dropping-particle":"","family":"Yi","given":"Han","non-dropping-particle":"","parse-names":false,"suffix":""}],"container-title":"Electronic Commerce Research and Applications","id":"ITEM-1","issue":"3","issued":{"date-parts":[["2003"]]},"page":"203-215","title":"Trust and e-commerce: A study of consumer perceptions","type":"article-journal","volume":"2"},"uris":["http://www.mendeley.com/documents/?uuid=cebafbbb-6add-437b-a556-5e5392018773"]},{"id":"ITEM-2","itemData":{"DOI":"10.1016/j.dss.2007.07.001","ISSN":"01679236","abstract":"Are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Systems","id":"ITEM-2","issue":"2","issued":{"date-parts":[["2008"]]},"page":"544-564","title":"A trust-based consumer decision-making model in electronic commerce: The role of trust, perceived risk, and their antecedents","type":"article-journal","volume":"44"},"uris":["http://www.mendeley.com/documents/?uuid=c45299bb-942c-4541-b4de-ed3fbe356d97"]},{"id":"ITEM-3","itemData":{"DOI":"10.4304/jcp.4.1.11-18","ISSN":"1796203X","abstract":"Lack of consumer trust is a critical obstacle to the success of online retailing. Knowledge is one important factor influencing the level of trust. However, there is no consensus on the relationship between knowledge and trust. Some studies argued a negative relationship between knowledge and trust while the others argued positive. This study discussed the relationship among knowledge, trust in online shopping, and the intention to go shopping online. The results revealed that knowledge is positively associated with trust and online shopping activities. In other words, people who know more about online shopping will trust and go shopping more online. Online retailing practice should make the public knowledgeable about online transaction security mechanisms to build users' trust in online shopping. © 2009 Academy Publisher.","author":[{"dropping-particle":"","family":"Wang","given":"Chih Chien","non-dropping-particle":"","parse-names":false,"suffix":""},{"dropping-particle":"","family":"Chen","given":"Chun An","non-dropping-particle":"","parse-names":false,"suffix":""},{"dropping-particle":"","family":"Jiang","given":"Jui Chin","non-dropping-particle":"","parse-names":false,"suffix":""}],"container-title":"Journal of Computers","id":"ITEM-3","issue":"1","issued":{"date-parts":[["2009"]]},"page":"11-18","title":"The impact of knowledge and trust on E-consumers' online shopping activities: An empirical study","type":"article-journal","volume":"4"},"uris":["http://www.mendeley.com/documents/?uuid=d35520cc-bf3c-4cc2-ac7e-786e88548a94"]},{"id":"ITEM-4","itemData":{"DOI":"10.1080/07421222.2016.1267531","ISSN":"1557928X","abstract":"Trust underlies much of the online shopping behavior. We compare trust in online shopping in four countries: (1) the United States, a mature online market; (2) Germany; (3) China, the fastest growing online market, where consumers are plagued by counterfeits, forgeries, and spoiled or defective items; and (4) Singapore. We performed laboratory experiments in all four countries. We used three experimental treatments: (1) no assurances; (2) promises of product quality and authenticity; and (3) promises backed up by third-party assurances. We examined subjects’ perceived risk associated with different treatments across different vendor types. The impact of treatments and of vendor reputation on consumers’ trust varied across countries in ways that we did not expect. In mature online markets like the United States, online shopping appears to be treated as just another form of shopping. In China, if an online vendor can establish a reputation for quality, consumers appear to treat those merchants much as Americans do their own favorite online vendors, despite problems with Chinese shopping more generally.","author":[{"dropping-particle":"","family":"Clemons","given":"Eric K.","non-dropping-particle":"","parse-names":false,"suffix":""},{"dropping-particle":"","family":"Wilson","given":"Josh","non-dropping-particle":"","parse-names":false,"suffix":""},{"dropping-particle":"","family":"Matt","given":"Christian","non-dropping-particle":"","parse-names":false,"suffix":""},{"dropping-particle":"","family":"Hess","given":"Thomas","non-dropping-particle":"","parse-names":false,"suffix":""},{"dropping-particle":"","family":"Ren","given":"Fei","non-dropping-particle":"","parse-names":false,"suffix":""},{"dropping-particle":"","family":"Jin","given":"Fujie","non-dropping-particle":"","parse-names":false,"suffix":""},{"dropping-particle":"","family":"Koh","given":"Noi Sian","non-dropping-particle":"","parse-names":false,"suffix":""}],"container-title":"Journal of Management Information Systems","id":"ITEM-4","issue":"4","issued":{"date-parts":[["2016"]]},"page":"1117-1148","title":"Global Differences in Online Shopping Behavior: Understanding Factors Leading to Trust","type":"article-journal","volume":"33"},"uris":["http://www.mendeley.com/documents/?uuid=83f23a00-9bba-476b-8d6b-9d0a29f8a088"]},{"id":"ITEM-5","itemData":{"DOI":"10.1108/IntR-03-2017-0135","ISSN":"10662243","abstract":"Purpose: The proliferation of social commerce websites has allowed consumers to share and exchange information, experiences, advice and opinions. Recently, information provided by users has been considered more trustworthy than the information shared by companies. However, the way in which users interact with technology can vary with age, and generational cohorts show different shopping behaviors, interests and attitudes. Hence, the way users process information (user-generated vs company-generated) can affect trust differently. Drawing on the trust transfer theory and the generational cohort theory, the purpose of this paper is to analyze the effects on user- and company-generated information in boosting trust of three different cohorts (Generation X, Y and Z). Design/methodology/approach: The data were collected through an online survey. The sample comprised 715 users of social commerce websites, aged between 16 and 55 years old. The study was analyzed using partial least squares with the statistical software Smart PLS 3. Findings: The empirical results show that generational cohorts show different patterns. Generation X transfers trust to social commerce websites mainly from trust in information generated by companies, while Generation Z transfers trust mainly from information generated by users. Finally, Generation Y, in contrast to previous findings about millennials, develops trust based on company-generated information to an even greater extent than does Generation X. Originality/value: The originality of this study lies in its analysis of generational differences when it comes to trusting one type of information over another. This study contributes to the idea that users cannot be considered as a whole but must be segmented into generational cohorts.","author":[{"dropping-particle":"","family":"Herrando","given":"Carolina","non-dropping-particle":"","parse-names":false,"suffix":""},{"dropping-particle":"","family":"Jimenez-Martinez","given":"Julio","non-dropping-particle":"","parse-names":false,"suffix":""},{"dropping-particle":"","family":"Martin-De Hoyos","given":"M. J.","non-dropping-particle":"","parse-names":false,"suffix":""}],"container-title":"Internet Research","id":"ITEM-5","issue":"4","issued":{"date-parts":[["2019"]]},"page":"799-817","title":"Tell me your age and I tell you what you trust: the moderating effect of generations","type":"article-journal","volume":"29"},"uris":["http://www.mendeley.com/documents/?uuid=b82cdbb5-4533-48e7-8b9e-b4a057f087aa"]},{"id":"ITEM-6","itemData":{"DOI":"10.1080/10864415.2019.1619907","ISSN":"15579301","abstract":"Consumers are relying increasingly on social commerce for making their purchase decisions, and e-vendors have great interests in applying social commerce features in the traditional e-commerce sites to increase sales. Although the importance of trust has been well recognized in the literature, the previous studies have mainly focused on trust in e-commerce sites and failed to incorporate its multidimensional nature to study consumer behavior. To gain further insights into consumer decision-making, this study aims to develop a social commerce trust-based consumer decision-making framework. Based on the social-technical theory, we conceptualize social commerce trust in a multidimensional view including trust in social media, trust in e-commerce sites, trust in social commerce features, and trust in consumers. Data were collected from an online survey taken by U.S. Amazon consumers. Our results strongly support our new conceptualization of social commerce trust and demonstrate its importance by examining its effects on e-commerce outcomes. Further, trust in consumers and trust in social commerce features have stronger effects than trust in e-commerce sites and trust in social media in the formation of social commerce trust. Our study contributes to the theory by introducing the new conceptualization of social commerce trust and advancing our understanding of how to enhance social commerce trust. Practitioners can gain insights into the implementation of social commerce for building consumer trust and increasing sales.","author":[{"dropping-particle":"","family":"Lin","given":"Xiaolin","non-dropping-particle":"","parse-names":false,"suffix":""},{"dropping-particle":"","family":"Wang","given":"Xuequn","non-dropping-particle":"","parse-names":false,"suffix":""},{"dropping-particle":"","family":"Hajli","given":"Nick","non-dropping-particle":"","parse-names":false,"suffix":""}],"container-title":"International Journal of Electronic Commerce","id":"ITEM-6","issue":"3","issued":{"date-parts":[["2019"]]},"page":"328-363","title":"Building E-Commerce Satisfaction and Boosting Sales: The Role of Social Commerce Trust and Its Antecedents","type":"article-journal","volume":"23"},"uris":["http://www.mendeley.com/documents/?uuid=0d63ad43-e4df-4fa7-b18f-b03ca2fd3e24"]}],"mendeley":{"formattedCitation":"[11; 13; 28; 36; 46; 83]","plainTextFormattedCitation":"[11; 13; 28; 36; 46; 83]","previouslyFormattedCitation":"[11; 13; 28; 36; 46; 83]"},"properties":{"noteIndex":0},"schema":"https://github.com/citation-style-language/schema/raw/master/csl-citation.json"}</w:instrText>
      </w:r>
      <w:r w:rsidR="000A3492" w:rsidRPr="00B31BEB">
        <w:rPr>
          <w:rStyle w:val="FootnoteReference"/>
          <w:noProof/>
        </w:rPr>
        <w:fldChar w:fldCharType="separate"/>
      </w:r>
      <w:r w:rsidR="00F8005E" w:rsidRPr="00B31BEB">
        <w:rPr>
          <w:noProof/>
        </w:rPr>
        <w:t>[11; 13; 28; 36; 46; 83]</w:t>
      </w:r>
      <w:r w:rsidR="000A3492" w:rsidRPr="00B31BEB">
        <w:rPr>
          <w:rStyle w:val="FootnoteReference"/>
          <w:noProof/>
        </w:rPr>
        <w:fldChar w:fldCharType="end"/>
      </w:r>
      <w:r w:rsidRPr="00B31BEB">
        <w:rPr>
          <w:noProof/>
        </w:rPr>
        <w:t>. However, the knowledge effect on consumers’ attention to the trust label remains an unstudied option. This is despite studies showing that decision-makers do not always attend to key attributes when making choices (e.g.</w:t>
      </w:r>
      <w:r w:rsidR="0082457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Research","id":"ITEM-1","issue":"2","issued":{"date-parts":[["2011"]]},"page":"254-268","title":"The effect of online privacy information on purchasing behavior: An experimental study","type":"article-journal","volume":"22"},"uris":["http://www.mendeley.com/documents/?uuid=42c2b602-9bd4-4b3b-a109-9e1df943ed87"]}],"mendeley":{"formattedCitation":"[78]","plainTextFormattedCitation":"[78]","previouslyFormattedCitation":"[78]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[78]</w:t>
      </w:r>
      <w:r w:rsidR="000A3492" w:rsidRPr="00B31BEB">
        <w:rPr>
          <w:rStyle w:val="FootnoteReference"/>
          <w:noProof/>
        </w:rPr>
        <w:fldChar w:fldCharType="end"/>
      </w:r>
      <w:r w:rsidRPr="00B31BEB">
        <w:rPr>
          <w:noProof/>
        </w:rPr>
        <w:t>). Further, some consumer characteristics like trust in e-</w:t>
      </w:r>
      <w:r w:rsidRPr="00B31BEB">
        <w:rPr>
          <w:noProof/>
        </w:rPr>
        <w:lastRenderedPageBreak/>
        <w:t>commerce and attention to attributes are dynamic in nature. A trust relationship mutates based on new experiences and information, such that decision-makers continously update their information base and their decision to</w:t>
      </w:r>
      <w:r w:rsidR="00B87145" w:rsidRPr="00B31BEB">
        <w:rPr>
          <w:noProof/>
        </w:rPr>
        <w:t xml:space="preserve"> trust</w:t>
      </w:r>
      <w:r w:rsidRPr="00B31BEB">
        <w:rPr>
          <w:noProof/>
        </w:rPr>
        <w:t xml:space="preserve"> or not to trust</w:t>
      </w:r>
      <w:r w:rsidR="00FB6F3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{"citationItems":[{"id":"ITEM-1","itemData":{"DOI":"10.2753/JEC1086-4415190101","ISSN":"10864415","abstract":"Trust in e-commerce is a multilevel construct (intrapersonal, system, and interpersonal), and trust building is a dynamic evolutionary process that can be adjusted over time when additional evidence of new interactions becomes available. From a consumer's perspective in a business-to-consumer e-commerce context, there are at least two trustees: the Internet as a shopping channel (the e-channel - system level) and an Internet selling party or Internet vendor (the e-vendor - interpersonal level) as a business partner. Understanding the multilevel and dynamic nature of trust in e-commerce is important because it not only provides practical insights that can be used to further enhance the online experiences for both online managers and consumers but also extends our conceptual foundations of trust. Although the multilevel and dynamic nature of trust is a crucial characteristic of trust in e-commerce, there is little empirical research. To fill this knowledge gap, this study proposes a multilevel model of e-channel and e-vendor trust, including trust propensity (intrapersonal level) from a cross-stage (pre- and postpurchase) perspective. This study also proposes a relatively new construct, the consumer's perceived delivery fulfillment in e-commerce. Implications of the findings for theory and practice as well as limitations and avenues for future study are discussed.","author":[{"dropping-particle":"","family":"Kim","given":"Dan J.","non-dropping-particle":"","parse-names":false,"suffix":""}],"container-title":"International Journal of Electronic Commerce","id":"ITEM-1","issue":"1","issued":{"date-parts":[["2014"]]},"page":"11-64","title":"A study of the multilevel and dynamic nature of trust in E-commerce from a cross-stage perspective","type":"article","volume":"19"},"uris":["http://www.mendeley.com/documents/?uuid=2568b4d5-6901-4f26-895e-a59f05b91165"]}],"mendeley":{"formattedCitation":"[35]","plainTextFormattedCitation":"[35]","previouslyFormattedCitation":"[35]"},"properties":{"noteIndex":0},"schema":"https://github.com/citation-style-language/schema/raw/master/csl-citation.json"}</w:instrText>
      </w:r>
      <w:r w:rsidR="000A3492" w:rsidRPr="00B31BEB">
        <w:rPr>
          <w:rStyle w:val="FootnoteReference"/>
          <w:noProof/>
        </w:rPr>
        <w:fldChar w:fldCharType="separate"/>
      </w:r>
      <w:r w:rsidR="00F8005E" w:rsidRPr="00B31BEB">
        <w:rPr>
          <w:noProof/>
        </w:rPr>
        <w:t>[35]</w:t>
      </w:r>
      <w:r w:rsidR="000A3492" w:rsidRPr="00B31BEB">
        <w:rPr>
          <w:rStyle w:val="FootnoteReference"/>
          <w:noProof/>
        </w:rPr>
        <w:fldChar w:fldCharType="end"/>
      </w:r>
      <w:r w:rsidRPr="00B31BEB">
        <w:rPr>
          <w:noProof/>
        </w:rPr>
        <w:t xml:space="preserve">. Choice experiment studies (e.g. </w:t>
      </w:r>
      <w:r w:rsidR="000A3492" w:rsidRPr="00B31BEB">
        <w:rPr>
          <w:rStyle w:val="FootnoteReference"/>
          <w:noProof/>
        </w:rPr>
        <w:fldChar w:fldCharType="begin" w:fldLock="1"/>
      </w:r>
      <w:r w:rsidR="00E23587" w:rsidRPr="00B31BEB">
        <w:rPr>
          <w:noProof/>
        </w:rPr>
        <w:instrText>ADDIN CSL_CITATION {"citationItems":[{"id":"ITEM-1","itemData":{"DOI":"10.1016/j.foodpol.2013.01.006","ISSN":"03069192","abstract":"We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Policy","id":"ITEM-1","issued":{"date-parts":[["2013"]]},"page":"31-43","title":"Green market expansion by reducing information asymmetries: Evidence for labeled organic food products","type":"article-journal","volume":"40"},"uris":["http://www.mendeley.com/documents/?uuid=65353283-cbff-49f5-970f-84f9820b38a2"]}],"mendeley":{"formattedCitation":"[67]","plainTextFormattedCitation":"[67]","previouslyFormattedCitation":"[67]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[67]</w:t>
      </w:r>
      <w:r w:rsidR="000A3492" w:rsidRPr="00B31BEB">
        <w:rPr>
          <w:rStyle w:val="FootnoteReference"/>
          <w:noProof/>
        </w:rPr>
        <w:fldChar w:fldCharType="end"/>
      </w:r>
      <w:r w:rsidRPr="00B31BEB">
        <w:rPr>
          <w:noProof/>
        </w:rPr>
        <w:t>) have reported higher preferences for attributes where information is provided. Higher environmental knowledge has also been associated with higher attribute attendance probabilities</w:t>
      </w:r>
      <w:r w:rsidR="00C76916"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In bolstering this limited literature, our results show that providing information can have a positive and significant effect on consumers’ interest in the trust attribute. Further, older consumers were less likely to attend to the trust attribute. From a policy and managerial perspective, it is necessary that efforts to improve trust are correctly perceived by the consumers and taken into account when selecting webshops for their e-purchases.</w:t>
      </w:r>
    </w:p>
    <w:p w:rsidR="000D0F0C" w:rsidRPr="00B31BEB" w:rsidRDefault="00E3571E" w:rsidP="00A03897">
      <w:pPr>
        <w:tabs>
          <w:tab w:val="center" w:pos="4800"/>
          <w:tab w:val="right" w:pos="9500"/>
        </w:tabs>
        <w:ind w:firstLine="720"/>
        <w:rPr>
          <w:noProof/>
        </w:rPr>
      </w:pPr>
      <w:r w:rsidRPr="00B31BEB">
        <w:rPr>
          <w:noProof/>
        </w:rPr>
        <w:t>Instances of mismatches between items as they appear online and those that are delivered have been discussed in e-commerce</w:t>
      </w:r>
      <w:r w:rsidR="00AE1007"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{"citationItems":[{"id":"ITEM-1","itemData":{"DOI":"10.1287/mksc.1100.0588","ISSN":"07322399","abstract":"The Internet has increased the flexibility of retailers, allowing them to operate an online arm in addition to their physical stores. The online channel offers potential benefits in selling to customer segments that value the convenience of online shopping, but it also raises new challenges. These include the higher likelihood of costly product returns when customers' ability to \"touch and feel\" products is important in determining fit. We study competing retailers that can operate dual channels (\"bricks and clicks\") and examine how pricing strategies and physical store assistance levels change as a result of the additional Internet outlet. A central result we obtain is that when differentiation among competing retailers is not too high, having an online channel can actually increase investment in store assistance levels (e.g., greater shelf display, more-qualified sales staff, floor samples) and decrease profits. Consequently, when the decision to open an Internet channel is endogenized, there can exist an asymmetric equilibrium where only one retailer elects to operate an online arm but earns lower profits than its bricks-only rival. We also characterize equilibria where firms open an online channel, even though consumers only use it for research and learning purposes but buy in stores. A number of extensions are discussed, including retail settings where firms carry multiple product categories, shipping and handling costs, and the role of store assistance in impacting consumer perceived benefits. © 2011 INFORMS.","author":[{"dropping-particle":"","family":"Ofek","given":"Elie","non-dropping-particle":"","parse-names":false,"suffix":""},{"dropping-particle":"","family":"Katona","given":"Zsolt","non-dropping-particle":"","parse-names":false,"suffix":""},{"dropping-particle":"","family":"Sarvary","given":"Miklos","non-dropping-particle":"","parse-names":false,"suffix":""}],"container-title":"Marketing Science","id":"ITEM-1","issue":"1","issued":{"date-parts":[["2011"]]},"page":"42-60","title":"\"Bricks and clicks\": The impact of product returns on the strategies of multichannel retailers","type":"article-journal","volume":"30"},"uris":["http://www.mendeley.com/documents/?uuid=283c8036-b03b-4735-b6d6-e49f62e91b2e"]},{"id":"ITEM-2","itemData":{"DOI":"10.1111/ijmr.12129","ISSN":"14682370","abstract":"This paper provides a systematic review of consumer behaviour and order fulfilment in online retailing. The objective of this review is threefold: first, to identify elements of order-fulfilment operations that are relevant to online consumer behaviour (purchase, repurchase, product return); second, to understand the relationship between order-fulfilment performance and consumer behaviour; and third, to inspire future research on developing consumer service strategies that takes account of these behavioural responses to order-fulfilment performance outcomes. The paper is based on a systematic review of literature on online consumer behaviour and order-fulfilment operations, mainly in the fields of marketing and operations, published in international peer-reviewed journals between 2000 and September 2015. This study indicates that the current literature on online consumer behaviour focuses mainly on the use of marketing tools to improve consumer service levels. Very little research has been conducted on the use of consumer service instruments to steer consumer behaviour or, consequently, to manage related order-fulfilment activities better. The study culminates in a framework that encompasses elements of order-fulfilment operations and their relationship to online consumer behaviour. This paper is the first comprehensive review of online consumer behaviour that takes aspects of order-fulfilment operations into account from both marketing and operations perspectives.","author":[{"dropping-particle":"","family":"Nguyen","given":"Dung H.","non-dropping-particle":"","parse-names":false,"suffix":""},{"dropping-particle":"","family":"Leeuw","given":"Sander","non-dropping-particle":"de","parse-names":false,"suffix":""},{"dropping-particle":"","family":"Dullaert","given":"Wout E.H.","non-dropping-particle":"","parse-names":false,"suffix":""}],"container-title":"International Journal of Management Reviews","id":"ITEM-2","issue":"2","issued":{"date-parts":[["2018"]]},"page":"255-276","title":"Consumer Behaviour and Order Fulfilment in Online Retailing: A Systematic Review","type":"article","volume":"20"},"uris":["http://www.mendeley.com/documents/?uuid=0114d2be-b82b-492c-bb7f-de72ad4365d0"]},{"id":"ITEM-3","itemData":{"DOI":"10.1080/09593969.2017.1314863","ISSN":"14664402","abstract":"The increasing prominence of e-commerce is shaping the nature and dynamics of retailing. E-commerce offers consumers lower prices, wider product categories and a more convenient shopping experience. In addition, consumers seek ways to manage the risk that is often perceived when making purchases online, which is why retailers’ online return policies have become an increasingly important attribute through which companies compete. Lenient return policies fuel unnecessary ordering and increase return rates, which in turn has major implications both for consumer behaviour and for managing the increasingly complex ecological and economical issue of online returning. Despite its relevance, prior research has paid limited attention to this evolving phenomenon. Consequently, the purpose of this study is to explore and analyse online returning behaviour in the context of fashion merchandise. As a result, 10 categories of online returning behaviour are identified that capture the reasons why consumers actually return items they have ordered online. These categories are further linked with when the decision to return ordered items emerges. Based on the results, managerial implications are provided to give guidance in managing online returning behaviour.","author":[{"dropping-particle":"","family":"Saarijärvi","given":"Hannu","non-dropping-particle":"","parse-names":false,"suffix":""},{"dropping-particle":"","family":"Sutinen","given":"Ulla Maija","non-dropping-particle":"","parse-names":false,"suffix":""},{"dropping-particle":"","family":"Harris","given":"Lloyd C.","non-dropping-particle":"","parse-names":false,"suffix":""}],"container-title":"International Review of Retail, Distribution and Consumer Research","id":"ITEM-3","issue":"3","issued":{"date-parts":[["2017"]]},"page":"284-299","title":"Uncovering consumers’ returning behaviour: a study of fashion e-commerce","type":"article-journal","volume":"27"},"uris":["http://www.mendeley.com/documents/?uuid=54bb2fb3-a27d-4bef-ae7b-1c2731e46dcd"]}],"mendeley":{"formattedCitation":"[57; 58; 69]","plainTextFormattedCitation":"[57; 58; 69]","previouslyFormattedCitation":"[57; 58; 69]"},"properties":{"noteIndex":0},"schema":"https://github.com/citation-style-language/schema/raw/master/csl-citation.json"}</w:instrText>
      </w:r>
      <w:r w:rsidR="000A3492" w:rsidRPr="00B31BEB">
        <w:rPr>
          <w:rStyle w:val="FootnoteReference"/>
          <w:noProof/>
        </w:rPr>
        <w:fldChar w:fldCharType="separate"/>
      </w:r>
      <w:r w:rsidR="00F8005E" w:rsidRPr="00B31BEB">
        <w:rPr>
          <w:noProof/>
        </w:rPr>
        <w:t>[57; 58; 69]</w:t>
      </w:r>
      <w:r w:rsidR="000A3492" w:rsidRPr="00B31BEB">
        <w:rPr>
          <w:rStyle w:val="FootnoteReference"/>
          <w:noProof/>
        </w:rPr>
        <w:fldChar w:fldCharType="end"/>
      </w:r>
      <w:r w:rsidRPr="00B31BEB">
        <w:rPr>
          <w:noProof/>
        </w:rPr>
        <w:t>. Returning mismatch items can be complicated and costly to retailers and consumers alike. Sometimes, consumers are not even aware of existing channels for online dispute resolutions</w:t>
      </w:r>
      <w:r w:rsidR="00AA0270" w:rsidRPr="00B31BEB">
        <w:rPr>
          <w:noProof/>
        </w:rPr>
        <w:t xml:space="preserve"> </w:t>
      </w:r>
      <w:r w:rsidR="000A3492" w:rsidRPr="00B31BEB">
        <w:rPr>
          <w:rStyle w:val="FootnoteReference"/>
          <w:noProof/>
        </w:rPr>
        <w:fldChar w:fldCharType="begin" w:fldLock="1"/>
      </w:r>
      <w:r w:rsidR="00B8448F" w:rsidRPr="00B31BEB">
        <w:rPr>
          <w:noProof/>
        </w:rPr>
        <w:instrText>ADDIN CSL_CITATION {"citationItems":[{"id":"ITEM-1","itemData":{"DOI":"10.4324/9780203847756","ISBN":"020384775X","abstract":"A PDF version of this book is available for free in open access via www.tandfebooks.com as well as the OAPEN Library platform, www.oapen.org. It has been made available under a Creative Commons Attribution-Non Commercial-No Derivatives 3.0 license and is part of the OAPEN-UK research project. E-commerce offers immense challenges to traditional dispute resolution methods, as it entails parties often located in different parts of the world making contracts with each other at the click of a mouse. The use of traditional litigation for disputes arising in this forum is often inconvenient, impractical, time-consuming and expensive due to the low value of the transactions and the physical distance between the parties. Thus modern legal systems face a crucial choice: either to adopt traditional dispute resolution methods that have served the legal systems well for hundreds of years or to find new methods which are better suited to a world not anchored in territorial borders. Online Dispute Resolution (ODR), originally an off-shoot of Alternative Dispute Resolution (ADR), takes advantage of the speed and convenience of the Internet, becoming the best, and often the only option for enhancing consumer redress and strengthening their trust in e-commerce. This book provides an in-depth account of the potential of ODR for European consumers, offering a comprehensive and up to date analysis of the development of ODR. It considers the current expansion of ODR and evaluates the challenges posed in its growth. The book proposes the creation of legal standards to close the gap between the potential of ODR services and their actual use, arguing that ODR, if it is to realise its full potential in the resolution of e-commerce disputes and in the enforcement of consumer rights, must be grounded firmly on a European regulatory model.","author":[{"dropping-particle":"","family":"Cortés","given":"Pablo","non-dropping-particle":"","parse-names":false,"suffix":""}],"container-title":"Online Dispute Resolution for Consumers in the European Union","id":"ITEM-1","issued":{"date-parts":[["2010"]]},"number-of-pages":"1-260","title":"Online dispute resolution for consumers in the european union","type":"book"},"uris":["http://www.mendeley.com/documents/?uuid=27f75683-1548-479e-9b26-2f4c2506f898"]}],"mendeley":{"formattedCitation":"[14]","plainTextFormattedCitation":"[14]","previouslyFormattedCitation":"[14]"},"properties":{"noteIndex":0},"schema":"https://github.com/citation-style-language/schema/raw/master/csl-citation.json"}</w:instrText>
      </w:r>
      <w:r w:rsidR="000A3492" w:rsidRPr="00B31BEB">
        <w:rPr>
          <w:rStyle w:val="FootnoteReference"/>
          <w:noProof/>
        </w:rPr>
        <w:fldChar w:fldCharType="separate"/>
      </w:r>
      <w:r w:rsidR="00102417" w:rsidRPr="00B31BEB">
        <w:rPr>
          <w:noProof/>
        </w:rPr>
        <w:t>[14]</w:t>
      </w:r>
      <w:r w:rsidR="000A3492" w:rsidRPr="00B31BEB">
        <w:rPr>
          <w:rStyle w:val="FootnoteReference"/>
          <w:noProof/>
        </w:rPr>
        <w:fldChar w:fldCharType="end"/>
      </w:r>
      <w:r w:rsidRPr="00B31BEB">
        <w:rPr>
          <w:noProof/>
        </w:rPr>
        <w:t>. These factors particularly affect cross-border e-commerce, where the associated risks result in preference for domestic e-shops</w:t>
      </w:r>
      <w:r w:rsidR="00BA3DA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{"citationItems":[{"id":"ITEM-1","itemData":{"ISSN":"15829146","abstract":"The European Single Market is an ongoing project that will continue to further develop and adapt to changing realities. Traditional economic activities, and the administrative rules governing them, face the challenge of adapting to developments that blur the dividing lines, for example, between shop and online sales or between traditional media and Internet communication. Convergence of this type will lead to a European Digital Single Market. A genuine Digital Single Market would generate new types of growth and also sustainable economic and social benefits for all European citizens. There are still a number of barriers which impose obstacles for the development of the digital market in Europe. Obstacles which can be identified include national differences regarding data protection rules, e-commerce rules, consumer protection rules and other legislation pertaining to information flows. The paper brings in discussion the advantages of a Digital Single Market, the obstacles in developing it in connection with e-commerce regulations, consumer protection and information flows legislation and also the premises for implementing a Digital Single Market. Consumers' trust in on-line commerce results as one of the driving factors in implementing a Digital Single Market. These are some of the main obstacles for the boosting consumers' confidence in the European Single Market. Improving consumer confidence in cross-border shopping online by taking appropriate policy action could provide a major boost to economic growth in Europe. Empowered and confident consumers can drive forward the European economy. Starting from the results of the Flash Euro-barometer survey, Consumer attitudes towards cross-border trade and consumer protection this study analyzes consumer's readiness for the European Digital Single Market.","author":[{"dropping-particle":"","family":"Doru Alexandru","given":"Pleşea","non-dropping-particle":"","parse-names":false,"suffix":""},{"dropping-particle":"","family":"Irina","given":"Maiorescu","non-dropping-particle":"","parse-names":false,"suffix":""},{"dropping-particle":"","family":"Alice","given":"Cîrstea","non-dropping-particle":"","parse-names":false,"suffix":""}],"container-title":"Amfiteatru Economic","id":"ITEM-1","issue":"36","issued":{"date-parts":[["2014"]]},"page":"563-577","title":"Consumers' attitude towards consumer protection in the Digital Single Market, as reflected by European barometers","type":"article-journal","volume":"16"},"uris":["http://www.mendeley.com/documents/?uuid=8e578b17-d421-41cb-bbe4-070ac5fc945f"]},{"id":"ITEM-2","itemData":{"DOI":"10.1080/10864415.2016.1234283","ISSN":"15579301","abstract":"This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Commerce","id":"ITEM-2","issue":"2","issued":{"date-parts":[["2017"]]},"page":"184-218","title":"Cross-border electronic commerce: Distance effects and express delivery in European union markets","type":"article-journal","volume":"21"},"uris":["http://www.mendeley.com/documents/?uuid=ad665ba8-5659-45b7-afb7-4950bc45e3c3"]},{"id":"ITEM-3","itemData":{"DOI":"10.1016/j.telpol.2018.03.006","ISSN":"03085961","abstract":"This paper explores the determinants of the individual's decision to perform cross-border e-commerce (CBeC). The European Union (EU) is especially interested in the promotion of CBeC because it is an important tool in its strategy to achieve the Digital Single Market in Europe. In this paper official data is used from a representative survey of 16,209 individuals on ICT usage by households and individuals that was carried out in Spain by the National Institute of Statistics (INE) for the year 2016. Using a standard neoclassical utility maximization framework, and logistic regression techniques, the results show that being a male is positively related to the probability of practicing CBeC. Education is positively and significantly related to the probability of being involved in CBeC with EU countries. Computer and Internet Skills are significant and positive factors in explaining CBeC (either with EU countries or with the rest of the world). The variable “how often the consumer sees other customer reviews before buying online”, has a positive effect. Foreign nationality also increases the likelihood of using CBeC. To promote CBeC in Spain measures towards developing digital skills, Internet trust and use of online information reviews of goods and services are discussed.","author":[{"dropping-particle":"","family":"Valarezo","given":"Ángel","non-dropping-particle":"","parse-names":false,"suffix":""},{"dropping-particle":"","family":"Pérez-Amaral","given":"Teodosio","non-dropping-particle":"","parse-names":false,"suffix":""},{"dropping-particle":"","family":"Garín-Muñoz","given":"Teresa","non-dropping-particle":"","parse-names":false,"suffix":""},{"dropping-particle":"","family":"Herguera García","given":"Iñigo","non-dropping-particle":"","parse-names":false,"suffix":""},{"dropping-particle":"","family":"López","given":"Rafael","non-dropping-particle":"","parse-names":false,"suffix":""}],"container-title":"Telecommunications Policy","id":"ITEM-3","issue":"6","issued":{"date-parts":[["2018"]]},"page":"464-473","publisher":"Elsevier","title":"Drivers and barriers to cross-border e-commerce: Evidence from Spanish individual behavior","type":"article-journal","volume":"42"},"uris":["http://www.mendeley.com/documents/?uuid=47e2efee-e9f4-4167-8e5d-6ffbcffa5ce8"]}],"mendeley":{"formattedCitation":"[17; 37; 79]","plainTextFormattedCitation":"[17; 37; 79]","previouslyFormattedCitation":"[17; 37; 79]"},"properties":{"noteIndex":0},"schema":"https://github.com/citation-style-language/schema/raw/master/csl-citation.json"}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[17; 37; 79]</w:t>
      </w:r>
      <w:r w:rsidR="000A3492" w:rsidRPr="00B31BEB">
        <w:rPr>
          <w:rStyle w:val="FootnoteReference"/>
          <w:noProof/>
        </w:rPr>
        <w:fldChar w:fldCharType="end"/>
      </w:r>
      <w:r w:rsidRPr="00B31BEB">
        <w:rPr>
          <w:noProof/>
        </w:rPr>
        <w:t>. The high impact and attendance probability of the product returns attribute is therefore unsurprising. This is because it affects important and unresolved e-commerce challenges. First, despite the frequent needs by consumers to return purchased products, e-retailers often offer restricted return services</w:t>
      </w:r>
      <w:r w:rsidR="00F66B0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{"citationItems":[{"id":"ITEM-1","itemData":{"DOI":"10.1287/mksc.1100.0588","ISSN":"07322399","abstract":"The Internet has increased the flexibility of retailers, allowing them to operate an online arm in addition to their physical stores. The online channel offers potential benefits in selling to customer segments that value the convenience of online shopping, but it also raises new challenges. These include the higher likelihood of costly product returns when customers' ability to \"touch and feel\" products is important in determining fit. We study competing retailers that can operate dual channels (\"bricks and clicks\") and examine how pricing strategies and physical store assistance levels change as a result of the additional Internet outlet. A central result we obtain is that when differentiation among competing retailers is not too high, having an online channel can actually increase investment in store assistance levels (e.g., greater shelf display, more-qualified sales staff, floor samples) and decrease profits. Consequently, when the decision to open an Internet channel is endogenized, there can exist an asymmetric equilibrium where only one retailer elects to operate an online arm but earns lower profits than its bricks-only rival. We also characterize equilibria where firms open an online channel, even though consumers only use it for research and learning purposes but buy in stores. A number of extensions are discussed, including retail settings where firms carry multiple product categories, shipping and handling costs, and the role of store assistance in impacting consumer perceived benefits. © 2011 INFORMS.","author":[{"dropping-particle":"","family":"Ofek","given":"Elie","non-dropping-particle":"","parse-names":false,"suffix":""},{"dropping-particle":"","family":"Katona","given":"Zsolt","non-dropping-particle":"","parse-names":false,"suffix":""},{"dropping-particle":"","family":"Sarvary","given":"Miklos","non-dropping-particle":"","parse-names":false,"suffix":""}],"container-title":"Marketing Science","id":"ITEM-1","issue":"1","issued":{"date-parts":[["2011"]]},"page":"42-60","title":"\"Bricks and clicks\": The impact of product returns on the strategies of multichannel retailers","type":"article-journal","volume":"30"},"uris":["http://www.mendeley.com/documents/?uuid=283c8036-b03b-4735-b6d6-e49f62e91b2e"]},{"id":"ITEM-2","itemData":{"DOI":"10.1016/j.jbusres.2018.01.064","ISSN":"01482963","abstract":"The wide variety of retailer return policies can cause consumers confusion. While keeping costs contained, very restrictive Return Policies (RPs) may mar consumer behavior. As a first attempt to examine the impact expectation of return control and involvement have on consumers, this study builds a conceptual model with support of the theory of psychological reactance and lends insights into how and why RPs, specifically the denial of product returns, affect consumers during and after the product return process. Our findings indicate that when consumers have high expectations of successfully returning a product and are denied, RPs create significantly higher negative attitudes toward the retailer and attempts to regain control both directly by asking the retailer for an exception and indirectly by retaliating against the retailer in the form of future fraudulent returning. Return-encounter tensions may be lessened by making consumers aware, before purchase, of the RPs.","author":[{"dropping-particle":"","family":"Dailey","given":"Lynn C.","non-dropping-particle":"","parse-names":false,"suffix":""},{"dropping-particle":"","family":"Ülkü","given":"M. Ali","non-dropping-particle":"","parse-names":false,"suffix":""}],"container-title":"Journal of Business Research","id":"ITEM-2","issued":{"date-parts":[["2018"]]},"page":"202-209","title":"Retailers beware: On denied product returns and consumer behavior","type":"article-journal","volume":"86"},"uris":["http://www.mendeley.com/documents/?uuid=e25ec131-d448-4d1d-afc6-9f749421fdab"]}],"mendeley":{"formattedCitation":"[16; 58]","plainTextFormattedCitation":"[16; 58]","previouslyFormattedCitation":"[16; 58]"},"properties":{"noteIndex":0},"schema":"https://github.com/citation-style-language/schema/raw/master/csl-citation.json"}</w:instrText>
      </w:r>
      <w:r w:rsidR="000A3492" w:rsidRPr="00B31BEB">
        <w:rPr>
          <w:rStyle w:val="FootnoteReference"/>
          <w:noProof/>
        </w:rPr>
        <w:fldChar w:fldCharType="separate"/>
      </w:r>
      <w:r w:rsidR="00F8005E" w:rsidRPr="00B31BEB">
        <w:rPr>
          <w:noProof/>
        </w:rPr>
        <w:t>[16; 58]</w:t>
      </w:r>
      <w:r w:rsidR="000A3492" w:rsidRPr="00B31BEB">
        <w:rPr>
          <w:rStyle w:val="FootnoteReference"/>
          <w:noProof/>
        </w:rPr>
        <w:fldChar w:fldCharType="end"/>
      </w:r>
      <w:r w:rsidRPr="00B31BEB">
        <w:rPr>
          <w:noProof/>
        </w:rPr>
        <w:t xml:space="preserve">. The retailers’ unwillingness to meet return costs presents consumers with an unwelcome risk of incurring extra charges. Second, the procedures for item returns are sometimes unclear, unknown or are country-specific. These motivates consumers to favour domestic sites where they are more familiar with the linguistic, legal and credibility barriers that undermine cross-border e-commerce. To overcome, </w:t>
      </w:r>
      <w:r w:rsidRPr="00B31BEB">
        <w:rPr>
          <w:noProof/>
        </w:rPr>
        <w:lastRenderedPageBreak/>
        <w:t>efforts to improve consumer awareness and unify regional digital markets like the EU’s Digital Single Market</w:t>
      </w:r>
      <w:r w:rsidR="009A5680"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{"citationItems":[{"id":"ITEM-1","itemData":{"DOI":"10.1080/10864415.2016.1234283","ISSN":"15579301","abstract":"This empirical study examines distance effects on cross-border electronic commerce and in particular the importance of express delivery in reducing the time dimension of distance. E-commerce provides suppliers with a range of opportunities to reduce distance as perceived by online buyers. They can reduce psychological barriers to cross-border demand by designing websites that simplify the search for and comparison of products and suppliers across countries. They can reduce cost barriers by applying pricing strategies that redistribute transportation costs, and they can overcome time barriers offering express delivery services. This study of 721 regions in five countries of the European Union shows that distance is not “dead” in e-commerce, that express delivery reduces distance for cross-border demand, and that e-demand delivered by express services is more time sensitive and less price sensitive than e-demand satisfied by standard delivery. The willingness of e-customers to pay for express services is shown to be affected by income and by the relative lead-time benefits and express charges. Furthermore, the adoption of express delivery is positively associated with e-loyalty in terms of repurchase rates. The results confirm the importance for e-suppliers of cleverly designed delivery services to reduce distance in order to attract online customers across borders.","author":[{"dropping-particle":"","family":"Kim","given":"Thai Young","non-dropping-particle":"","parse-names":false,"suffix":""},{"dropping-particle":"","family":"Dekker","given":"Rommert","non-dropping-particle":"","parse-names":false,"suffix":""},{"dropping-particle":"","family":"Heij","given":"Christiaan","non-dropping-particle":"","parse-names":false,"suffix":""}],"container-title":"International Journal of Electronic Commerce","id":"ITEM-1","issue":"2","issued":{"date-parts":[["2017"]]},"page":"184-218","title":"Cross-border electronic commerce: Distance effects and express delivery in European union markets","type":"article-journal","volume":"21"},"uris":["http://www.mendeley.com/documents/?uuid=ad665ba8-5659-45b7-afb7-4950bc45e3c3"]},{"id":"ITEM-2","itemData":{"DOI":"10.1016/j.infoecopol.2014.05.002","ISSN":"01676245","abstract":"The rise of the internet is often associated with the \"death of distance\" or at least the decreasing relevance of geographical distance in the supply of information. We investigate whether distance still matters for online trade in physical goods. We use data from an online consumer survey panel on online cross-border trade in goods in a linguistically fragmented EU market. The analysis confirms that distance-related trade costs are greatly reduced compared to offline trade in the same goods. However, language-related trade costs increase. Moreover, online trade introduces new sources of trade costs such as parcel delivery and online payments systems. On balance, there are no indications that online trade is less biased in favour of home market products than offline trade. We examine options available to policy makers to boost cross-border e-commerce in the EU Digital Single Market. A 1% increase in the use of efficient and flexible cross-border payment systems could increase cross-border e-commerce by as much as 7%. We also show that online trade gives a comparative advantage to English-language exporting countries. © 2014 Elsevier B.V.","author":[{"dropping-particle":"","family":"Gomez-Herrera","given":"Estrella","non-dropping-particle":"","parse-names":false,"suffix":""},{"dropping-particle":"","family":"Martens","given":"Bertin","non-dropping-particle":"","parse-names":false,"suffix":""},{"dropping-particle":"","family":"Turlea","given":"Geomina","non-dropping-particle":"","parse-names":false,"suffix":""}],"container-title":"Information Economics and Policy","id":"ITEM-2","issue":"1","issued":{"date-parts":[["2014"]]},"page":"83-96","title":"The drivers and impediments for cross-border e-commerce in the EU","type":"article-journal","volume":"28"},"uris":["http://www.mendeley.com/documents/?uuid=3f4b7833-722b-4e79-90cc-3556d0c9a32a"]}],"mendeley":{"formattedCitation":"[23; 37]","plainTextFormattedCitation":"[23; 37]","previouslyFormattedCitation":"[23; 37]"},"properties":{"noteIndex":0},"schema":"https://github.com/citation-style-language/schema/raw/master/csl-citation.json"}</w:instrText>
      </w:r>
      <w:r w:rsidR="000A3492" w:rsidRPr="00B31BEB">
        <w:rPr>
          <w:rStyle w:val="FootnoteReference"/>
          <w:noProof/>
        </w:rPr>
        <w:fldChar w:fldCharType="separate"/>
      </w:r>
      <w:r w:rsidR="00F8005E" w:rsidRPr="00B31BEB">
        <w:rPr>
          <w:noProof/>
        </w:rPr>
        <w:t>[23; 37]</w:t>
      </w:r>
      <w:r w:rsidR="000A3492" w:rsidRPr="00B31BEB">
        <w:rPr>
          <w:rStyle w:val="FootnoteReference"/>
          <w:noProof/>
        </w:rPr>
        <w:fldChar w:fldCharType="end"/>
      </w:r>
      <w:r w:rsidRPr="00B31BEB">
        <w:rPr>
          <w:noProof/>
        </w:rPr>
        <w:t xml:space="preserve"> policy agenda should be prioritised. Third, lengthy and costly item returns procedures discourage consumers further weakening the B2C trust. Lastly, failed deliveries and consumer returns involve additional travelling, warehousing, picking and packaging activities. The extra handling activities pose negative environmental effects</w:t>
      </w:r>
      <w:r w:rsidR="003036DE"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Management","id":"ITEM-1","issue":"6","issued":{"date-parts":[["2015"]]},"page":"565-591","title":"A review of the environmental implications of B2C e-commerce: a logistics perspective","type":"article-journal","volume":"45"},"uris":["http://www.mendeley.com/documents/?uuid=0abe1a40-d50b-43aa-a7ed-6c050121d284"]},{"id":"ITEM-2","itemData":{"DOI":"10.1108/09600031011018055","ISSN":"09600035","abstract":"Purpose: The purpose of this paper is to focus on the carbon intensity of \"last mile\" deliveries (i.e. deliveries of goods from local depots to the home) and personal shopping trips. Design/methodology/approach: Several last mile scenarios are constructed for the purchase of small, non-food items, such as books, CDs, clothing, cameras and household items. Official government data, operational data from a large logistics service provider, face-to-face and telephone interviews with company managers and realistic assumptions derived from the literature form the basis of the calculations. Allowance has been made for home delivery failures, \"browsing\" trips to the shops and the return of unwanted goods. Findings: Overall, the research suggests that, while neither home delivery nor conventional shopping has an absolute CO2 advantage, on average, the home delivery operation is likely to generate less CO2 than the typical shopping trip. Nevertheless, CO2 emissions per item for intensive/infrequent shopping trips by bus could match online shopping/home delivery. Research limitations/implications: The number of items purchased per shopping trip, the choice of travel mode and the willingness to combine shopping with other activities and to group purchases into as few shopping trips or online transactions as possible are shown to be critical factors. Online retailers and home delivery companies could also apply measures (e.g. maximising drop densities and increasing the use of electric vehicles) to enhance the CO2 efficiency of their logistical operations and gain a clearer environmental advantage. Practical implications: Both consumers and suppliers need to be made more aware of the environmental implications of their respective purchasing behaviour and distribution methods so that potential CO2 savings can be made. Originality/value: The paper offers insights into the carbon footprints of conventional and online retailing from a \"last mile\" perspective. © Emerald Group Publishing Limited.","author":[{"dropping-particle":"","family":"Edwards","given":"Julia B.","non-dropping-particle":"","parse-names":false,"suffix":""},{"dropping-particle":"","family":"McKinnon","given":"Alan C.","non-dropping-particle":"","parse-names":false,"suffix":""},{"dropping-particle":"","family":"Cullinane","given":"Sharon L.","non-dropping-particle":"","parse-names":false,"suffix":""}],"container-title":"International Journal of Physical Distribution and Logistics Management","id":"ITEM-2","issue":"1-2","issued":{"date-parts":[["2010"]]},"page":"103-123","publisher":"Emerald Group Publishing Limited","title":"Comparative analysis of the carbon footprints of conventional and online retailing: A \"last mile\" perspective","type":"article-journal","volume":"40"},"uris":["http://www.mendeley.com/documents/?uuid=c511518a-2a92-4309-9338-3dc88ef30c3b"]}],"mendeley":{"formattedCitation":"[19; 49]","plainTextFormattedCitation":"[19; 49]","previouslyFormattedCitation":"[19; 49]"},"properties":{"noteIndex":0},"schema":"https://github.com/citation-style-language/schema/raw/master/csl-citation.json"}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[19; 49]</w:t>
      </w:r>
      <w:r w:rsidR="000A3492" w:rsidRPr="00B31BEB">
        <w:rPr>
          <w:rStyle w:val="FootnoteReference"/>
          <w:noProof/>
        </w:rPr>
        <w:fldChar w:fldCharType="end"/>
      </w:r>
      <w:r w:rsidRPr="00B31BEB">
        <w:rPr>
          <w:noProof/>
        </w:rPr>
        <w:t>.</w:t>
      </w:r>
    </w:p>
    <w:p w:rsidR="00E3571E" w:rsidRPr="00B31BEB" w:rsidRDefault="00E3571E" w:rsidP="00A03897">
      <w:pPr>
        <w:tabs>
          <w:tab w:val="center" w:pos="4800"/>
          <w:tab w:val="right" w:pos="9500"/>
        </w:tabs>
        <w:ind w:firstLine="720"/>
        <w:rPr>
          <w:noProof/>
        </w:rPr>
      </w:pPr>
      <w:r w:rsidRPr="00B31BEB">
        <w:rPr>
          <w:noProof/>
        </w:rPr>
        <w:t xml:space="preserve">The results of this study show that consumers preferred webshops headquartered in </w:t>
      </w:r>
      <w:r w:rsidR="005E3346" w:rsidRPr="00B31BEB">
        <w:rPr>
          <w:noProof/>
        </w:rPr>
        <w:t>Belgium</w:t>
      </w:r>
      <w:r w:rsidRPr="00B31BEB">
        <w:rPr>
          <w:noProof/>
        </w:rPr>
        <w:t xml:space="preserve">. Additionally, providing information on the economic impacts of shopping on foreign webshops appeared to raise interest in the headquarters attribute. Considering the high attention to the trust label and return attributes, this result may also reflect respondents’ comfort to resolve possible returns in familiar retailing environments. Older consumers and those with higher nationalistic views were more attentive to the economic impacts of shopping on foreign webshops. Thus, to realize regional digital integration and boost adoption of e-commerce, it appears necessary that policy formulators and implementers address concerns of these consumer groups. Similarly, foreign webshops seeking to expand their operations may want to contribute to local economies by setting up stores in those countries. This would give webshops opportunities to contribute to local economies by engaging locals in their operations. Local stores for foreign webshops would also minimize environmental impacts of returned and undelivered items by collecting and transporting in batches. </w:t>
      </w:r>
    </w:p>
    <w:p w:rsidR="00E3571E" w:rsidRPr="00B31BEB" w:rsidRDefault="00E3571E" w:rsidP="00A03897">
      <w:pPr>
        <w:tabs>
          <w:tab w:val="center" w:pos="4800"/>
          <w:tab w:val="right" w:pos="9500"/>
        </w:tabs>
        <w:ind w:firstLine="720"/>
        <w:rPr>
          <w:noProof/>
        </w:rPr>
      </w:pPr>
      <w:r w:rsidRPr="00B31BEB">
        <w:rPr>
          <w:noProof/>
        </w:rPr>
        <w:t>Studies have shown that knowledge can affect e-commerce in various ways. First, knowledge can determine consumers’ preferences and thus choices</w:t>
      </w:r>
      <w:r w:rsidR="00F937A5"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{"citationItems":[{"id":"ITEM-1","itemData":{"DOI":"10.2753/MIS0742-1222250202","ISSN":"07421222","abstract":"Information availability has increased consumers' informedness, the degree to which they know what is available in the marketplace, with precisely which attributes and at precisely what price. This informedness has altered the demand side of market behavior: customers now discount more heavily when comparable products are available from competitors and when products do not meet their wants, needs, cravings, and longings, but they no longer discount as heavily when purchasing unfamiliar products. Changes in the demand side are producing comparable changes in the supply side: firms earn less than their expectations when competing in traditional mass-market fat spots, while earning far more than previously when entering newly created resonance marketing sweet spots. We trace the impact of hyperdifferentiation and resonance marketing on strategy, with a clear progression from a limited number of fat spots, through reliance on line extensions, and ultimately to fully differentiated market sweet spots. © 2008 M.E. Sharpe, Inc.","author":[{"dropping-particle":"","family":"Clemons","given":"Eric K.","non-dropping-particle":"","parse-names":false,"suffix":""}],"container-title":"Journal of Management Information Systems","id":"ITEM-1","issue":"2","issued":{"date-parts":[["2008"]]},"page":"13-40","title":"How information changes consumer behavior and how consumer behavior determines corporate strategy","type":"article-journal","volume":"25"},"uris":["http://www.mendeley.com/documents/?uuid=3b6772c6-2418-4f92-927e-228a535f35fd"]},{"id":"ITEM-2","itemData":{"DOI":"10.1016/j.elerap.2007.10.001","ISSN":"15674223","abstract":"As truly informed consumers are increasingly able to find exactly what they want and willing to pay premium prices to obtain products with perfect fit for them, companies have responded with new product portfolio strategies and new pricing strategies, based on the concepts of resonance marketing and hyperdifferentiation. This is not just consumers' pursuit of products that are better, but rather better for them. It is not trading up, but rather trading out. In this paper we offer a more complete explanation of changes in consumer behavior, based on consumers' new-found informedness, and an understanding of consumers' pursuit of products that truly meet their individual wants and needs, cravings and longings. This paper also contributes to a deeper understanding of how online reviews are linked to sales. Recent empirical studies suggest that consumers use information in different ways in different shopping experiences, and that consumers' purchasing behavior varies across different online shopping experiences; consequently, the best predictors of the success of different online products will therefore vary depending on what consumers are buying and why and how they are buying it. © 2007 Elsevier B.V. All rights reserved.","author":[{"dropping-particle":"","family":"Clemons","given":"Eric K.","non-dropping-particle":"","parse-names":false,"suffix":""},{"dropping-particle":"","family":"Gao","given":"Guodong (Gordon)","non-dropping-particle":"","parse-names":false,"suffix":""}],"container-title":"Electronic Commerce Research and Applications","id":"ITEM-2","issue":"1","issued":{"date-parts":[["2008"]]},"page":"3-17","title":"Consumer informedness and diverse consumer purchasing behaviors: Traditional mass-market, trading down, and trading out into the long tail","type":"article-journal","volume":"7"},"uris":["http://www.mendeley.com/documents/?uuid=9f46818b-0e34-4232-895c-1055c3bc0433"]},{"id":"ITEM-3","itemData":{"DOI":"10.1016/j.foodpol.2013.01.006","ISSN":"03069192","abstract":"We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Policy","id":"ITEM-3","issued":{"date-parts":[["2013"]]},"page":"31-43","title":"Green market expansion by reducing information asymmetries: Evidence for labeled organic food products","type":"article-journal","volume":"40"},"uris":["http://www.mendeley.com/documents/?uuid=65353283-cbff-49f5-970f-84f9820b38a2"]},{"id":"ITEM-4","itemData":{"DOI":"10.1287/isre.2014.0521","ISSN":"15265536","abstract":"Consumer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Research","id":"ITEM-4","issue":"2","issued":{"date-parts":[["2014"]]},"page":"345-363","title":"Consumer informedness and firm information strategy","type":"article-journal","volume":"25"},"uris":["http://www.mendeley.com/documents/?uuid=ac86c383-b144-4c72-ab96-c66418fd198e"]}],"mendeley":{"formattedCitation":"[9; 10; 43; 67]","plainTextFormattedCitation":"[9; 10; 43; 67]","previouslyFormattedCitation":"[9; 10; 43; 67]"},"properties":{"noteIndex":0},"schema":"https://github.com/citation-style-language/schema/raw/master/csl-citation.json"}</w:instrText>
      </w:r>
      <w:r w:rsidR="000A3492" w:rsidRPr="00B31BEB">
        <w:rPr>
          <w:rStyle w:val="FootnoteReference"/>
          <w:noProof/>
        </w:rPr>
        <w:fldChar w:fldCharType="separate"/>
      </w:r>
      <w:r w:rsidR="00F8005E" w:rsidRPr="00B31BEB">
        <w:rPr>
          <w:noProof/>
        </w:rPr>
        <w:t>[9; 10; 43; 67]</w:t>
      </w:r>
      <w:r w:rsidR="000A3492" w:rsidRPr="00B31BEB">
        <w:rPr>
          <w:rStyle w:val="FootnoteReference"/>
          <w:noProof/>
        </w:rPr>
        <w:fldChar w:fldCharType="end"/>
      </w:r>
      <w:r w:rsidRPr="00B31BEB">
        <w:rPr>
          <w:noProof/>
        </w:rPr>
        <w:t>. Second, knowledge can affect the probability with which consumers attend to key attributes when making choices</w:t>
      </w:r>
      <w:r w:rsidR="00D51E7B"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{"citationItems":[{"id":"ITEM-1","itemData":{"DOI":"10.1016/j.jocm.2016.09.003","ISSN":"17555345","abstract":"We seek to disentangle the effect of knowledge about an environmental good on respondents’ propensity to ignore one or more attributes on the choice cards in a discrete choice experiment eliciting people's preferences for increased protection of cold-water corals in Norway. We hypothesize that a respondent's level of knowledge influences the degree to which she ignores attributes. Respondents participated in a quiz on cold-water coral prior to the valuation task and we use the result of the quiz as an ex-ante measure of their knowledge. Our results suggests that a high level of knowledge, measured by a high quiz score, is associated with higher probabilities of attendance to the three non-cost attributes, although this effect is only significant for one of them. A higher quiz score is also associated with a significantly lower probability of attending to the cost attribute. Furthermore, although being told your score has mixed directional effects on attribute non-attendance, it does not significantly affect the probability of attending to any of the attributes. Finally, allowing for attribute non-attendance leads to substantially lower conditional willingness-to-pay estimates. This highlights the importance of measuring how much people know about the goods over which they are choosing, and underlines that more research is needed to understand how information influences the degree to which respondents ignore attributes.","author":[{"dropping-particle":"","family":"Sandorf","given":"Erlend Dancke","non-dropping-particle":"","parse-names":false,"suffix":""},{"dropping-particle":"","family":"Campbell","given":"Danny","non-dropping-particle":"","parse-names":false,"suffix":""},{"dropping-particle":"","family":"Hanley","given":"Nick","non-dropping-particle":"","parse-names":false,"suffix":""}],"container-title":"Journal of Choice Modelling","id":"ITEM-1","issued":{"date-parts":[["2017"]]},"page":"36-50","title":"Disentangling the influence of knowledge on attribute non-attendance","type":"article-journal","volume":"24"},"uris":["http://www.mendeley.com/documents/?uuid=95a72572-5167-4e61-ab9d-44982c933405"]}],"mendeley":{"formattedCitation":"[70]","plainTextFormattedCitation":"[70]","previouslyFormattedCitation":"[70]"},"properties":{"noteIndex":0},"schema":"https://github.com/citation-style-language/schema/raw/master/csl-citation.json"}</w:instrText>
      </w:r>
      <w:r w:rsidR="000A3492" w:rsidRPr="00B31BEB">
        <w:rPr>
          <w:rStyle w:val="FootnoteReference"/>
          <w:noProof/>
        </w:rPr>
        <w:fldChar w:fldCharType="separate"/>
      </w:r>
      <w:r w:rsidR="00F8005E" w:rsidRPr="00B31BEB">
        <w:rPr>
          <w:noProof/>
        </w:rPr>
        <w:t>[70]</w:t>
      </w:r>
      <w:r w:rsidR="000A3492" w:rsidRPr="00B31BEB">
        <w:rPr>
          <w:rStyle w:val="FootnoteReference"/>
          <w:noProof/>
        </w:rPr>
        <w:fldChar w:fldCharType="end"/>
      </w:r>
      <w:r w:rsidRPr="00B31BEB">
        <w:rPr>
          <w:noProof/>
        </w:rPr>
        <w:t>. Knowledge can also affect trust in and adoption of e-commerce</w:t>
      </w:r>
      <w:r w:rsidR="00254C0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Systems","id":"ITEM-1","issue":"2","issued":{"date-parts":[["2008"]]},"page":"544-564","title":"A trust-based consumer decision-making model in electronic commerce: The role of trust, perceived risk, and their antecedents","type":"article-journal","volume":"44"},"uris":["http://www.mendeley.com/documents/?uuid=c45299bb-942c-4541-b4de-ed3fbe356d97"]},{"id":"ITEM-2","itemData":{"DOI":"10.4304/jcp.4.1.11-18","ISSN":"1796203X","abstract":"Lack of consumer trust is a critical obstacle to the success of online retailing. Knowledge is one important factor influencing the level of trust. However, there is no consensus on the relationship between knowledge and trust. Some studies argued a negative relationship between knowledge and trust while the others argued positive. This study discussed the relationship among knowledge, trust in online shopping, and the intention to go shopping online. The results revealed that knowledge is positively associated with trust and online shopping activities. In other words, people who know more about online shopping will trust and go shopping more online. Online retailing practice should make the public knowledgeable about online transaction security mechanisms to build users' trust in online shopping. © 2009 Academy Publisher.","author":[{"dropping-particle":"","family":"Wang","given":"Chih Chien","non-dropping-particle":"","parse-names":false,"suffix":""},{"dropping-particle":"","family":"Chen","given":"Chun An","non-dropping-particle":"","parse-names":false,"suffix":""},{"dropping-particle":"","family":"Jiang","given":"Jui Chin","non-dropping-particle":"","parse-names":false,"suffix":""}],"container-title":"Journal of Computers","id":"ITEM-2","issue":"1","issued":{"date-parts":[["2009"]]},"page":"11-18","title":"The impact of knowledge and trust on E-consumers' online shopping activities: An empirical study","type":"article-journal","volume":"4"},"uris":["http://www.mendeley.com/documents/?uuid=d35520cc-bf3c-4cc2-ac7e-786e88548a94"]},{"id":"ITEM-3","itemData":{"DOI":"10.1016/j.jbusres.2009.01.023","ISSN":"01482963","abstract":"Prior studies investigate factors that affect consumer preferences in online shopping websites. However, prior studies, due to their methodological limitations, do not thoroughly investigate consumer preference structures that reflect the relative importance of attributes and features of shopping websites. By synthesizing prior literature, this research proposes and investigates a comprehensive list of attributes and features of shopping websites that increase consumer purchase intention. This research used IT-based platforms for data collection, and collected data from university students. Data analysis enabled us to categorize consumers that use online shopping websites into three groups based on the attributes they prefer. Consumers with different levels of computer expertise also showed differing preference structures. This research has implications in both research and practice. © 2009 Elsevier Inc.","author":[{"dropping-particle":"","family":"Chen","given":"Ying Hueih","non-dropping-particle":"","parse-names":false,"suffix":""},{"dropping-particle":"","family":"Hsu","given":"I. Chieh","non-dropping-particle":"","parse-names":false,"suffix":""},{"dropping-particle":"","family":"Lin","given":"Chia Chen","non-dropping-particle":"","parse-names":false,"suffix":""}],"container-title":"Journal of Business Research","id":"ITEM-3","issue":"9-10","issued":{"date-parts":[["2010"]]},"page":"1007-1014","title":"Website attributes that increase consumer purchase intention: A conjoint analysis","type":"article-journal","volume":"63"},"uris":["http://www.mendeley.com/documents/?uuid=b837e457-dbc6-4d03-b986-598e17c96db3"]},{"id":"ITEM-4","itemData":{"DOI":"10.1287/isre.1090.0260","ISSN":"15265536","abstract":"Although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Research","id":"ITEM-4","issue":"2","issued":{"date-parts":[["2011"]]},"page":"254-268","title":"The effect of online privacy information on purchasing behavior: An experimental study","type":"article-journal","volume":"22"},"uris":["http://www.mendeley.com/documents/?uuid=42c2b602-9bd4-4b3b-a109-9e1df943ed87"]},{"id":"ITEM-5","itemData":{"DOI":"10.1016/j.compag.2018.05.032","ISSN":"01681699","abstract":"The internet is playing an increasing role in the development of rural areas. Farmers in particular, can benefit from new opportunities concerning farm management decisions. Hence, the goal of this study was to investigate German farmers’ willingness to accept (WTA) e-commerce. Primary data of 165 farmers was collected by conducting a discrete choice experiment about the purchase of crop protection products. WTA estimates show that farmers are willing to switch to an online merchant if they are offered a significantly lower price. However, word-of-mouth-reputation and consultation offered via traditional media do not influence farmers’ WTA for an online merchant. In contrast, delivery time significantly affects farmers’ WTA for inputs purchased online. We also show that farmers’ risk attitudes, prior online shopping experiences, and education are influential factors for the WTA for an online merchant. Surprisingly, age and farm size do not impact farmers’ WTA. Since e-commerce has not been widely established in agriculture yet, these results are of great practical importance. The findings of this study demonstrate that online merchants of agricultural inputs should focus on trust, service quality and timely delivery. Furthermore, it might be useful to introduce farmers to e-commerce during their education.","author":[{"dropping-particle":"","family":"Fecke","given":"Wilm","non-dropping-particle":"","parse-names":false,"suffix":""},{"dropping-particle":"","family":"Danne","given":"Michael","non-dropping-particle":"","parse-names":false,"suffix":""},{"dropping-particle":"","family":"Musshoff","given":"Oliver","non-dropping-particle":"","parse-names":false,"suffix":""}],"container-title":"Computers and Electronics in Agriculture","id":"ITEM-5","issue":"C","issued":{"date-parts":[["2018"]]},"page":"126-135","publisher":"Elsevier B.V","title":"E-commerce in agriculture – The case of crop protection product purchases in a discrete choice experiment","type":"article-journal","volume":"151"},"uris":["http://www.mendeley.com/documents/?uuid=fc9eec15-8c0f-4bac-95a1-d9760c35c0ae"]}],"mendeley":{"formattedCitation":"[7; 22; 36; 78; 83]","plainTextFormattedCitation":"[7; 22; 36; 78; 83]","previouslyFormattedCitation":"[7; 22; 36; 78; 83]"},"properties":{"noteIndex":0},"schema":"https://github.com/citation-style-language/schema/raw/master/csl-citation.json"}</w:instrText>
      </w:r>
      <w:r w:rsidR="000A3492" w:rsidRPr="00B31BEB">
        <w:rPr>
          <w:rStyle w:val="FootnoteReference"/>
          <w:noProof/>
        </w:rPr>
        <w:fldChar w:fldCharType="separate"/>
      </w:r>
      <w:r w:rsidR="00F8005E" w:rsidRPr="00B31BEB">
        <w:rPr>
          <w:noProof/>
        </w:rPr>
        <w:t>[7; 22; 36; 78; 83]</w:t>
      </w:r>
      <w:r w:rsidR="000A3492" w:rsidRPr="00B31BEB">
        <w:rPr>
          <w:rStyle w:val="FootnoteReference"/>
          <w:noProof/>
        </w:rPr>
        <w:fldChar w:fldCharType="end"/>
      </w:r>
      <w:r w:rsidRPr="00B31BEB">
        <w:rPr>
          <w:noProof/>
        </w:rPr>
        <w:t>. Fourth, some consumers make numerous impulsive e-</w:t>
      </w:r>
      <w:r w:rsidRPr="00B31BEB">
        <w:rPr>
          <w:noProof/>
        </w:rPr>
        <w:lastRenderedPageBreak/>
        <w:t>purchases</w:t>
      </w:r>
      <w:r w:rsidR="00550FFD"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{"citationItems":[{"id":"ITEM-1","itemData":{"DOI":"10.1080/09593969.2017.1314863","ISSN":"14664402","abstract":"The increasing prominence of e-commerce is shaping the nature and dynamics of retailing. E-commerce offers consumers lower prices, wider product categories and a more convenient shopping experience. In addition, consumers seek ways to manage the risk that is often perceived when making purchases online, which is why retailers’ online return policies have become an increasingly important attribute through which companies compete. Lenient return policies fuel unnecessary ordering and increase return rates, which in turn has major implications both for consumer behaviour and for managing the increasingly complex ecological and economical issue of online returning. Despite its relevance, prior research has paid limited attention to this evolving phenomenon. Consequently, the purpose of this study is to explore and analyse online returning behaviour in the context of fashion merchandise. As a result, 10 categories of online returning behaviour are identified that capture the reasons why consumers actually return items they have ordered online. These categories are further linked with when the decision to return ordered items emerges. Based on the results, managerial implications are provided to give guidance in managing online returning behaviour.","author":[{"dropping-particle":"","family":"Saarijärvi","given":"Hannu","non-dropping-particle":"","parse-names":false,"suffix":""},{"dropping-particle":"","family":"Sutinen","given":"Ulla Maija","non-dropping-particle":"","parse-names":false,"suffix":""},{"dropping-particle":"","family":"Harris","given":"Lloyd C.","non-dropping-particle":"","parse-names":false,"suffix":""}],"container-title":"International Review of Retail, Distribution and Consumer Research","id":"ITEM-1","issue":"3","issued":{"date-parts":[["2017"]]},"page":"284-299","title":"Uncovering consumers’ returning behaviour: a study of fashion e-commerce","type":"article-journal","volume":"27"},"uris":["http://www.mendeley.com/documents/?uuid=54bb2fb3-a27d-4bef-ae7b-1c2731e46dcd"]},{"id":"ITEM-2","itemData":{"DOI":"10.1080/10580530.2017.1254458","ISSN":"10580530","abstract":"Previous studies emphasized that e-businesses could increase sales with marketing strategies on shopping web sites that induce impulsive buying behavior, and lacked an empirical approach to problems caused by impulsive buying. This study proposes a research model that deals with online consumers’ impulsive buying behavior and empirically validates it. The results show that impulsive buying could have a strong impact on post e-commerce purchase intention and behavior such as actual behavioral return tendency of goods.","author":[{"dropping-particle":"","family":"Lim","given":"Se Hun","non-dropping-particle":"","parse-names":false,"suffix":""},{"dropping-particle":"","family":"Lee","given":"Sukho","non-dropping-particle":"","parse-names":false,"suffix":""},{"dropping-particle":"","family":"Kim","given":"Dan J.","non-dropping-particle":"","parse-names":false,"suffix":""}],"container-title":"Information Systems Management","id":"ITEM-2","issue":"1","issued":{"date-parts":[["2017"]]},"page":"85-100","title":"Is Online Consumers’ Impulsive Buying Beneficial for E-Commerce Companies? An Empirical Investigation of Online Consumers’ Past Impulsive Buying Behaviors","type":"article-journal","volume":"34"},"uris":["http://www.mendeley.com/documents/?uuid=14343873-3c88-42ed-937e-956d30356047"]}],"mendeley":{"formattedCitation":"[45; 69]","plainTextFormattedCitation":"[45; 69]","previouslyFormattedCitation":"[45; 69]"},"properties":{"noteIndex":0},"schema":"https://github.com/citation-style-language/schema/raw/master/csl-citation.json"}</w:instrText>
      </w:r>
      <w:r w:rsidR="000A3492" w:rsidRPr="00B31BEB">
        <w:rPr>
          <w:rStyle w:val="FootnoteReference"/>
          <w:noProof/>
        </w:rPr>
        <w:fldChar w:fldCharType="separate"/>
      </w:r>
      <w:r w:rsidR="00F8005E" w:rsidRPr="00B31BEB">
        <w:rPr>
          <w:noProof/>
        </w:rPr>
        <w:t>[45; 69]</w:t>
      </w:r>
      <w:r w:rsidR="000A3492" w:rsidRPr="00B31BEB">
        <w:rPr>
          <w:rStyle w:val="FootnoteReference"/>
          <w:noProof/>
        </w:rPr>
        <w:fldChar w:fldCharType="end"/>
      </w:r>
      <w:r w:rsidR="00550FFD" w:rsidRPr="00B31BEB">
        <w:rPr>
          <w:noProof/>
        </w:rPr>
        <w:t xml:space="preserve"> </w:t>
      </w:r>
      <w:r w:rsidRPr="00B31BEB">
        <w:rPr>
          <w:noProof/>
        </w:rPr>
        <w:t>oblivious of the associated effects. Such orders often end up as returns, compounding the environmental distress. We investigate how informing decision-makers of the negative effects of returns on the environment impacts their attention to eco-themed attributes. Despite the recent literature surge on the environmental impacts of e-commerce</w:t>
      </w:r>
      <w:r w:rsidR="00447F5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{"citationItems":[{"id":"ITEM-1","itemData":{"DOI":"10.1108/09600031011018055","ISSN":"09600035","abstract":"Purpose: The purpose of this paper is to focus on the carbon intensity of \"last mile\" deliveries (i.e. deliveries of goods from local depots to the home) and personal shopping trips. Design/methodology/approach: Several last mile scenarios are constructed for the purchase of small, non-food items, such as books, CDs, clothing, cameras and household items. Official government data, operational data from a large logistics service provider, face-to-face and telephone interviews with company managers and realistic assumptions derived from the literature form the basis of the calculations. Allowance has been made for home delivery failures, \"browsing\" trips to the shops and the return of unwanted goods. Findings: Overall, the research suggests that, while neither home delivery nor conventional shopping has an absolute CO2 advantage, on average, the home delivery operation is likely to generate less CO2 than the typical shopping trip. Nevertheless, CO2 emissions per item for intensive/infrequent shopping trips by bus could match online shopping/home delivery. Research limitations/implications: The number of items purchased per shopping trip, the choice of travel mode and the willingness to combine shopping with other activities and to group purchases into as few shopping trips or online transactions as possible are shown to be critical factors. Online retailers and home delivery companies could also apply measures (e.g. maximising drop densities and increasing the use of electric vehicles) to enhance the CO2 efficiency of their logistical operations and gain a clearer environmental advantage. Practical implications: Both consumers and suppliers need to be made more aware of the environmental implications of their respective purchasing behaviour and distribution methods so that potential CO2 savings can be made. Originality/value: The paper offers insights into the carbon footprints of conventional and online retailing from a \"last mile\" perspective. © Emerald Group Publishing Limited.","author":[{"dropping-particle":"","family":"Edwards","given":"Julia B.","non-dropping-particle":"","parse-names":false,"suffix":""},{"dropping-particle":"","family":"McKinnon","given":"Alan C.","non-dropping-particle":"","parse-names":false,"suffix":""},{"dropping-particle":"","family":"Cullinane","given":"Sharon L.","non-dropping-particle":"","parse-names":false,"suffix":""}],"container-title":"International Journal of Physical Distribution and Logistics Management","id":"ITEM-1","issue":"1-2","issued":{"date-parts":[["2010"]]},"page":"103-123","publisher":"Emerald Group Publishing Limited","title":"Comparative analysis of the carbon footprints of conventional and online retailing: A \"last mile\" perspective","type":"article-journal","volume":"40"},"uris":["http://www.mendeley.com/documents/?uuid=c511518a-2a92-4309-9338-3dc88ef30c3b"]},{"id":"ITEM-2","itemData":{"DOI":"10.1108/IJPDLM-06-2014-0133","ISSN":"09600035","abstract":"Purpose – Given the importance of logistics operations in business-to-consumer (B2C) e-commerce and growing interest in the related environmental effects, the purpose of this paper is to offer an up-to-date literature review on the topic of B2C e-commerce environmental sustainability, specifically from a logistics perspective. Design/methodology/approach – The analysis focussed on a set of 56 papers published from 2001 to 2014 in 38 peer-reviewed international journals. The papers were analyzed and categorized according to the main features of the paper, the research method(s) adopted and the themes tackled. Findings – There is a growing interest in sustainability issues. In the last 14 years, the focus has progressively shifted from the mere identification of the wide-ranging environmental effects of e-commerce to the need for a quantitative evaluation of their impact, although much remains to be done in this regard. Some industries, such as books and grocery, have largely been addressed, however, promising sectors in the e-commerce field, such as clothing and consumer electronics, have only been considered to a certain degree. Moreover, despite the emerging role of multichannel strategies, the environmental implications of the related logistics activities have not yet been studied in detail. Originality/value – B2C e-commerce has grown in popularity, and its environmental implications are currently of key interest. This paper contributes to the understanding of the existing body of knowledge on this topic, presenting an up-to-date classification of articles and highlighting themes for further research activities. From a managerial perspective, this paper helps supply chain managers develop a clear understanding of both the logistics areas with the most impact on environmental sustainability and the KPIs used to quantify the environmental implications of e-commerce logistics operations comprehensively and effectively.","author":[{"dropping-particle":"","family":"Mangiaracina","given":"Riccardo","non-dropping-particle":"","parse-names":false,"suffix":""},{"dropping-particle":"","family":"Marchet","given":"Gino","non-dropping-particle":"","parse-names":false,"suffix":""},{"dropping-particle":"","family":"Perotti","given":"Sara","non-dropping-particle":"","parse-names":false,"suffix":""},{"dropping-particle":"","family":"Tumino","given":"Angela","non-dropping-particle":"","parse-names":false,"suffix":""}],"container-title":"International Journal of Physical Distribution and Logistics Management","id":"ITEM-2","issue":"6","issued":{"date-parts":[["2015"]]},"page":"565-591","title":"A review of the environmental implications of B2C e-commerce: a logistics perspective","type":"article-journal","volume":"45"},"uris":["http://www.mendeley.com/documents/?uuid=0abe1a40-d50b-43aa-a7ed-6c050121d284"]}],"mendeley":{"formattedCitation":"[19; 49]","plainTextFormattedCitation":"[19; 49]","previouslyFormattedCitation":"[19; 49]"},"properties":{"noteIndex":0},"schema":"https://github.com/citation-style-language/schema/raw/master/csl-citation.json"}</w:instrText>
      </w:r>
      <w:r w:rsidR="000A3492" w:rsidRPr="00B31BEB">
        <w:rPr>
          <w:rStyle w:val="FootnoteReference"/>
          <w:noProof/>
        </w:rPr>
        <w:fldChar w:fldCharType="separate"/>
      </w:r>
      <w:r w:rsidR="00F8005E" w:rsidRPr="00B31BEB">
        <w:rPr>
          <w:noProof/>
        </w:rPr>
        <w:t>[19; 49]</w:t>
      </w:r>
      <w:r w:rsidR="000A3492" w:rsidRPr="00B31BEB">
        <w:rPr>
          <w:rStyle w:val="FootnoteReference"/>
          <w:noProof/>
        </w:rPr>
        <w:fldChar w:fldCharType="end"/>
      </w:r>
      <w:r w:rsidR="009B6814" w:rsidRPr="00B31BEB">
        <w:rPr>
          <w:noProof/>
        </w:rPr>
        <w:t xml:space="preserve">, </w:t>
      </w:r>
      <w:r w:rsidRPr="00B31BEB">
        <w:rPr>
          <w:noProof/>
        </w:rPr>
        <w:t>the penetration of this knowledge to consumers remains low. We supplement the growing evidence that providing information can be an effective way of raising awareness and influencing consumers’ decision-making</w:t>
      </w:r>
      <w:r w:rsidR="000B6592"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{"citationItems":[{"id":"ITEM-1","itemData":{"DOI":"10.1016/j.elerap.2007.10.001","ISSN":"15674223","abstract":"As truly informed consumers are increasingly able to find exactly what they want and willing to pay premium prices to obtain products with perfect fit for them, companies have responded with new product portfolio strategies and new pricing strategies, based on the concepts of resonance marketing and hyperdifferentiation. This is not just consumers' pursuit of products that are better, but rather better for them. It is not trading up, but rather trading out. In this paper we offer a more complete explanation of changes in consumer behavior, based on consumers' new-found informedness, and an understanding of consumers' pursuit of products that truly meet their individual wants and needs, cravings and longings. This paper also contributes to a deeper understanding of how online reviews are linked to sales. Recent empirical studies suggest that consumers use information in different ways in different shopping experiences, and that consumers' purchasing behavior varies across different online shopping experiences; consequently, the best predictors of the success of different online products will therefore vary depending on what consumers are buying and why and how they are buying it. © 2007 Elsevier B.V. All rights reserved.","author":[{"dropping-particle":"","family":"Clemons","given":"Eric K.","non-dropping-particle":"","parse-names":false,"suffix":""},{"dropping-particle":"","family":"Gao","given":"Guodong (Gordon)","non-dropping-particle":"","parse-names":false,"suffix":""}],"container-title":"Electronic Commerce Research and Applications","id":"ITEM-1","issue":"1","issued":{"date-parts":[["2008"]]},"page":"3-17","title":"Consumer informedness and diverse consumer purchasing behaviors: Traditional mass-market, trading down, and trading out into the long tail","type":"article-journal","volume":"7"},"uris":["http://www.mendeley.com/documents/?uuid=9f46818b-0e34-4232-895c-1055c3bc0433"]},{"id":"ITEM-2","itemData":{"DOI":"10.1016/j.dss.2007.07.001","ISSN":"01679236","abstract":"Are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 © 2007 Elsevier B.V. All rights reserved.","author":[{"dropping-particle":"","family":"Kim","given":"Dan J.","non-dropping-particle":"","parse-names":false,"suffix":""},{"dropping-particle":"","family":"Ferrin","given":"Donald L.","non-dropping-particle":"","parse-names":false,"suffix":""},{"dropping-particle":"","family":"Rao","given":"H. Raghav","non-dropping-particle":"","parse-names":false,"suffix":""}],"container-title":"Decision Support Systems","id":"ITEM-2","issue":"2","issued":{"date-parts":[["2008"]]},"page":"544-564","title":"A trust-based consumer decision-making model in electronic commerce: The role of trust, perceived risk, and their antecedents","type":"article-journal","volume":"44"},"uris":["http://www.mendeley.com/documents/?uuid=c45299bb-942c-4541-b4de-ed3fbe356d97"]},{"id":"ITEM-3","itemData":{"DOI":"10.1287/isre.1090.0260","ISSN":"15265536","abstract":"Although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Research","id":"ITEM-3","issue":"2","issued":{"date-parts":[["2011"]]},"page":"254-268","title":"The effect of online privacy information on purchasing behavior: An experimental study","type":"article-journal","volume":"22"},"uris":["http://www.mendeley.com/documents/?uuid=42c2b602-9bd4-4b3b-a109-9e1df943ed87"]},{"id":"ITEM-4","itemData":{"DOI":"10.1287/isre.2014.0521","ISSN":"15265536","abstract":"Consumer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Research","id":"ITEM-4","issue":"2","issued":{"date-parts":[["2014"]]},"page":"345-363","title":"Consumer informedness and firm information strategy","type":"article-journal","volume":"25"},"uris":["http://www.mendeley.com/documents/?uuid=ac86c383-b144-4c72-ab96-c66418fd198e"]}],"mendeley":{"formattedCitation":"[10; 36; 43; 78]","plainTextFormattedCitation":"[10; 36; 43; 78]","previouslyFormattedCitation":"[10; 36; 43; 78]"},"properties":{"noteIndex":0},"schema":"https://github.com/citation-style-language/schema/raw/master/csl-citation.json"}</w:instrText>
      </w:r>
      <w:r w:rsidR="000A3492" w:rsidRPr="00B31BEB">
        <w:rPr>
          <w:rStyle w:val="FootnoteReference"/>
          <w:noProof/>
        </w:rPr>
        <w:fldChar w:fldCharType="separate"/>
      </w:r>
      <w:r w:rsidR="00F8005E" w:rsidRPr="00B31BEB">
        <w:rPr>
          <w:noProof/>
        </w:rPr>
        <w:t>[10; 36; 43; 78]</w:t>
      </w:r>
      <w:r w:rsidR="000A3492" w:rsidRPr="00B31BEB">
        <w:rPr>
          <w:rStyle w:val="FootnoteReference"/>
          <w:noProof/>
        </w:rPr>
        <w:fldChar w:fldCharType="end"/>
      </w:r>
      <w:r w:rsidRPr="00B31BEB">
        <w:rPr>
          <w:noProof/>
        </w:rPr>
        <w:t>. Explaining the environmental impacts of long-distance product deliveries significantly improved the keenness of respondents who were initially indifferent. Pro-environmental consumers were also more likely to account for the distance attribute after provision of information.</w:t>
      </w:r>
    </w:p>
    <w:p w:rsidR="004C6D2C" w:rsidRPr="00B31BEB" w:rsidRDefault="004C6D2C" w:rsidP="004C6D2C">
      <w:pPr>
        <w:pStyle w:val="Heading2"/>
      </w:pPr>
      <w:r w:rsidRPr="00B31BEB">
        <w:t>Theoretical and methodological implications</w:t>
      </w:r>
    </w:p>
    <w:p w:rsidR="004C6D2C" w:rsidRPr="00B31BEB" w:rsidRDefault="004C6D2C" w:rsidP="004C6D2C">
      <w:pPr>
        <w:tabs>
          <w:tab w:val="center" w:pos="4800"/>
          <w:tab w:val="right" w:pos="9500"/>
        </w:tabs>
        <w:ind w:firstLine="720"/>
        <w:rPr>
          <w:noProof/>
        </w:rPr>
      </w:pPr>
      <w:r w:rsidRPr="00B31BEB">
        <w:rPr>
          <w:noProof/>
        </w:rPr>
        <w:t xml:space="preserve">This research makes theoretical and methodological contributions to the choice experiments field. First, the study augments the growing literature on the strategic use of information to influence respondents’ choices </w:t>
      </w:r>
      <w:r w:rsidRPr="00B31BEB">
        <w:rPr>
          <w:rStyle w:val="FootnoteReference"/>
          <w:noProof/>
        </w:rPr>
        <w:fldChar w:fldCharType="begin" w:fldLock="1"/>
      </w:r>
      <w:r w:rsidR="00E23587" w:rsidRPr="00B31BEB">
        <w:rPr>
          <w:noProof/>
        </w:rPr>
        <w:instrText>ADDIN CSL_CITATION {"citationItems":[{"id":"ITEM-1","itemData":{"DOI":"10.2753/MIS0742-1222250202","ISSN":"07421222","abstract":"Information availability has increased consumers' informedness, the degree to which they know what is available in the marketplace, with precisely which attributes and at precisely what price. This informedness has altered the demand side of market behavior: customers now discount more heavily when comparable products are available from competitors and when products do not meet their wants, needs, cravings, and longings, but they no longer discount as heavily when purchasing unfamiliar products. Changes in the demand side are producing comparable changes in the supply side: firms earn less than their expectations when competing in traditional mass-market fat spots, while earning far more than previously when entering newly created resonance marketing sweet spots. We trace the impact of hyperdifferentiation and resonance marketing on strategy, with a clear progression from a limited number of fat spots, through reliance on line extensions, and ultimately to fully differentiated market sweet spots. © 2008 M.E. Sharpe, Inc.","author":[{"dropping-particle":"","family":"Clemons","given":"Eric K.","non-dropping-particle":"","parse-names":false,"suffix":""}],"container-title":"Journal of Management Information Systems","id":"ITEM-1","issue":"2","issued":{"date-parts":[["2008"]]},"page":"13-40","title":"How information changes consumer behavior and how consumer behavior determines corporate strategy","type":"article-journal","volume":"25"},"uris":["http://www.mendeley.com/documents/?uuid=3b6772c6-2418-4f92-927e-228a535f35fd"]},{"id":"ITEM-2","itemData":{"DOI":"10.1287/isre.2014.0521","ISSN":"15265536","abstract":"Consumer informedness plays a critical role in determining consumer choice in the presence of information technology deployed by competing firms in the marketplace. This paper develops a new theory of consumer informedness. Using data collected through a series of stated choice experiments in two different research contexts, we examine how consumer characteristics and observed behaviors moderate the influence of price and product informedness on consumer choice. The results indicate that different types of consumer informedness amplify different consumer behaviors in specific consumer segments. In particular, we found that price informedness is more influential among consumers in the commodity segment. They exhibit greater trading down behavior, which represents stronger preferences for choosing the products that provide the best price. In contrast, product informedness is more influential among consumers in the differentiated segment. This group exhibits greater trading out behavior, involving stronger preferences for choosing products that best suit their specific needs. These results suggest that firm information strategy should take into account consumers' characteristics, their past observed behaviors, and the impact of consumer informedness. We also discuss the theoretical contributions of this research and its broader implications for firm-level information strategy. © 2014 INFORMS.","author":[{"dropping-particle":"","family":"Li","given":"Ting","non-dropping-particle":"","parse-names":false,"suffix":""},{"dropping-particle":"","family":"Kauffman","given":"Robert J.","non-dropping-particle":"","parse-names":false,"suffix":""},{"dropping-particle":"","family":"Heck","given":"Eric","non-dropping-particle":"van","parse-names":false,"suffix":""},{"dropping-particle":"","family":"Vervest","given":"Peter","non-dropping-particle":"","parse-names":false,"suffix":""},{"dropping-particle":"","family":"Dellaert","given":"Benedict G.C.","non-dropping-particle":"","parse-names":false,"suffix":""}],"container-title":"Information Systems Research","id":"ITEM-2","issue":"2","issued":{"date-parts":[["2014"]]},"page":"345-363","title":"Consumer informedness and firm information strategy","type":"article-journal","volume":"25"},"uris":["http://www.mendeley.com/documents/?uuid=ac86c383-b144-4c72-ab96-c66418fd198e"]},{"id":"ITEM-3","itemData":{"DOI":"10.1287/isre.1090.0260","ISSN":"15265536","abstract":"Although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 leverage privacy protection as a selling point. © 2011 INFORMS.","author":[{"dropping-particle":"","family":"Tsai","given":"Janice Y.","non-dropping-particle":"","parse-names":false,"suffix":""},{"dropping-particle":"","family":"Egelman","given":"Serge","non-dropping-particle":"","parse-names":false,"suffix":""},{"dropping-particle":"","family":"Cranor","given":"Lorrie","non-dropping-particle":"","parse-names":false,"suffix":""},{"dropping-particle":"","family":"Acquisti","given":"Alessandro","non-dropping-particle":"","parse-names":false,"suffix":""}],"container-title":"Information Systems Research","id":"ITEM-3","issue":"2","issued":{"date-parts":[["2011"]]},"page":"254-268","title":"The effect of online privacy information on purchasing behavior: An experimental study","type":"article-journal","volume":"22"},"uris":["http://www.mendeley.com/documents/?uuid=42c2b602-9bd4-4b3b-a109-9e1df943ed87"]},{"id":"ITEM-4","itemData":{"DOI":"10.1016/j.foodpol.2013.01.006","ISSN":"03069192","abstract":"We investigate how the provision of objective information about the environmental and health impact of organic labels by policy makers can influence the willingness-to-pay of consumers for labeled organic apples in Flanders (Belgium). Using a stated choice experiment, we initially find that Flemish consumers are willing to pay a positive price premium of some 33 eurocent per kilogram for labeled organic apples. After the provision of information on the actual environmental and health effects of organic apple production, this price premium becomes even more pronounced and increases to 57 eurocent per kilogram. Using a conditional logit model with covariates and a mixed logit model, we find evidence of preference heterogeneity. Also, the effect of information provision is more pronounced for certain groups of consumers such as non-vegetarians, infrequent buyers of organic products and members of a nature protection organization. As such, this paper illustrates that there is a role for policy makers and CSR producers in providing more accurate and reliable information about socially responsible production processes. Moreover, it is important to take the observed preference heterogeneity into account and tailor policies to specific consumer groups. © 2013 Elsevier Ltd.","author":[{"dropping-particle":"","family":"Rousseau","given":"Sandra","non-dropping-particle":"","parse-names":false,"suffix":""},{"dropping-particle":"","family":"Vranken","given":"Liesbet","non-dropping-particle":"","parse-names":false,"suffix":""}],"container-title":"Food Policy","id":"ITEM-4","issued":{"date-parts":[["2013"]]},"page":"31-43","title":"Green market expansion by reducing information asymmetries: Evidence for labeled organic food products","type":"article-journal","volume":"40"},"uris":["http://www.mendeley.com/documents/?uuid=65353283-cbff-49f5-970f-84f9820b38a2"]}],"mendeley":{"formattedCitation":"[9; 43; 67; 78]","plainTextFormattedCitation":"[9; 43; 67; 78]","previouslyFormattedCitation":"[9; 43; 67; 78]"},"properties":{"noteIndex":0},"schema":"https://github.com/citation-style-language/schema/raw/master/csl-citation.json"}</w:instrText>
      </w:r>
      <w:r w:rsidRPr="00B31BEB">
        <w:rPr>
          <w:rStyle w:val="FootnoteReference"/>
          <w:noProof/>
        </w:rPr>
        <w:fldChar w:fldCharType="separate"/>
      </w:r>
      <w:r w:rsidR="00F8005E" w:rsidRPr="00B31BEB">
        <w:rPr>
          <w:noProof/>
        </w:rPr>
        <w:t>[9; 43; 67; 78]</w:t>
      </w:r>
      <w:r w:rsidRPr="00B31BEB">
        <w:rPr>
          <w:rStyle w:val="FootnoteReference"/>
          <w:noProof/>
        </w:rPr>
        <w:fldChar w:fldCharType="end"/>
      </w:r>
      <w:r w:rsidRPr="00B31BEB">
        <w:rPr>
          <w:noProof/>
        </w:rPr>
        <w:t xml:space="preserve">. While informed decision-makers make more astute choices, it is the mechanism used to model the information impact that most interests us. Existing studies view the effects of providing information as restricted to preference parameter changes. We provide evidence that assessing the effects of information through changes in attributes’ attention may represent the respondents’ behavioral changes in a better way. </w:t>
      </w:r>
    </w:p>
    <w:p w:rsidR="004C6D2C" w:rsidRPr="00B31BEB" w:rsidRDefault="004C6D2C" w:rsidP="004C6D2C">
      <w:pPr>
        <w:tabs>
          <w:tab w:val="center" w:pos="4800"/>
          <w:tab w:val="right" w:pos="9500"/>
        </w:tabs>
        <w:ind w:firstLine="720"/>
        <w:rPr>
          <w:noProof/>
        </w:rPr>
      </w:pPr>
      <w:r w:rsidRPr="00B31BEB">
        <w:rPr>
          <w:noProof/>
        </w:rPr>
        <w:t xml:space="preserve">Second, we make a methodological contribution through the implementation of a dynamic attribute non-attendance model. Attribute non-attendance has often been modelled as a </w:t>
      </w:r>
      <w:r w:rsidRPr="00B31BEB">
        <w:rPr>
          <w:i/>
          <w:iCs/>
          <w:noProof/>
        </w:rPr>
        <w:t>static</w:t>
      </w:r>
      <w:r w:rsidRPr="00B31BEB">
        <w:rPr>
          <w:noProof/>
        </w:rPr>
        <w:t xml:space="preserve"> process. That is, regardless of the prevailing experimental conditions, consumers are assumed to belong to a single state. However, changes in ANA behavior can be expected in some cases: e.g., longitudinal experiments, where </w:t>
      </w:r>
      <w:r w:rsidRPr="00B31BEB">
        <w:rPr>
          <w:noProof/>
        </w:rPr>
        <w:lastRenderedPageBreak/>
        <w:t>behavior-changing information on key attributes becomes available, consumers’ learning and/or fatigue in lengthy experiments. Therefore, there is a need to appropriately model changes in attribute attendance behaviors.</w:t>
      </w:r>
    </w:p>
    <w:p w:rsidR="004C6D2C" w:rsidRPr="00B31BEB" w:rsidRDefault="004C6D2C">
      <w:pPr>
        <w:tabs>
          <w:tab w:val="center" w:pos="4800"/>
          <w:tab w:val="right" w:pos="9500"/>
        </w:tabs>
        <w:ind w:firstLine="720"/>
        <w:rPr>
          <w:noProof/>
        </w:rPr>
      </w:pPr>
      <w:r w:rsidRPr="00B31BEB">
        <w:rPr>
          <w:noProof/>
        </w:rPr>
        <w:t xml:space="preserve">The more standard way of handling additional information in a choice experiment is to include interaction terms between dummy variables indicating presence of information and the attributes. Significance of the interaction terms then implies that the information leads to changes in the preference parameters. However, as we show in this article, an alternative to assessing the information impact is by evaluating attribute attendance behavior changes. Our results show that determining the information impact by estimating shifts in attribute attendance behavior provides a better model fit than modelling shifts in attribute coefficients. From Tables 7 and 8, while two-thirds of the interactions in the </w:t>
      </w:r>
      <w:r w:rsidRPr="00B31BEB">
        <w:rPr>
          <w:i/>
          <w:iCs/>
          <w:noProof/>
        </w:rPr>
        <w:t>static</w:t>
      </w:r>
      <w:r w:rsidRPr="00B31BEB">
        <w:rPr>
          <w:noProof/>
        </w:rPr>
        <w:t xml:space="preserve"> ANA model were not significant, the changing ANA model provided significant transition probability changes. Additionally, marginal differences in coefficient estimates were observed, albeit with similar conclusions. </w:t>
      </w:r>
    </w:p>
    <w:p w:rsidR="008D4645" w:rsidRPr="00B31BEB" w:rsidRDefault="007B4452" w:rsidP="007B4452">
      <w:pPr>
        <w:pStyle w:val="Heading2"/>
      </w:pPr>
      <w:r w:rsidRPr="00B31BEB">
        <w:t>Managerial and policy implications</w:t>
      </w:r>
    </w:p>
    <w:p w:rsidR="009471F6" w:rsidRPr="00B31BEB" w:rsidRDefault="009471F6" w:rsidP="00A03897">
      <w:pPr>
        <w:tabs>
          <w:tab w:val="center" w:pos="4800"/>
          <w:tab w:val="right" w:pos="9500"/>
        </w:tabs>
        <w:ind w:firstLine="720"/>
        <w:rPr>
          <w:noProof/>
        </w:rPr>
      </w:pPr>
      <w:r w:rsidRPr="00B31BEB">
        <w:rPr>
          <w:noProof/>
        </w:rPr>
        <w:t xml:space="preserve">Results from this sample suggest that attributes with the highest impact on consumers’ webshop choices were: presence of trustmarks, </w:t>
      </w:r>
      <w:r w:rsidR="00333433" w:rsidRPr="00B31BEB">
        <w:rPr>
          <w:noProof/>
        </w:rPr>
        <w:t xml:space="preserve">Belgian </w:t>
      </w:r>
      <w:r w:rsidRPr="00B31BEB">
        <w:rPr>
          <w:noProof/>
        </w:rPr>
        <w:t xml:space="preserve">headquarters, free return services and shipment distance. Therefore, to attract and retain e-consumers, webshop managers and e-commerce marketeers need to consider guaranteeing trust through payments and data security, contribution to domestic economies, provision of free item returns and environmental-friendliness as key differentials. Similarly, to ensure that all citizens are on board for the success of EU’s Digital Single Market, it is essential that policy makers address concerns from pro-domestic e-consumers driven by economic concerns. Given that the distance (and partly, headquarter) attribute(s) </w:t>
      </w:r>
      <w:r w:rsidRPr="00B31BEB">
        <w:rPr>
          <w:noProof/>
        </w:rPr>
        <w:lastRenderedPageBreak/>
        <w:t xml:space="preserve">provide tacit environmental concerns, these results recommend e-commerce’s development and policy making to be environmentally-conscious. </w:t>
      </w:r>
    </w:p>
    <w:p w:rsidR="009471F6" w:rsidRPr="00B31BEB" w:rsidRDefault="009471F6" w:rsidP="00A03897">
      <w:pPr>
        <w:tabs>
          <w:tab w:val="center" w:pos="4800"/>
          <w:tab w:val="right" w:pos="9500"/>
        </w:tabs>
        <w:ind w:firstLine="720"/>
        <w:rPr>
          <w:noProof/>
        </w:rPr>
      </w:pPr>
      <w:r w:rsidRPr="00B31BEB">
        <w:rPr>
          <w:noProof/>
        </w:rPr>
        <w:t>Attribute attendance in this sample, like in many choice behavior studies, was low. Previous studies show that limited knowledge is a leading barrier to the acceptance of (cross-border) e-commerce as well as pro-environmental choice behaviors. In the current study, we find that providing information on important attributes changed e-customers’ attribute attendance behavior. Thus, for webshop marketeers, environmental and digital single market policy makers to realize their objectives, there is a need to continuously provide key information to potential consumers. This can be done via consumer awareness forums, advertisements and prominently displaying strength characteristics on webshops.</w:t>
      </w:r>
    </w:p>
    <w:p w:rsidR="009471F6" w:rsidRPr="00B31BEB" w:rsidRDefault="009471F6" w:rsidP="00A03897">
      <w:pPr>
        <w:tabs>
          <w:tab w:val="center" w:pos="4800"/>
          <w:tab w:val="right" w:pos="9500"/>
        </w:tabs>
        <w:ind w:firstLine="720"/>
        <w:rPr>
          <w:noProof/>
        </w:rPr>
      </w:pPr>
      <w:r w:rsidRPr="00B31BEB">
        <w:rPr>
          <w:noProof/>
        </w:rPr>
        <w:t xml:space="preserve">Our findings also suggest that e-consumers’ perception, attention and reaction to information on attributes depended on their age and environmental and nationalistic attitudes. To address the trust challenges in e-commerce, policy leaders need, beyond providing information on trust, to satisfy the innate trust concerns from the older generation. Our results also show that older and nationalistic consumers were keener on domestic e-shopping. Thus, to promote cross-border e-commerce, these groups of consumers will require more persuasion. Similarly, environmentally-conscious consumers were more likely to attend to the shipment distance attribute after provision of information. This result shows that more informed consumers were more receptive of e-businesses that are environmentally-friendly. On a broader scale, the significance of age and attitudinal factors imply that e-commerce marketing strategies should be conscious of extant consumer heterogeneity. </w:t>
      </w:r>
    </w:p>
    <w:p w:rsidR="00303246" w:rsidRPr="00B31BEB" w:rsidRDefault="0056184E" w:rsidP="00303246">
      <w:pPr>
        <w:pStyle w:val="Heading2"/>
      </w:pPr>
      <w:r w:rsidRPr="00B31BEB">
        <w:lastRenderedPageBreak/>
        <w:t>Limitations and future research</w:t>
      </w:r>
    </w:p>
    <w:p w:rsidR="002D403A" w:rsidRDefault="001813BA" w:rsidP="002D403A">
      <w:pPr>
        <w:tabs>
          <w:tab w:val="center" w:pos="4800"/>
          <w:tab w:val="right" w:pos="9500"/>
        </w:tabs>
        <w:ind w:firstLine="720"/>
        <w:rPr>
          <w:noProof/>
        </w:rPr>
      </w:pPr>
      <w:r w:rsidRPr="00B31BEB">
        <w:rPr>
          <w:noProof/>
        </w:rPr>
        <w:t>There remain</w:t>
      </w:r>
      <w:r w:rsidR="00A60D2A" w:rsidRPr="00B31BEB">
        <w:rPr>
          <w:noProof/>
        </w:rPr>
        <w:t xml:space="preserve"> substantial gaps for future studies relating to this work. First, information was provided on three webshop attributes concerning trust, preference for local webshops and sustainability in e-commerce. As can be expected, these are not the only attributes and thematic areas where more information to consumers may be needed. We encourage future research to explore more attributes touching on </w:t>
      </w:r>
      <w:r w:rsidR="00993A97" w:rsidRPr="00B31BEB">
        <w:rPr>
          <w:noProof/>
        </w:rPr>
        <w:t>diverse</w:t>
      </w:r>
      <w:r w:rsidR="00A60D2A" w:rsidRPr="00B31BEB">
        <w:rPr>
          <w:noProof/>
        </w:rPr>
        <w:t xml:space="preserve"> themes in e-commerce and in other areas of study. Second, we provided additional information on attributes mid-way through the experiment. This effectively divided the choice sets into two blocks; a block of six choice sets each before and after the information. Thus, investigation of changes in attribute attendance was only done in the second block of choice sets. However, changes in attribute attendance behavior can occur in each choice set throughout the experiment. While </w:t>
      </w:r>
      <w:r w:rsidR="00A60D2A" w:rsidRPr="00B31BEB">
        <w:rPr>
          <w:i/>
          <w:iCs/>
          <w:noProof/>
        </w:rPr>
        <w:t>choice task stated</w:t>
      </w:r>
      <w:r w:rsidR="00A60D2A" w:rsidRPr="00B31BEB">
        <w:rPr>
          <w:noProof/>
        </w:rPr>
        <w:t xml:space="preserve"> ANA studies exist</w:t>
      </w:r>
      <w:r w:rsidR="00D81354"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{"citationItems":[{"id":"ITEM-1","itemData":{"DOI":"10.3368/le.86.4.817","ISSN":"00237639","abstract":"Land management in Alpine parks provides multifunctional services to separate groups of users. Choice experiments can be used to derive estimates of value for different management attributes. However, little research has been conducted on how frequently respondents ignore attributes used to describe policy management scenarios. We fill this gap using an approach that identifies and compares both serial and choice task attribute nonattendance addressing five different visitor types. Our results indicate that accounting for choice task nonattendance significantly improves model fit and yield estimates of marginal willingness to pay with a more plausible pattern of signs and greater efficiency. © 2010 by the Board of Regents of the University of Wisconsin System.","author":[{"dropping-particle":"","family":"Scarpa","given":"Riccardo","non-dropping-particle":"","parse-names":false,"suffix":""},{"dropping-particle":"","family":"Thiene","given":"Mara","non-dropping-particle":"","parse-names":false,"suffix":""},{"dropping-particle":"","family":"Hensher","given":"David A.","non-dropping-particle":"","parse-names":false,"suffix":""}],"container-title":"Land Economics","id":"ITEM-1","issue":"4","issued":{"date-parts":[["2010"]]},"page":"817-839","title":"Monitoring choice task attribute attendance in nonmarket valuation of multiple park management services: Does it matter?","type":"article-journal","volume":"86"},"uris":["http://www.mendeley.com/documents/?uuid=689ae8e6-abb6-4728-8063-1a6d9081df77"]},{"id":"ITEM-2","itemData":{"DOI":"10.1111/1477-9552.12246","ISSN":"14779552","abstract":"A number of choice experiment (CE) studies have shown that survey respondents employ heuristics such as attribute non-attendance (ANA) while evaluating food products. This paper addresses a set of related methodological questions using empirical consumer data from a CE on poultry meat with sustainability labels. First, it assesses whether there are differences in terms of marginal willingness to pay estimates between the two most common ways of collecting stated ANA (serial and choice task level). Second, it validates the self-reported ANA behaviour across both approaches. Third, it explores the concordance of stated methods with that of the inferred method. Results show that WTP estimates from serial-level data differ from those from choice task-level data. Also, self-reported measures on choice task ANA are found to be more congruent with model estimates than those for serial ANA, as well as with inferred ANA.","author":[{"dropping-particle":"","family":"Caputo","given":"Vincenzina","non-dropping-particle":"","parse-names":false,"suffix":""},{"dropping-particle":"","family":"Loo","given":"Ellen J.","non-dropping-particle":"Van","parse-names":false,"suffix":""},{"dropping-particle":"","family":"Scarpa","given":"Riccardo","non-dropping-particle":"","parse-names":false,"suffix":""},{"dropping-particle":"","family":"Nayga","given":"Rodolfo M.","non-dropping-particle":"","parse-names":false,"suffix":""},{"dropping-particle":"","family":"Verbeke","given":"Wim","non-dropping-particle":"","parse-names":false,"suffix":""}],"container-title":"Journal of Agricultural Economics","id":"ITEM-2","issue":"1","issued":{"date-parts":[["2018"]]},"page":"35-57","title":"Comparing Serial, and Choice Task Stated and Inferred Attribute Non-Attendance Methods in Food Choice Experiments","type":"article-journal","volume":"69"},"uris":["http://www.mendeley.com/documents/?uuid=07970be0-22c1-4cc6-acca-a31579711c5d"]}],"mendeley":{"formattedCitation":"[4; 72]","plainTextFormattedCitation":"[4; 72]","previouslyFormattedCitation":"[4; 72]"},"properties":{"noteIndex":0},"schema":"https://github.com/citation-style-language/schema/raw/master/csl-citation.json"}</w:instrText>
      </w:r>
      <w:r w:rsidR="000A3492" w:rsidRPr="00B31BEB">
        <w:rPr>
          <w:rStyle w:val="FootnoteReference"/>
          <w:noProof/>
        </w:rPr>
        <w:fldChar w:fldCharType="separate"/>
      </w:r>
      <w:r w:rsidR="00F8005E" w:rsidRPr="00B31BEB">
        <w:rPr>
          <w:noProof/>
        </w:rPr>
        <w:t>[4; 72]</w:t>
      </w:r>
      <w:r w:rsidR="000A3492" w:rsidRPr="00B31BEB">
        <w:rPr>
          <w:rStyle w:val="FootnoteReference"/>
          <w:noProof/>
        </w:rPr>
        <w:fldChar w:fldCharType="end"/>
      </w:r>
      <w:r w:rsidR="00A60D2A" w:rsidRPr="00B31BEB">
        <w:rPr>
          <w:noProof/>
        </w:rPr>
        <w:t xml:space="preserve">, to our knowledge, their inferred counterparts do not. The approach proposed in this article can be tailored for </w:t>
      </w:r>
      <w:r w:rsidR="00A60D2A" w:rsidRPr="00B31BEB">
        <w:rPr>
          <w:i/>
          <w:iCs/>
          <w:noProof/>
        </w:rPr>
        <w:t>choice task inferred</w:t>
      </w:r>
      <w:r w:rsidR="00A60D2A" w:rsidRPr="00B31BEB">
        <w:rPr>
          <w:noProof/>
        </w:rPr>
        <w:t xml:space="preserve"> ANA by assuming that changes occur in every choice task. The </w:t>
      </w:r>
      <w:r w:rsidR="00A60D2A" w:rsidRPr="00B31BEB">
        <w:rPr>
          <w:i/>
          <w:iCs/>
          <w:noProof/>
        </w:rPr>
        <w:t>choice task inferred</w:t>
      </w:r>
      <w:r w:rsidR="00A60D2A" w:rsidRPr="00B31BEB">
        <w:rPr>
          <w:noProof/>
        </w:rPr>
        <w:t xml:space="preserve"> ANA can be a useful tool to investigate consumers’ learning and fatigue effects</w:t>
      </w:r>
      <w:r w:rsidR="004634E1" w:rsidRPr="00B31BEB">
        <w:rPr>
          <w:noProof/>
        </w:rPr>
        <w:t xml:space="preserve"> </w:t>
      </w:r>
      <w:r w:rsidR="000A3492" w:rsidRPr="00B31BEB">
        <w:rPr>
          <w:rStyle w:val="FootnoteReference"/>
          <w:noProof/>
        </w:rPr>
        <w:fldChar w:fldCharType="begin" w:fldLock="1"/>
      </w:r>
      <w:r w:rsidR="00B8448F" w:rsidRPr="00B31BEB">
        <w:rPr>
          <w:noProof/>
        </w:rPr>
        <w:instrText>ADDIN CSL_CITATION {"citationItems":[{"id":"ITEM-1","itemData":{"DOI":"10.3368/le.90.2.324","ISSN":"00237639","abstract":"Using multiple choice tasks per respondent in discrete choice experiment studies increases the amount of available information. However, respondents' learning and fatigue may lead to changes in observed utility function preference (taste) parameters, as well as the variance in its error term (scale); they need to be controlled to avoid potential bias. A sizable body of empirical research offers mixed evidence in terms of whether these ordering effects are observed. We point to a significant component in explaining these differences; we show how accounting for unobservable preference and scale heterogeneity can influence the magnitude of observed ordering effects. © 2014 by the Board of Regents of the University of Wisconsin System.","author":[{"dropping-particle":"","family":"Czajkowski","given":"Mikolaj","non-dropping-particle":"","parse-names":false,"suffix":""},{"dropping-particle":"","family":"Giergiczny","given":"Marek","non-dropping-particle":"","parse-names":false,"suffix":""},{"dropping-particle":"","family":"Greene","given":"William H.","non-dropping-particle":"","parse-names":false,"suffix":""}],"container-title":"Land Economics","id":"ITEM-1","issue":"2","issued":{"date-parts":[["2014"]]},"page":"324-351","title":"Learning and fatigue effects revisited: Investigating the effects of accounting for unobservable preference and scale heterogeneity","type":"article-journal","volume":"90"},"uris":["http://www.mendeley.com/documents/?uuid=efba2ac6-e545-4cc5-b847-49b085755a3a"]}],"mendeley":{"formattedCitation":"[15]","plainTextFormattedCitation":"[15]","previouslyFormattedCitation":"[15]"},"properties":{"noteIndex":0},"schema":"https://github.com/citation-style-language/schema/raw/master/csl-citation.json"}</w:instrText>
      </w:r>
      <w:r w:rsidR="000A3492" w:rsidRPr="00B31BEB">
        <w:rPr>
          <w:rStyle w:val="FootnoteReference"/>
          <w:noProof/>
        </w:rPr>
        <w:fldChar w:fldCharType="separate"/>
      </w:r>
      <w:r w:rsidR="00102417" w:rsidRPr="00B31BEB">
        <w:rPr>
          <w:noProof/>
        </w:rPr>
        <w:t>[15]</w:t>
      </w:r>
      <w:r w:rsidR="000A3492" w:rsidRPr="00B31BEB">
        <w:rPr>
          <w:rStyle w:val="FootnoteReference"/>
          <w:noProof/>
        </w:rPr>
        <w:fldChar w:fldCharType="end"/>
      </w:r>
      <w:r w:rsidR="004634E1" w:rsidRPr="00B31BEB">
        <w:rPr>
          <w:noProof/>
        </w:rPr>
        <w:t xml:space="preserve"> </w:t>
      </w:r>
      <w:r w:rsidR="00A60D2A" w:rsidRPr="00B31BEB">
        <w:rPr>
          <w:noProof/>
        </w:rPr>
        <w:t xml:space="preserve">especially in lengthy experiments. </w:t>
      </w:r>
    </w:p>
    <w:p w:rsidR="005C0530" w:rsidRPr="00B31BEB" w:rsidRDefault="00A60D2A" w:rsidP="002D403A">
      <w:pPr>
        <w:tabs>
          <w:tab w:val="center" w:pos="4800"/>
          <w:tab w:val="right" w:pos="9500"/>
        </w:tabs>
        <w:ind w:firstLine="720"/>
        <w:rPr>
          <w:noProof/>
        </w:rPr>
      </w:pPr>
      <w:r w:rsidRPr="00B31BEB">
        <w:rPr>
          <w:noProof/>
        </w:rPr>
        <w:t>Third, while a multinomial logit kernel was used, other models that allow greater flexibility and heterogeneity e.g., mixed multinomial models could be used. Allowing for preference heterogeneity can provide more reliable attendance probabilities</w:t>
      </w:r>
      <w:r w:rsidR="00B43F3F"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{"citationItems":[{"id":"ITEM-1","itemData":{"DOI":"10.1007/s11116-012-9438-1","ISSN":"00494488","abstract":"With the growing interest in the topic of attribute non-attendance, there is now widespread use of latent class (LC) structures aimed at capturing such behaviour, across a number of different fields. Specifically, these studies rely on a confirmatory LC model, using two separate values for each coefficient, one of which is fixed to zero while the other is estimated, and then use the obtained class probabilities as an indication of the degree of attribute non-attendance. In the present paper, we argue that this approach is in fact misguided, and that the results are likely to be affected by confounding with regular taste heterogeneity. We contrast the confirmatory model with an exploratory LC structure in which the values in both classes are estimated. We also put forward a combined latent class mixed logit model (LC-MMNL) which allows jointly for attribute non-attendance and for continuous taste heterogeneity. Across three separate case studies, the exploratory LC model clearly rejects the confirmatory LC approach and suggests that rates of non-attendance may be much lower than what is suggested by the standard model, or even zero. The combined LC-MMNL model similarly produces significant improvements in model fit, along with substantial reductions in the implied rate of attribute non-attendance, in some cases even eliminating the phenomena across the sample population. Our results thus call for a reappraisal of the large body of recent work that has implied high rates of attribute non-attendance for some attributes. Finally, we also highlight a number of general issues with attribute non-attendance, in particular relating to the computation of willingness to pay measures. © 2012 Springer Science+Business Media, LLC.","author":[{"dropping-particle":"","family":"Hess","given":"Stephane","non-dropping-particle":"","parse-names":false,"suffix":""},{"dropping-particle":"","family":"Stathopoulos","given":"Amanda","non-dropping-particle":"","parse-names":false,"suffix":""},{"dropping-particle":"","family":"Campbell","given":"Danny","non-dropping-particle":"","parse-names":false,"suffix":""},{"dropping-particle":"","family":"O'Neill","given":"Vikki","non-dropping-particle":"","parse-names":false,"suffix":""},{"dropping-particle":"","family":"Caussade","given":"Sebastian","non-dropping-particle":"","parse-names":false,"suffix":""}],"container-title":"Transportation","id":"ITEM-1","issue":"3","issued":{"date-parts":[["2013"]]},"page":"583-607","title":"It's not that I don't care, I just don't care very much: Confounding between attribute non-attendance and taste heterogeneity","type":"article-journal","volume":"40"},"uris":["http://www.mendeley.com/documents/?uuid=24bd8dc7-9856-4683-87f8-035739244fd6"]},{"id":"ITEM-2","itemData":{"DOI":"10.1016/j.jebo.2013.09.009","ISSN":"01672681","abstract":"It is increasingly recognised that respondents to choice experiments employ heuristics such as attribute non-attendance (ANA) to simplify the choice tasks. This paper develops an econometric model which incorporates preference heterogeneity among respondents and allows the probability of non-attendance to depend on the respondents' stated non-attendance. We find evidence that stated ANA is a useful indicator of the prevalence of non-attendance in the data. Contrary to previous papers in the literature we find that estimates of marginal rates of substitution derived from models which account for ANA are similar to the standard logit estimates. © 2013 Elsevier B.V.","author":[{"dropping-particle":"","family":"Hole","given":"Arne Risa","non-dropping-particle":"","parse-names":false,"suffix":""},{"dropping-particle":"","family":"Kolstad","given":"Julie Riise","non-dropping-particle":"","parse-names":false,"suffix":""},{"dropping-particle":"","family":"Gyrd-Hansen","given":"Dorte","non-dropping-particle":"","parse-names":false,"suffix":""}],"container-title":"Journal of Economic Behavior and Organization","id":"ITEM-2","issued":{"date-parts":[["2013"]]},"page":"21-31","title":"Inferred vs. stated attribute non-attendance in choice experiments: A study of doctors' prescription behaviour","type":"article-journal","volume":"96"},"uris":["http://www.mendeley.com/documents/?uuid=fd93371c-7f72-46e5-9e36-3ec0e9e67bc0"]}],"mendeley":{"formattedCitation":"[29; 32]","plainTextFormattedCitation":"[29; 32]","previouslyFormattedCitation":"[29; 32]"},"properties":{"noteIndex":0},"schema":"https://github.com/citation-style-language/schema/raw/master/csl-citation.json"}</w:instrText>
      </w:r>
      <w:r w:rsidR="000A3492" w:rsidRPr="00B31BEB">
        <w:rPr>
          <w:rStyle w:val="FootnoteReference"/>
          <w:noProof/>
        </w:rPr>
        <w:fldChar w:fldCharType="separate"/>
      </w:r>
      <w:r w:rsidR="00F8005E" w:rsidRPr="00B31BEB">
        <w:rPr>
          <w:noProof/>
        </w:rPr>
        <w:t>[29; 32]</w:t>
      </w:r>
      <w:r w:rsidR="000A3492" w:rsidRPr="00B31BEB">
        <w:rPr>
          <w:rStyle w:val="FootnoteReference"/>
          <w:noProof/>
        </w:rPr>
        <w:fldChar w:fldCharType="end"/>
      </w:r>
      <w:r w:rsidRPr="00B31BEB">
        <w:rPr>
          <w:noProof/>
        </w:rPr>
        <w:t>. These extensions, which are conceptually straightforward, are left for future research. Fourth, e-consumers are known to visit multiple sites before choosing webshops for their e-purchases</w:t>
      </w:r>
      <w:r w:rsidR="00752629"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{"citationItems":[{"id":"ITEM-1","itemData":{"DOI":"10.1287/isre.13.3.255.78","ISSN":"10477047","abstract":"The ability to retain and lock in customers in the face of competition is a major concern for online businesses, especially those that invest heavily in advertising and customer acquisition. In this paper, we develop and implement an approach for measuring the magnitudes of switching costs and brand loyalty for online service providers based on the random utility modeling framework. We then examine how systems usage, service design, and other firmand individual-level factors affect switching and retention. Using data on the online brokerage industry, we find significant variation (as much as a factor of two) in measured switching costs. We find that customer demographic characteristics have little effect on switching, but that systems usage measures and systems quality are associated with reduced switching. We also find that firm characteristics such as product line breadth and quality reduce switching and may also reduce customer attrition. Overall, we conclude that online brokerage firms appear to have different abilities in retaining customers and have considerable control over their switching costs.","author":[{"dropping-particle":"","family":"Chen","given":"Pei Yu","non-dropping-particle":"","parse-names":false,"suffix":""},{"dropping-particle":"","family":"Hitt","given":"Lorin M.","non-dropping-particle":"","parse-names":false,"suffix":""}],"container-title":"Information Systems Research","id":"ITEM-1","issue":"3","issued":{"date-parts":[["2002"]]},"page":"255-274","title":"Measuring switching costs and the determinants of customer retention in internet-enabled businesses: A study of the online brokerage industry","type":"article-journal","volume":"13"},"uris":["http://www.mendeley.com/documents/?uuid=5fd3fc66-6af8-4f5b-ba47-381f005a070a"]},{"id":"ITEM-2","itemData":{"DOI":"10.1080/10864415.2003.11044271","ISSN":"10864415","abstract":"This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Commerce","id":"ITEM-2","issue":"3","issued":{"date-parts":[["2003"]]},"page":"39-63","title":"A Study of consumer switching behavior across internet portal web sites","type":"article-journal","volume":"7"},"uris":["http://www.mendeley.com/documents/?uuid=1a039dcb-290c-446a-a510-7b3d3361f99d"]},{"id":"ITEM-3","itemData":{"DOI":"10.1016/j.jretai.2017.04.001","ISSN":"00224359","abstract":"Low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Retailing","id":"ITEM-3","issue":"3","issued":{"date-parts":[["2017"]]},"page":"253-265","publisher":"Elsevier Inc","title":"Online Purchase Paths and Conversion Dynamics across Multiple Websites","type":"article-journal","volume":"93"},"uris":["http://www.mendeley.com/documents/?uuid=3c7fb30d-0e34-4b90-9257-b376f40a8f9b"]}],"mendeley":{"formattedCitation":"[5; 41; 61]","plainTextFormattedCitation":"[5; 41; 61]","previouslyFormattedCitation":"[5; 41; 61]"},"properties":{"noteIndex":0},"schema":"https://github.com/citation-style-language/schema/raw/master/csl-citation.json"}</w:instrText>
      </w:r>
      <w:r w:rsidR="000A3492" w:rsidRPr="00B31BEB">
        <w:rPr>
          <w:rStyle w:val="FootnoteReference"/>
          <w:noProof/>
        </w:rPr>
        <w:fldChar w:fldCharType="separate"/>
      </w:r>
      <w:r w:rsidR="00F8005E" w:rsidRPr="00B31BEB">
        <w:rPr>
          <w:noProof/>
        </w:rPr>
        <w:t>[5; 41; 61]</w:t>
      </w:r>
      <w:r w:rsidR="000A3492" w:rsidRPr="00B31BEB">
        <w:rPr>
          <w:rStyle w:val="FootnoteReference"/>
          <w:noProof/>
        </w:rPr>
        <w:fldChar w:fldCharType="end"/>
      </w:r>
      <w:r w:rsidRPr="00B31BEB">
        <w:rPr>
          <w:noProof/>
        </w:rPr>
        <w:t>. Research on consumers’ switching behavior</w:t>
      </w:r>
      <w:r w:rsidR="00F9327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{"citationItems":[{"id":"ITEM-1","itemData":{"DOI":"10.1080/10864415.2003.11044271","ISSN":"10864415","abstract":"This paper describes an empirical study of the dynamics of consumer switching behavior across major Internet portal Web sites, based on an analysis of a commercial on-line panel database. The study highlights the managerial implications of the model in the context of e-commerce. The results provide managerial insights regarding the strength of a portal Web site relative to its competitors in terms of its ability to attract and retain visitors as well as the relative vulnerabilities of competing portals from which visitors are drawn. The study also examines the effect of causal factors (e.g., visitor gender, past Internet usage, log-on time, time spent on previous sites) on portal Web site switching behavior and loyalty. The study has implications for identifying consumer segments more likely to be attracted to a Web site and for increasing the number of visitors to the site. Copyright © 2003 M.E. Sharpe, Inc. All rights reserved.","author":[{"dropping-particle":"","family":"Lee","given":"Sukekyu","non-dropping-particle":"","parse-names":false,"suffix":""},{"dropping-particle":"","family":"Zufryden","given":"Fred","non-dropping-particle":"","parse-names":false,"suffix":""},{"dropping-particle":"","family":"Drèze","given":"Xavier","non-dropping-particle":"","parse-names":false,"suffix":""}],"container-title":"International Journal of Electronic Commerce","id":"ITEM-1","issue":"3","issued":{"date-parts":[["2003"]]},"page":"39-63","title":"A Study of consumer switching behavior across internet portal web sites","type":"article-journal","volume":"7"},"uris":["http://www.mendeley.com/documents/?uuid=1a039dcb-290c-446a-a510-7b3d3361f99d"]}],"mendeley":{"formattedCitation":"[41]","plainTextFormattedCitation":"[41]","previouslyFormattedCitation":"[41]"},"properties":{"noteIndex":0},"schema":"https://github.com/citation-style-language/schema/raw/master/csl-citation.json"}</w:instrText>
      </w:r>
      <w:r w:rsidR="000A3492" w:rsidRPr="00B31BEB">
        <w:rPr>
          <w:rStyle w:val="FootnoteReference"/>
          <w:noProof/>
        </w:rPr>
        <w:fldChar w:fldCharType="separate"/>
      </w:r>
      <w:r w:rsidR="00F8005E" w:rsidRPr="00B31BEB">
        <w:rPr>
          <w:noProof/>
        </w:rPr>
        <w:t>[41]</w:t>
      </w:r>
      <w:r w:rsidR="000A3492" w:rsidRPr="00B31BEB">
        <w:rPr>
          <w:rStyle w:val="FootnoteReference"/>
          <w:noProof/>
        </w:rPr>
        <w:fldChar w:fldCharType="end"/>
      </w:r>
      <w:r w:rsidRPr="00B31BEB">
        <w:rPr>
          <w:noProof/>
        </w:rPr>
        <w:t xml:space="preserve"> and purchase conversion dynamics</w:t>
      </w:r>
      <w:r w:rsidR="00F93278" w:rsidRPr="00B31BEB">
        <w:rPr>
          <w:noProof/>
        </w:rPr>
        <w:t xml:space="preserve"> </w:t>
      </w:r>
      <w:r w:rsidR="000A3492" w:rsidRPr="00B31BEB">
        <w:rPr>
          <w:rStyle w:val="FootnoteReference"/>
          <w:noProof/>
        </w:rPr>
        <w:fldChar w:fldCharType="begin" w:fldLock="1"/>
      </w:r>
      <w:r w:rsidR="00E23587" w:rsidRPr="00B31BEB">
        <w:rPr>
          <w:noProof/>
        </w:rPr>
        <w:instrText>ADDIN CSL_CITATION {"citationItems":[{"id":"ITEM-1","itemData":{"DOI":"10.1016/j.jretai.2017.04.001","ISSN":"00224359","abstract":"Low transportation costs online allow shoppers to visit multiple e-commerce sites for a purchase decision. This research investigates online shoppers’ visit and purchase behaviors across competing websites. To consider that shoppers’ longitudinal cross-site visit data may consist of several unobserved shopping episodes, we propose a modeling approach to probabilistically clustering and relating online visits to latent shopping episodes, based on the temporal patterns of the visit events. The inferences are then used to examine shoppers’ visit-to-purchase behavior across websites. Using Internet clickstream data on individual-level browsing and transaction records at major air travel sites, we find that online shoppers’ cross-site visit patterns tend to be clustered and the purchase propensity is significantly higher at later visits within a visit cluster, compared to earlier visits. As our results suggest the possibility that visit clusters can serve as a reasonable proxy for shopping episodes, we look further into shoppers’ website choice and purchase behaviors within a cluster. We discuss how the cluster-based analysis can help managers tailor online marketing and advertising strategies based on shoppers’ cross-site visit and purchase patterns.","author":[{"dropping-particle":"","family":"Park","given":"Chang Hee","non-dropping-particle":"","parse-names":false,"suffix":""}],"container-title":"Journal of Retailing","id":"ITEM-1","issue":"3","issued":{"date-parts":[["2017"]]},"page":"253-265","publisher":"Elsevier Inc","title":"Online Purchase Paths and Conversion Dynamics across Multiple Websites","type":"article-journal","volume":"93"},"uris":["http://www.mendeley.com/documents/?uuid=3c7fb30d-0e34-4b90-9257-b376f40a8f9b"]}],"mendeley":{"formattedCitation":"[61]","plainTextFormattedCitation":"[61]","previouslyFormattedCitation":"[61]"},"properties":{"noteIndex":0},"schema":"https://github.com/citation-style-language/schema/raw/master/csl-citation.json"}</w:instrText>
      </w:r>
      <w:r w:rsidR="000A3492" w:rsidRPr="00B31BEB">
        <w:rPr>
          <w:rStyle w:val="FootnoteReference"/>
          <w:noProof/>
        </w:rPr>
        <w:fldChar w:fldCharType="separate"/>
      </w:r>
      <w:r w:rsidR="00F8005E" w:rsidRPr="00B31BEB">
        <w:rPr>
          <w:noProof/>
        </w:rPr>
        <w:t>[61]</w:t>
      </w:r>
      <w:r w:rsidR="000A3492" w:rsidRPr="00B31BEB">
        <w:rPr>
          <w:rStyle w:val="FootnoteReference"/>
          <w:noProof/>
        </w:rPr>
        <w:fldChar w:fldCharType="end"/>
      </w:r>
      <w:r w:rsidRPr="00B31BEB">
        <w:rPr>
          <w:noProof/>
        </w:rPr>
        <w:t xml:space="preserve"> across webshops exist. However, to our knowledge, there does not exist a study that has investigated the dual switching </w:t>
      </w:r>
      <w:r w:rsidRPr="00B31BEB">
        <w:rPr>
          <w:noProof/>
        </w:rPr>
        <w:lastRenderedPageBreak/>
        <w:t>behavior across webshops and attribute attendance behavior. We encourage future studies to allow for these model extensions.</w:t>
      </w:r>
    </w:p>
    <w:p w:rsidR="00736A17" w:rsidRPr="00B31BEB" w:rsidRDefault="00736A17" w:rsidP="001A5DEC">
      <w:pPr>
        <w:tabs>
          <w:tab w:val="center" w:pos="4800"/>
          <w:tab w:val="right" w:pos="9500"/>
        </w:tabs>
        <w:ind w:firstLine="720"/>
        <w:rPr>
          <w:noProof/>
        </w:rPr>
      </w:pPr>
      <w:r w:rsidRPr="00B31BEB">
        <w:rPr>
          <w:b/>
          <w:bCs/>
          <w:noProof/>
        </w:rPr>
        <w:t>Acknowledgement:</w:t>
      </w:r>
      <w:r w:rsidRPr="00B31BEB">
        <w:rPr>
          <w:noProof/>
        </w:rPr>
        <w:t xml:space="preserve"> We would like to thank J</w:t>
      </w:r>
      <w:r w:rsidR="00D5244A" w:rsidRPr="00B31BEB">
        <w:rPr>
          <w:noProof/>
        </w:rPr>
        <w:t xml:space="preserve">ora </w:t>
      </w:r>
      <w:r w:rsidRPr="00B31BEB">
        <w:rPr>
          <w:noProof/>
        </w:rPr>
        <w:t>S</w:t>
      </w:r>
      <w:r w:rsidR="00D5244A" w:rsidRPr="00B31BEB">
        <w:rPr>
          <w:noProof/>
        </w:rPr>
        <w:t>teenackers</w:t>
      </w:r>
      <w:r w:rsidRPr="00B31BEB">
        <w:rPr>
          <w:noProof/>
        </w:rPr>
        <w:t xml:space="preserve"> and L</w:t>
      </w:r>
      <w:r w:rsidR="00D5244A" w:rsidRPr="00B31BEB">
        <w:rPr>
          <w:noProof/>
        </w:rPr>
        <w:t xml:space="preserve">ieselotte </w:t>
      </w:r>
      <w:r w:rsidRPr="00B31BEB">
        <w:rPr>
          <w:noProof/>
        </w:rPr>
        <w:t>F</w:t>
      </w:r>
      <w:r w:rsidR="00D5244A" w:rsidRPr="00B31BEB">
        <w:rPr>
          <w:noProof/>
        </w:rPr>
        <w:t>onderie</w:t>
      </w:r>
      <w:r w:rsidRPr="00B31BEB">
        <w:rPr>
          <w:noProof/>
        </w:rPr>
        <w:t xml:space="preserve"> who, under the supervision of M</w:t>
      </w:r>
      <w:r w:rsidR="005D1F4F">
        <w:rPr>
          <w:noProof/>
        </w:rPr>
        <w:t xml:space="preserve">ichel </w:t>
      </w:r>
      <w:r w:rsidRPr="00B31BEB">
        <w:rPr>
          <w:noProof/>
        </w:rPr>
        <w:t>M</w:t>
      </w:r>
      <w:r w:rsidR="005D1F4F">
        <w:rPr>
          <w:noProof/>
        </w:rPr>
        <w:t>eulders</w:t>
      </w:r>
      <w:r w:rsidRPr="00B31BEB">
        <w:rPr>
          <w:noProof/>
        </w:rPr>
        <w:t>, designed and co</w:t>
      </w:r>
      <w:r w:rsidR="001B6F47" w:rsidRPr="00B31BEB">
        <w:rPr>
          <w:noProof/>
        </w:rPr>
        <w:t xml:space="preserve">llected the </w:t>
      </w:r>
      <w:r w:rsidR="00AA45C8" w:rsidRPr="00B31BEB">
        <w:rPr>
          <w:noProof/>
        </w:rPr>
        <w:t xml:space="preserve">data for the </w:t>
      </w:r>
      <w:r w:rsidRPr="00B31BEB">
        <w:rPr>
          <w:noProof/>
        </w:rPr>
        <w:t>webshop preferences</w:t>
      </w:r>
      <w:r w:rsidR="007A218B" w:rsidRPr="00B31BEB">
        <w:rPr>
          <w:noProof/>
        </w:rPr>
        <w:t xml:space="preserve"> study</w:t>
      </w:r>
      <w:r w:rsidRPr="00B31BEB">
        <w:rPr>
          <w:noProof/>
        </w:rPr>
        <w:t xml:space="preserve"> for their MSc. theses. </w:t>
      </w:r>
      <w:r w:rsidR="002D0CF3" w:rsidRPr="00B31BEB">
        <w:rPr>
          <w:noProof/>
        </w:rPr>
        <w:t xml:space="preserve">We also </w:t>
      </w:r>
      <w:r w:rsidR="00C712D8" w:rsidRPr="00B31BEB">
        <w:rPr>
          <w:noProof/>
        </w:rPr>
        <w:t>thank</w:t>
      </w:r>
      <w:r w:rsidR="002D0CF3" w:rsidRPr="00B31BEB">
        <w:rPr>
          <w:noProof/>
        </w:rPr>
        <w:t xml:space="preserve"> the Editor-in-Chief, Vladimir Zwass, and two anonymous reviewers for their invaluable comments during the review process.</w:t>
      </w:r>
    </w:p>
    <w:p w:rsidR="00736A17" w:rsidRPr="00B31BEB" w:rsidRDefault="00736A17" w:rsidP="001A5DEC">
      <w:pPr>
        <w:tabs>
          <w:tab w:val="center" w:pos="4800"/>
          <w:tab w:val="right" w:pos="9500"/>
        </w:tabs>
        <w:ind w:firstLine="720"/>
        <w:rPr>
          <w:noProof/>
        </w:rPr>
      </w:pPr>
      <w:r w:rsidRPr="00B31BEB">
        <w:rPr>
          <w:noProof/>
        </w:rPr>
        <w:t xml:space="preserve"> </w:t>
      </w:r>
      <w:r w:rsidRPr="00B31BEB">
        <w:rPr>
          <w:b/>
          <w:bCs/>
          <w:noProof/>
        </w:rPr>
        <w:t>Author Contributions:</w:t>
      </w:r>
      <w:r w:rsidRPr="00B31BEB">
        <w:rPr>
          <w:noProof/>
        </w:rPr>
        <w:t xml:space="preserve"> L</w:t>
      </w:r>
      <w:r w:rsidR="00986AF1">
        <w:rPr>
          <w:noProof/>
        </w:rPr>
        <w:t xml:space="preserve">eonard </w:t>
      </w:r>
      <w:r w:rsidRPr="00B31BEB">
        <w:rPr>
          <w:noProof/>
        </w:rPr>
        <w:t>M</w:t>
      </w:r>
      <w:r w:rsidR="00986AF1">
        <w:rPr>
          <w:noProof/>
        </w:rPr>
        <w:t>aaya, Michel Meulders and Martina Vandebroek</w:t>
      </w:r>
      <w:r w:rsidRPr="00B31BEB">
        <w:rPr>
          <w:noProof/>
        </w:rPr>
        <w:t xml:space="preserve"> developed the method, did the analysis and wrote the manuscript.</w:t>
      </w:r>
    </w:p>
    <w:p w:rsidR="00736A17" w:rsidRPr="00B31BEB" w:rsidRDefault="00736A17" w:rsidP="001A5DEC">
      <w:pPr>
        <w:tabs>
          <w:tab w:val="center" w:pos="4800"/>
          <w:tab w:val="right" w:pos="9500"/>
        </w:tabs>
        <w:ind w:firstLine="720"/>
        <w:rPr>
          <w:noProof/>
        </w:rPr>
      </w:pPr>
      <w:r w:rsidRPr="00B31BEB">
        <w:rPr>
          <w:noProof/>
        </w:rPr>
        <w:t xml:space="preserve"> </w:t>
      </w:r>
      <w:r w:rsidRPr="00B31BEB">
        <w:rPr>
          <w:b/>
          <w:bCs/>
          <w:noProof/>
        </w:rPr>
        <w:t>Funding</w:t>
      </w:r>
      <w:r w:rsidR="00EC1CE0">
        <w:rPr>
          <w:noProof/>
        </w:rPr>
        <w:t>: Leonard Maaya</w:t>
      </w:r>
      <w:r w:rsidRPr="00B31BEB">
        <w:rPr>
          <w:noProof/>
        </w:rPr>
        <w:t xml:space="preserve"> was funded by project G0C7317N of the  Flemish Research Foundation (FWO Flanders), </w:t>
      </w:r>
      <w:r w:rsidR="00F247DD" w:rsidRPr="00B31BEB">
        <w:rPr>
          <w:noProof/>
        </w:rPr>
        <w:t>Belgium</w:t>
      </w:r>
      <w:r w:rsidRPr="00B31BEB">
        <w:rPr>
          <w:noProof/>
        </w:rPr>
        <w:t xml:space="preserve">. </w:t>
      </w:r>
    </w:p>
    <w:p w:rsidR="0028612D" w:rsidRPr="00B31BEB" w:rsidRDefault="00736A17" w:rsidP="00915C1C">
      <w:pPr>
        <w:tabs>
          <w:tab w:val="center" w:pos="4800"/>
          <w:tab w:val="right" w:pos="9500"/>
        </w:tabs>
        <w:ind w:firstLine="720"/>
      </w:pPr>
      <w:r w:rsidRPr="00B31BEB">
        <w:rPr>
          <w:noProof/>
        </w:rPr>
        <w:t xml:space="preserve"> </w:t>
      </w:r>
      <w:r w:rsidRPr="00B31BEB">
        <w:rPr>
          <w:b/>
          <w:bCs/>
          <w:noProof/>
        </w:rPr>
        <w:t>Conflicts of Interest:</w:t>
      </w:r>
      <w:r w:rsidRPr="00B31BEB">
        <w:rPr>
          <w:noProof/>
        </w:rPr>
        <w:t xml:space="preserve"> The authors declare no conflict of interest.</w:t>
      </w:r>
    </w:p>
    <w:p w:rsidR="0028612D" w:rsidRPr="00B31BEB" w:rsidRDefault="0028612D" w:rsidP="0029051D">
      <w:pPr>
        <w:pStyle w:val="Heading1"/>
      </w:pPr>
    </w:p>
    <w:p w:rsidR="00AC24CD" w:rsidRPr="00B31BEB" w:rsidRDefault="0029051D" w:rsidP="0029051D">
      <w:pPr>
        <w:pStyle w:val="Heading1"/>
        <w:rPr>
          <w:noProof/>
        </w:rPr>
      </w:pPr>
      <w:r w:rsidRPr="00B31BEB">
        <w:t>References</w:t>
      </w:r>
    </w:p>
    <w:p w:rsidR="00D7380B" w:rsidRPr="00B31BEB" w:rsidRDefault="001A5335" w:rsidP="00D7380B">
      <w:pPr>
        <w:widowControl w:val="0"/>
        <w:autoSpaceDE w:val="0"/>
        <w:autoSpaceDN w:val="0"/>
        <w:adjustRightInd w:val="0"/>
        <w:rPr>
          <w:noProof/>
        </w:rPr>
      </w:pPr>
      <w:r w:rsidRPr="00B31BEB">
        <w:fldChar w:fldCharType="begin" w:fldLock="1"/>
      </w:r>
      <w:r w:rsidRPr="00B31BEB">
        <w:instrText xml:space="preserve">ADDIN Mendeley Bibliography CSL_BIBLIOGRAPHY </w:instrText>
      </w:r>
      <w:r w:rsidRPr="00B31BEB">
        <w:fldChar w:fldCharType="separate"/>
      </w:r>
      <w:r w:rsidR="00D7380B" w:rsidRPr="00B31BEB">
        <w:rPr>
          <w:noProof/>
        </w:rPr>
        <w:t xml:space="preserve">1. Akhter, S.H. Globalization, expectations model of economic nationalism, and consumer behavior. </w:t>
      </w:r>
      <w:r w:rsidR="00D7380B" w:rsidRPr="00B31BEB">
        <w:rPr>
          <w:i/>
          <w:iCs/>
          <w:noProof/>
        </w:rPr>
        <w:t>Journal of Consumer Marketing</w:t>
      </w:r>
      <w:r w:rsidR="00D7380B" w:rsidRPr="00B31BEB">
        <w:rPr>
          <w:noProof/>
        </w:rPr>
        <w:t xml:space="preserve">, </w:t>
      </w:r>
      <w:r w:rsidR="00D7380B" w:rsidRPr="00B31BEB">
        <w:rPr>
          <w:i/>
          <w:iCs/>
          <w:noProof/>
        </w:rPr>
        <w:t>24</w:t>
      </w:r>
      <w:r w:rsidR="00D7380B" w:rsidRPr="00B31BEB">
        <w:rPr>
          <w:noProof/>
        </w:rPr>
        <w:t>, 3 (2007), 142–150.</w:t>
      </w:r>
    </w:p>
    <w:p w:rsidR="00D7380B" w:rsidRPr="00B31BEB" w:rsidRDefault="00D7380B" w:rsidP="00D7380B">
      <w:pPr>
        <w:widowControl w:val="0"/>
        <w:autoSpaceDE w:val="0"/>
        <w:autoSpaceDN w:val="0"/>
        <w:adjustRightInd w:val="0"/>
        <w:rPr>
          <w:noProof/>
        </w:rPr>
      </w:pPr>
      <w:r w:rsidRPr="00B31BEB">
        <w:rPr>
          <w:noProof/>
        </w:rPr>
        <w:t>2. Boateng, R.; Heeks, R.; Molla, A.; and Hinson, R. E-commerce a</w:t>
      </w:r>
      <w:r w:rsidR="0086038D" w:rsidRPr="00B31BEB">
        <w:rPr>
          <w:noProof/>
        </w:rPr>
        <w:t>nd socio-economic development: c</w:t>
      </w:r>
      <w:r w:rsidRPr="00B31BEB">
        <w:rPr>
          <w:noProof/>
        </w:rPr>
        <w:t xml:space="preserve">onceptualizing the link. </w:t>
      </w:r>
      <w:r w:rsidRPr="00B31BEB">
        <w:rPr>
          <w:i/>
          <w:iCs/>
          <w:noProof/>
        </w:rPr>
        <w:t>Internet Research</w:t>
      </w:r>
      <w:r w:rsidRPr="00B31BEB">
        <w:rPr>
          <w:noProof/>
        </w:rPr>
        <w:t xml:space="preserve">, </w:t>
      </w:r>
      <w:r w:rsidRPr="00B31BEB">
        <w:rPr>
          <w:i/>
          <w:iCs/>
          <w:noProof/>
        </w:rPr>
        <w:t>18</w:t>
      </w:r>
      <w:r w:rsidRPr="00B31BEB">
        <w:rPr>
          <w:noProof/>
        </w:rPr>
        <w:t>, 5 (2008), 562–594.</w:t>
      </w:r>
    </w:p>
    <w:p w:rsidR="00D7380B" w:rsidRPr="00B31BEB" w:rsidRDefault="00D7380B" w:rsidP="00D7380B">
      <w:pPr>
        <w:widowControl w:val="0"/>
        <w:autoSpaceDE w:val="0"/>
        <w:autoSpaceDN w:val="0"/>
        <w:adjustRightInd w:val="0"/>
        <w:rPr>
          <w:noProof/>
        </w:rPr>
      </w:pPr>
      <w:r w:rsidRPr="00B31BEB">
        <w:rPr>
          <w:noProof/>
        </w:rPr>
        <w:t xml:space="preserve">3. Brooks, S.; Gelman, A.; Jones, G.L.; and Meng, X.L. </w:t>
      </w:r>
      <w:r w:rsidR="00A4092A" w:rsidRPr="00B31BEB">
        <w:rPr>
          <w:i/>
          <w:iCs/>
          <w:noProof/>
        </w:rPr>
        <w:t>Handbook of Markov c</w:t>
      </w:r>
      <w:r w:rsidR="00677C0B" w:rsidRPr="00B31BEB">
        <w:rPr>
          <w:i/>
          <w:iCs/>
          <w:noProof/>
        </w:rPr>
        <w:t>hain M</w:t>
      </w:r>
      <w:r w:rsidRPr="00B31BEB">
        <w:rPr>
          <w:i/>
          <w:iCs/>
          <w:noProof/>
        </w:rPr>
        <w:t>onte Carlo</w:t>
      </w:r>
      <w:r w:rsidRPr="00B31BEB">
        <w:rPr>
          <w:noProof/>
        </w:rPr>
        <w:t>. CRC Press, 2011.</w:t>
      </w:r>
    </w:p>
    <w:p w:rsidR="00D7380B" w:rsidRPr="00B31BEB" w:rsidRDefault="00D7380B" w:rsidP="00D7380B">
      <w:pPr>
        <w:widowControl w:val="0"/>
        <w:autoSpaceDE w:val="0"/>
        <w:autoSpaceDN w:val="0"/>
        <w:adjustRightInd w:val="0"/>
        <w:rPr>
          <w:noProof/>
        </w:rPr>
      </w:pPr>
      <w:r w:rsidRPr="00B31BEB">
        <w:rPr>
          <w:noProof/>
        </w:rPr>
        <w:t xml:space="preserve">4. Caputo, V.; Van Loo, E.J.; Scarpa, R.; Nayga, R.M.; and Verbeke, W. Comparing </w:t>
      </w:r>
      <w:r w:rsidR="00683138" w:rsidRPr="00B31BEB">
        <w:rPr>
          <w:noProof/>
        </w:rPr>
        <w:t>serial, and choice task stated and inferred attribute non-attendance methods in food choice experiments</w:t>
      </w:r>
      <w:r w:rsidRPr="00B31BEB">
        <w:rPr>
          <w:noProof/>
        </w:rPr>
        <w:t xml:space="preserve">. </w:t>
      </w:r>
      <w:r w:rsidRPr="00B31BEB">
        <w:rPr>
          <w:i/>
          <w:iCs/>
          <w:noProof/>
        </w:rPr>
        <w:t>Journal of Agricultural Economics</w:t>
      </w:r>
      <w:r w:rsidRPr="00B31BEB">
        <w:rPr>
          <w:noProof/>
        </w:rPr>
        <w:t xml:space="preserve">, </w:t>
      </w:r>
      <w:r w:rsidRPr="00B31BEB">
        <w:rPr>
          <w:i/>
          <w:iCs/>
          <w:noProof/>
        </w:rPr>
        <w:t>69</w:t>
      </w:r>
      <w:r w:rsidRPr="00B31BEB">
        <w:rPr>
          <w:noProof/>
        </w:rPr>
        <w:t>, 1 (2018), 35–57.</w:t>
      </w:r>
    </w:p>
    <w:p w:rsidR="00D7380B" w:rsidRPr="00B31BEB" w:rsidRDefault="00E9400B" w:rsidP="00D7380B">
      <w:pPr>
        <w:widowControl w:val="0"/>
        <w:autoSpaceDE w:val="0"/>
        <w:autoSpaceDN w:val="0"/>
        <w:adjustRightInd w:val="0"/>
        <w:rPr>
          <w:noProof/>
        </w:rPr>
      </w:pPr>
      <w:r w:rsidRPr="00B31BEB">
        <w:rPr>
          <w:noProof/>
        </w:rPr>
        <w:t>5. Chen, P.Y.,</w:t>
      </w:r>
      <w:r w:rsidR="00D7380B" w:rsidRPr="00B31BEB">
        <w:rPr>
          <w:noProof/>
        </w:rPr>
        <w:t xml:space="preserve"> and Hitt, L.M. Measuring switching costs and the determinants of customer retention i</w:t>
      </w:r>
      <w:r w:rsidR="00683138" w:rsidRPr="00B31BEB">
        <w:rPr>
          <w:noProof/>
        </w:rPr>
        <w:t>n internet-enabled businesses: a</w:t>
      </w:r>
      <w:r w:rsidR="00D7380B" w:rsidRPr="00B31BEB">
        <w:rPr>
          <w:noProof/>
        </w:rPr>
        <w:t xml:space="preserve"> study of the online brokerage </w:t>
      </w:r>
      <w:r w:rsidR="00D7380B" w:rsidRPr="00B31BEB">
        <w:rPr>
          <w:noProof/>
        </w:rPr>
        <w:lastRenderedPageBreak/>
        <w:t xml:space="preserve">industry. </w:t>
      </w:r>
      <w:r w:rsidR="00D7380B" w:rsidRPr="00B31BEB">
        <w:rPr>
          <w:i/>
          <w:iCs/>
          <w:noProof/>
        </w:rPr>
        <w:t>Information Systems Research</w:t>
      </w:r>
      <w:r w:rsidR="00D7380B" w:rsidRPr="00B31BEB">
        <w:rPr>
          <w:noProof/>
        </w:rPr>
        <w:t xml:space="preserve">, </w:t>
      </w:r>
      <w:r w:rsidR="00D7380B" w:rsidRPr="00B31BEB">
        <w:rPr>
          <w:i/>
          <w:iCs/>
          <w:noProof/>
        </w:rPr>
        <w:t>13</w:t>
      </w:r>
      <w:r w:rsidR="00D7380B" w:rsidRPr="00B31BEB">
        <w:rPr>
          <w:noProof/>
        </w:rPr>
        <w:t>, 3 (2002), 255–274.</w:t>
      </w:r>
    </w:p>
    <w:p w:rsidR="00D7380B" w:rsidRPr="00B31BEB" w:rsidRDefault="00D7380B" w:rsidP="00D7380B">
      <w:pPr>
        <w:widowControl w:val="0"/>
        <w:autoSpaceDE w:val="0"/>
        <w:autoSpaceDN w:val="0"/>
        <w:adjustRightInd w:val="0"/>
        <w:rPr>
          <w:noProof/>
        </w:rPr>
      </w:pPr>
      <w:r w:rsidRPr="00B31BEB">
        <w:rPr>
          <w:noProof/>
        </w:rPr>
        <w:t xml:space="preserve">6. Chen, X.; Huang, Q.; Davison, R.M.; and Hua, Z. What </w:t>
      </w:r>
      <w:r w:rsidR="002A45FE" w:rsidRPr="00B31BEB">
        <w:rPr>
          <w:noProof/>
        </w:rPr>
        <w:t>drives trust transfer? the moderating roles of seller-specific and general institutional mechanisms.</w:t>
      </w:r>
      <w:r w:rsidRPr="00B31BEB">
        <w:rPr>
          <w:noProof/>
        </w:rPr>
        <w:t xml:space="preserve"> </w:t>
      </w:r>
      <w:r w:rsidRPr="00B31BEB">
        <w:rPr>
          <w:i/>
          <w:iCs/>
          <w:noProof/>
        </w:rPr>
        <w:t>International Journal of Electronic Commerce</w:t>
      </w:r>
      <w:r w:rsidRPr="00B31BEB">
        <w:rPr>
          <w:noProof/>
        </w:rPr>
        <w:t xml:space="preserve">, </w:t>
      </w:r>
      <w:r w:rsidRPr="00B31BEB">
        <w:rPr>
          <w:i/>
          <w:iCs/>
          <w:noProof/>
        </w:rPr>
        <w:t>20</w:t>
      </w:r>
      <w:r w:rsidRPr="00B31BEB">
        <w:rPr>
          <w:noProof/>
        </w:rPr>
        <w:t>, 2 (2015), 261–289.</w:t>
      </w:r>
    </w:p>
    <w:p w:rsidR="00D7380B" w:rsidRPr="00B31BEB" w:rsidRDefault="00D7380B" w:rsidP="00D7380B">
      <w:pPr>
        <w:widowControl w:val="0"/>
        <w:autoSpaceDE w:val="0"/>
        <w:autoSpaceDN w:val="0"/>
        <w:adjustRightInd w:val="0"/>
        <w:rPr>
          <w:noProof/>
        </w:rPr>
      </w:pPr>
      <w:r w:rsidRPr="00B31BEB">
        <w:rPr>
          <w:noProof/>
        </w:rPr>
        <w:t>7. Chen, Y.H.; Hsu, I.C.; and Lin, C.C. Website attributes that increas</w:t>
      </w:r>
      <w:r w:rsidR="002A45FE" w:rsidRPr="00B31BEB">
        <w:rPr>
          <w:noProof/>
        </w:rPr>
        <w:t>e consumer purchase intention: a</w:t>
      </w:r>
      <w:r w:rsidRPr="00B31BEB">
        <w:rPr>
          <w:noProof/>
        </w:rPr>
        <w:t xml:space="preserve"> conjoint analysis. </w:t>
      </w:r>
      <w:r w:rsidRPr="00B31BEB">
        <w:rPr>
          <w:i/>
          <w:iCs/>
          <w:noProof/>
        </w:rPr>
        <w:t>Journal of Business Research</w:t>
      </w:r>
      <w:r w:rsidRPr="00B31BEB">
        <w:rPr>
          <w:noProof/>
        </w:rPr>
        <w:t xml:space="preserve">, </w:t>
      </w:r>
      <w:r w:rsidRPr="00B31BEB">
        <w:rPr>
          <w:i/>
          <w:iCs/>
          <w:noProof/>
        </w:rPr>
        <w:t>63</w:t>
      </w:r>
      <w:r w:rsidRPr="00B31BEB">
        <w:rPr>
          <w:noProof/>
        </w:rPr>
        <w:t>, 9–10 (2010), 1007–1014.</w:t>
      </w:r>
    </w:p>
    <w:p w:rsidR="00D7380B" w:rsidRPr="00B31BEB" w:rsidRDefault="00D7380B" w:rsidP="00D7380B">
      <w:pPr>
        <w:widowControl w:val="0"/>
        <w:autoSpaceDE w:val="0"/>
        <w:autoSpaceDN w:val="0"/>
        <w:adjustRightInd w:val="0"/>
        <w:rPr>
          <w:noProof/>
        </w:rPr>
      </w:pPr>
      <w:r w:rsidRPr="00B31BEB">
        <w:rPr>
          <w:noProof/>
        </w:rPr>
        <w:t xml:space="preserve">8. ChoiceMetrics. Ngene 1.1.1 User manual and reference guide: </w:t>
      </w:r>
      <w:r w:rsidR="00912419" w:rsidRPr="00B31BEB">
        <w:rPr>
          <w:noProof/>
        </w:rPr>
        <w:t>the cutting edge in experimental design.</w:t>
      </w:r>
      <w:r w:rsidRPr="00B31BEB">
        <w:rPr>
          <w:noProof/>
        </w:rPr>
        <w:t xml:space="preserve"> </w:t>
      </w:r>
      <w:r w:rsidRPr="00B31BEB">
        <w:rPr>
          <w:i/>
          <w:iCs/>
          <w:noProof/>
        </w:rPr>
        <w:t>USA: Choice Metrics</w:t>
      </w:r>
      <w:r w:rsidR="00CF6814" w:rsidRPr="00B31BEB">
        <w:rPr>
          <w:noProof/>
        </w:rPr>
        <w:t>, (2012)</w:t>
      </w:r>
      <w:r w:rsidRPr="00B31BEB">
        <w:rPr>
          <w:noProof/>
        </w:rPr>
        <w:t>.</w:t>
      </w:r>
    </w:p>
    <w:p w:rsidR="00D7380B" w:rsidRPr="00B31BEB" w:rsidRDefault="00D7380B" w:rsidP="00D7380B">
      <w:pPr>
        <w:widowControl w:val="0"/>
        <w:autoSpaceDE w:val="0"/>
        <w:autoSpaceDN w:val="0"/>
        <w:adjustRightInd w:val="0"/>
        <w:rPr>
          <w:noProof/>
        </w:rPr>
      </w:pPr>
      <w:r w:rsidRPr="00B31BEB">
        <w:rPr>
          <w:noProof/>
        </w:rPr>
        <w:t xml:space="preserve">9. Clemons, E.K. How information changes consumer behavior and how consumer behavior determines corporate strategy. </w:t>
      </w:r>
      <w:r w:rsidRPr="00B31BEB">
        <w:rPr>
          <w:i/>
          <w:iCs/>
          <w:noProof/>
        </w:rPr>
        <w:t>Journal of Management Information Systems</w:t>
      </w:r>
      <w:r w:rsidRPr="00B31BEB">
        <w:rPr>
          <w:noProof/>
        </w:rPr>
        <w:t xml:space="preserve">, </w:t>
      </w:r>
      <w:r w:rsidRPr="00B31BEB">
        <w:rPr>
          <w:i/>
          <w:iCs/>
          <w:noProof/>
        </w:rPr>
        <w:t>25</w:t>
      </w:r>
      <w:r w:rsidRPr="00B31BEB">
        <w:rPr>
          <w:noProof/>
        </w:rPr>
        <w:t>, 2 (2008), 13–40.</w:t>
      </w:r>
    </w:p>
    <w:p w:rsidR="00D7380B" w:rsidRPr="00B31BEB" w:rsidRDefault="00D7380B" w:rsidP="00D7380B">
      <w:pPr>
        <w:widowControl w:val="0"/>
        <w:autoSpaceDE w:val="0"/>
        <w:autoSpaceDN w:val="0"/>
        <w:adjustRightInd w:val="0"/>
        <w:rPr>
          <w:noProof/>
        </w:rPr>
      </w:pPr>
      <w:r w:rsidRPr="00B31BEB">
        <w:rPr>
          <w:noProof/>
        </w:rPr>
        <w:t>10. Cle</w:t>
      </w:r>
      <w:r w:rsidR="00754BEA" w:rsidRPr="00B31BEB">
        <w:rPr>
          <w:noProof/>
        </w:rPr>
        <w:t>mons, E.K.,</w:t>
      </w:r>
      <w:r w:rsidR="00DF6257" w:rsidRPr="00B31BEB">
        <w:rPr>
          <w:noProof/>
        </w:rPr>
        <w:t xml:space="preserve"> and Gao, G. G</w:t>
      </w:r>
      <w:r w:rsidRPr="00B31BEB">
        <w:rPr>
          <w:noProof/>
        </w:rPr>
        <w:t xml:space="preserve">. Consumer informedness and diverse </w:t>
      </w:r>
      <w:r w:rsidR="00EE37F7" w:rsidRPr="00B31BEB">
        <w:rPr>
          <w:noProof/>
        </w:rPr>
        <w:t>consumer purchasing behaviors: t</w:t>
      </w:r>
      <w:r w:rsidRPr="00B31BEB">
        <w:rPr>
          <w:noProof/>
        </w:rPr>
        <w:t xml:space="preserve">raditional mass-market, trading down, and trading out into the long tail. </w:t>
      </w:r>
      <w:r w:rsidRPr="00B31BEB">
        <w:rPr>
          <w:i/>
          <w:iCs/>
          <w:noProof/>
        </w:rPr>
        <w:t>Electronic Commerce Research and Applications</w:t>
      </w:r>
      <w:r w:rsidRPr="00B31BEB">
        <w:rPr>
          <w:noProof/>
        </w:rPr>
        <w:t xml:space="preserve">, </w:t>
      </w:r>
      <w:r w:rsidRPr="00B31BEB">
        <w:rPr>
          <w:i/>
          <w:iCs/>
          <w:noProof/>
        </w:rPr>
        <w:t>7</w:t>
      </w:r>
      <w:r w:rsidRPr="00B31BEB">
        <w:rPr>
          <w:noProof/>
        </w:rPr>
        <w:t>, 1 (2008), 3–17.</w:t>
      </w:r>
    </w:p>
    <w:p w:rsidR="00D7380B" w:rsidRPr="00B31BEB" w:rsidRDefault="00D7380B" w:rsidP="00D7380B">
      <w:pPr>
        <w:widowControl w:val="0"/>
        <w:autoSpaceDE w:val="0"/>
        <w:autoSpaceDN w:val="0"/>
        <w:adjustRightInd w:val="0"/>
        <w:rPr>
          <w:noProof/>
        </w:rPr>
      </w:pPr>
      <w:r w:rsidRPr="00B31BEB">
        <w:rPr>
          <w:noProof/>
        </w:rPr>
        <w:t xml:space="preserve">11. Clemons, E.K.; Wilson, J.; Matt, C.; Hess, T.; Ren, F.; Jin, F.; and Koh, </w:t>
      </w:r>
      <w:r w:rsidR="004A4799" w:rsidRPr="00B31BEB">
        <w:rPr>
          <w:noProof/>
        </w:rPr>
        <w:t>N.S. Global differences in online shopping b</w:t>
      </w:r>
      <w:r w:rsidRPr="00B31BEB">
        <w:rPr>
          <w:noProof/>
        </w:rPr>
        <w:t xml:space="preserve">ehavior: </w:t>
      </w:r>
      <w:r w:rsidR="004A4799" w:rsidRPr="00B31BEB">
        <w:rPr>
          <w:noProof/>
        </w:rPr>
        <w:t xml:space="preserve">understanding factors leading to trust. </w:t>
      </w:r>
      <w:r w:rsidRPr="00B31BEB">
        <w:rPr>
          <w:i/>
          <w:iCs/>
          <w:noProof/>
        </w:rPr>
        <w:t>Journal of Management Information Systems</w:t>
      </w:r>
      <w:r w:rsidRPr="00B31BEB">
        <w:rPr>
          <w:noProof/>
        </w:rPr>
        <w:t xml:space="preserve">, </w:t>
      </w:r>
      <w:r w:rsidRPr="00B31BEB">
        <w:rPr>
          <w:i/>
          <w:iCs/>
          <w:noProof/>
        </w:rPr>
        <w:t>33</w:t>
      </w:r>
      <w:r w:rsidRPr="00B31BEB">
        <w:rPr>
          <w:noProof/>
        </w:rPr>
        <w:t>, 4 (2016), 1117–1148.</w:t>
      </w:r>
    </w:p>
    <w:p w:rsidR="00D7380B" w:rsidRPr="00B31BEB" w:rsidRDefault="00D7380B" w:rsidP="00D7380B">
      <w:pPr>
        <w:widowControl w:val="0"/>
        <w:autoSpaceDE w:val="0"/>
        <w:autoSpaceDN w:val="0"/>
        <w:adjustRightInd w:val="0"/>
        <w:rPr>
          <w:noProof/>
        </w:rPr>
      </w:pPr>
      <w:r w:rsidRPr="00B31BEB">
        <w:rPr>
          <w:noProof/>
        </w:rPr>
        <w:t xml:space="preserve">12. Constantinides, E. Influencing </w:t>
      </w:r>
      <w:r w:rsidR="004A4799" w:rsidRPr="00B31BEB">
        <w:rPr>
          <w:noProof/>
        </w:rPr>
        <w:t>the online consumer’s behavior: the web experience</w:t>
      </w:r>
      <w:r w:rsidRPr="00B31BEB">
        <w:rPr>
          <w:noProof/>
        </w:rPr>
        <w:t xml:space="preserve">. </w:t>
      </w:r>
      <w:r w:rsidRPr="00B31BEB">
        <w:rPr>
          <w:i/>
          <w:iCs/>
          <w:noProof/>
        </w:rPr>
        <w:t>Internet Research</w:t>
      </w:r>
      <w:r w:rsidRPr="00B31BEB">
        <w:rPr>
          <w:noProof/>
        </w:rPr>
        <w:t xml:space="preserve">, </w:t>
      </w:r>
      <w:r w:rsidRPr="00B31BEB">
        <w:rPr>
          <w:i/>
          <w:iCs/>
          <w:noProof/>
        </w:rPr>
        <w:t>14</w:t>
      </w:r>
      <w:r w:rsidRPr="00B31BEB">
        <w:rPr>
          <w:noProof/>
        </w:rPr>
        <w:t>, 2 (2004), 111–126.</w:t>
      </w:r>
    </w:p>
    <w:p w:rsidR="00D7380B" w:rsidRPr="00B31BEB" w:rsidRDefault="00D7380B" w:rsidP="00D7380B">
      <w:pPr>
        <w:widowControl w:val="0"/>
        <w:autoSpaceDE w:val="0"/>
        <w:autoSpaceDN w:val="0"/>
        <w:adjustRightInd w:val="0"/>
        <w:rPr>
          <w:noProof/>
        </w:rPr>
      </w:pPr>
      <w:r w:rsidRPr="00B31BEB">
        <w:rPr>
          <w:noProof/>
        </w:rPr>
        <w:t xml:space="preserve">13. Corbitt, B.J.; Thanasankit, T.; and Yi, H. Trust and </w:t>
      </w:r>
      <w:r w:rsidR="004F1E1B" w:rsidRPr="00B31BEB">
        <w:rPr>
          <w:noProof/>
        </w:rPr>
        <w:t>e-commerce: a study of consumer perceptions</w:t>
      </w:r>
      <w:r w:rsidRPr="00B31BEB">
        <w:rPr>
          <w:noProof/>
        </w:rPr>
        <w:t xml:space="preserve">. </w:t>
      </w:r>
      <w:r w:rsidRPr="00B31BEB">
        <w:rPr>
          <w:i/>
          <w:iCs/>
          <w:noProof/>
        </w:rPr>
        <w:t>Electronic Commerce Research and Applications</w:t>
      </w:r>
      <w:r w:rsidRPr="00B31BEB">
        <w:rPr>
          <w:noProof/>
        </w:rPr>
        <w:t xml:space="preserve">, </w:t>
      </w:r>
      <w:r w:rsidRPr="00B31BEB">
        <w:rPr>
          <w:i/>
          <w:iCs/>
          <w:noProof/>
        </w:rPr>
        <w:t>2</w:t>
      </w:r>
      <w:r w:rsidRPr="00B31BEB">
        <w:rPr>
          <w:noProof/>
        </w:rPr>
        <w:t>, 3 (2003), 203–215.</w:t>
      </w:r>
    </w:p>
    <w:p w:rsidR="00D7380B" w:rsidRPr="00B31BEB" w:rsidRDefault="00D7380B" w:rsidP="00D7380B">
      <w:pPr>
        <w:widowControl w:val="0"/>
        <w:autoSpaceDE w:val="0"/>
        <w:autoSpaceDN w:val="0"/>
        <w:adjustRightInd w:val="0"/>
        <w:rPr>
          <w:noProof/>
        </w:rPr>
      </w:pPr>
      <w:r w:rsidRPr="00B31BEB">
        <w:rPr>
          <w:noProof/>
        </w:rPr>
        <w:t xml:space="preserve">14. Cortés, P. </w:t>
      </w:r>
      <w:r w:rsidRPr="00B31BEB">
        <w:rPr>
          <w:i/>
          <w:iCs/>
          <w:noProof/>
        </w:rPr>
        <w:t>Online dispute resolution for consumers in the european union</w:t>
      </w:r>
      <w:r w:rsidR="00453560" w:rsidRPr="00B31BEB">
        <w:rPr>
          <w:noProof/>
        </w:rPr>
        <w:t>:</w:t>
      </w:r>
      <w:r w:rsidR="00453560" w:rsidRPr="00B31BEB">
        <w:rPr>
          <w:rFonts w:ascii="Arial" w:hAnsi="Arial" w:cs="Arial"/>
          <w:sz w:val="21"/>
          <w:szCs w:val="21"/>
          <w:shd w:val="clear" w:color="auto" w:fill="FFFFFF"/>
        </w:rPr>
        <w:t xml:space="preserve"> </w:t>
      </w:r>
      <w:r w:rsidR="00453560" w:rsidRPr="00B31BEB">
        <w:rPr>
          <w:shd w:val="clear" w:color="auto" w:fill="FFFFFF"/>
        </w:rPr>
        <w:t>Routledge,</w:t>
      </w:r>
      <w:r w:rsidRPr="00B31BEB">
        <w:rPr>
          <w:noProof/>
        </w:rPr>
        <w:t xml:space="preserve"> 2010.</w:t>
      </w:r>
    </w:p>
    <w:p w:rsidR="00D7380B" w:rsidRPr="00B31BEB" w:rsidRDefault="00D7380B" w:rsidP="00D7380B">
      <w:pPr>
        <w:widowControl w:val="0"/>
        <w:autoSpaceDE w:val="0"/>
        <w:autoSpaceDN w:val="0"/>
        <w:adjustRightInd w:val="0"/>
        <w:rPr>
          <w:noProof/>
        </w:rPr>
      </w:pPr>
      <w:r w:rsidRPr="00B31BEB">
        <w:rPr>
          <w:noProof/>
        </w:rPr>
        <w:lastRenderedPageBreak/>
        <w:t xml:space="preserve">15. Czajkowski, M.; Giergiczny, M.; and Greene, W.H. Learning </w:t>
      </w:r>
      <w:r w:rsidR="00E8510C" w:rsidRPr="00B31BEB">
        <w:rPr>
          <w:noProof/>
        </w:rPr>
        <w:t>and fatigue effects revisited: i</w:t>
      </w:r>
      <w:r w:rsidRPr="00B31BEB">
        <w:rPr>
          <w:noProof/>
        </w:rPr>
        <w:t xml:space="preserve">nvestigating the effects of accounting for unobservable preference and scale heterogeneity. </w:t>
      </w:r>
      <w:r w:rsidRPr="00B31BEB">
        <w:rPr>
          <w:i/>
          <w:iCs/>
          <w:noProof/>
        </w:rPr>
        <w:t>Land Economics</w:t>
      </w:r>
      <w:r w:rsidRPr="00B31BEB">
        <w:rPr>
          <w:noProof/>
        </w:rPr>
        <w:t xml:space="preserve">, </w:t>
      </w:r>
      <w:r w:rsidRPr="00B31BEB">
        <w:rPr>
          <w:i/>
          <w:iCs/>
          <w:noProof/>
        </w:rPr>
        <w:t>90</w:t>
      </w:r>
      <w:r w:rsidRPr="00B31BEB">
        <w:rPr>
          <w:noProof/>
        </w:rPr>
        <w:t>, 2 (2014), 324–351.</w:t>
      </w:r>
    </w:p>
    <w:p w:rsidR="00D7380B" w:rsidRPr="00B31BEB" w:rsidRDefault="00E9400B" w:rsidP="00D7380B">
      <w:pPr>
        <w:widowControl w:val="0"/>
        <w:autoSpaceDE w:val="0"/>
        <w:autoSpaceDN w:val="0"/>
        <w:adjustRightInd w:val="0"/>
        <w:rPr>
          <w:noProof/>
        </w:rPr>
      </w:pPr>
      <w:r w:rsidRPr="00B31BEB">
        <w:rPr>
          <w:noProof/>
        </w:rPr>
        <w:t>16. Dailey, L.C.,</w:t>
      </w:r>
      <w:r w:rsidR="00D7380B" w:rsidRPr="00B31BEB">
        <w:rPr>
          <w:noProof/>
        </w:rPr>
        <w:t xml:space="preserve"> and Ülkü, M.A. Retailers </w:t>
      </w:r>
      <w:r w:rsidR="009E4003" w:rsidRPr="00B31BEB">
        <w:rPr>
          <w:noProof/>
        </w:rPr>
        <w:t>beware: on denied product returns and consumer behavior</w:t>
      </w:r>
      <w:r w:rsidR="00D7380B" w:rsidRPr="00B31BEB">
        <w:rPr>
          <w:noProof/>
        </w:rPr>
        <w:t xml:space="preserve">. </w:t>
      </w:r>
      <w:r w:rsidR="00D7380B" w:rsidRPr="00B31BEB">
        <w:rPr>
          <w:i/>
          <w:iCs/>
          <w:noProof/>
        </w:rPr>
        <w:t>Journal of Business Research</w:t>
      </w:r>
      <w:r w:rsidR="00D7380B" w:rsidRPr="00B31BEB">
        <w:rPr>
          <w:noProof/>
        </w:rPr>
        <w:t xml:space="preserve">, </w:t>
      </w:r>
      <w:r w:rsidR="00D7380B" w:rsidRPr="00B31BEB">
        <w:rPr>
          <w:i/>
          <w:iCs/>
          <w:noProof/>
        </w:rPr>
        <w:t>86</w:t>
      </w:r>
      <w:r w:rsidR="00D7380B" w:rsidRPr="00B31BEB">
        <w:rPr>
          <w:noProof/>
        </w:rPr>
        <w:t>, (2018), 202–209.</w:t>
      </w:r>
    </w:p>
    <w:p w:rsidR="00D7380B" w:rsidRPr="00B31BEB" w:rsidRDefault="00D7380B" w:rsidP="00D7380B">
      <w:pPr>
        <w:widowControl w:val="0"/>
        <w:autoSpaceDE w:val="0"/>
        <w:autoSpaceDN w:val="0"/>
        <w:adjustRightInd w:val="0"/>
        <w:rPr>
          <w:noProof/>
        </w:rPr>
      </w:pPr>
      <w:r w:rsidRPr="00B31BEB">
        <w:rPr>
          <w:noProof/>
        </w:rPr>
        <w:t xml:space="preserve">17. Doru Alexandru, P.; Irina, M.; and Alice, C. Consumers’ </w:t>
      </w:r>
      <w:r w:rsidR="009E4003" w:rsidRPr="00B31BEB">
        <w:rPr>
          <w:noProof/>
        </w:rPr>
        <w:t>attitude towards consumer protection in the digital single market, as reflected by european barometers</w:t>
      </w:r>
      <w:r w:rsidRPr="00B31BEB">
        <w:rPr>
          <w:noProof/>
        </w:rPr>
        <w:t xml:space="preserve">. </w:t>
      </w:r>
      <w:r w:rsidRPr="00B31BEB">
        <w:rPr>
          <w:i/>
          <w:iCs/>
          <w:noProof/>
        </w:rPr>
        <w:t>Amfiteatru Economic</w:t>
      </w:r>
      <w:r w:rsidRPr="00B31BEB">
        <w:rPr>
          <w:noProof/>
        </w:rPr>
        <w:t xml:space="preserve">, </w:t>
      </w:r>
      <w:r w:rsidRPr="00B31BEB">
        <w:rPr>
          <w:i/>
          <w:iCs/>
          <w:noProof/>
        </w:rPr>
        <w:t>16</w:t>
      </w:r>
      <w:r w:rsidRPr="00B31BEB">
        <w:rPr>
          <w:noProof/>
        </w:rPr>
        <w:t>, 36 (2014), 563–577.</w:t>
      </w:r>
    </w:p>
    <w:p w:rsidR="00D7380B" w:rsidRPr="00B31BEB" w:rsidRDefault="00D7380B" w:rsidP="00D7380B">
      <w:pPr>
        <w:widowControl w:val="0"/>
        <w:autoSpaceDE w:val="0"/>
        <w:autoSpaceDN w:val="0"/>
        <w:adjustRightInd w:val="0"/>
        <w:rPr>
          <w:noProof/>
        </w:rPr>
      </w:pPr>
      <w:r w:rsidRPr="00B31BEB">
        <w:rPr>
          <w:noProof/>
        </w:rPr>
        <w:t xml:space="preserve">18. Dunlap, R.E.; Van Liere, K.D.; Mertig, A.G.; and Jones, R.E. New </w:t>
      </w:r>
      <w:r w:rsidR="009E4003" w:rsidRPr="00B31BEB">
        <w:rPr>
          <w:noProof/>
        </w:rPr>
        <w:t>trends in measuring environmental attitudes: measuring endorsement of the new ecological paradigm: a revised</w:t>
      </w:r>
      <w:r w:rsidRPr="00B31BEB">
        <w:rPr>
          <w:noProof/>
        </w:rPr>
        <w:t xml:space="preserve"> NEP </w:t>
      </w:r>
      <w:r w:rsidR="009E4003" w:rsidRPr="00B31BEB">
        <w:rPr>
          <w:noProof/>
        </w:rPr>
        <w:t>s</w:t>
      </w:r>
      <w:r w:rsidRPr="00B31BEB">
        <w:rPr>
          <w:noProof/>
        </w:rPr>
        <w:t xml:space="preserve">cale. </w:t>
      </w:r>
      <w:r w:rsidRPr="00B31BEB">
        <w:rPr>
          <w:i/>
          <w:iCs/>
          <w:noProof/>
        </w:rPr>
        <w:t>Journal of Social Issues</w:t>
      </w:r>
      <w:r w:rsidRPr="00B31BEB">
        <w:rPr>
          <w:noProof/>
        </w:rPr>
        <w:t xml:space="preserve">, </w:t>
      </w:r>
      <w:r w:rsidRPr="00B31BEB">
        <w:rPr>
          <w:i/>
          <w:iCs/>
          <w:noProof/>
        </w:rPr>
        <w:t>56</w:t>
      </w:r>
      <w:r w:rsidRPr="00B31BEB">
        <w:rPr>
          <w:noProof/>
        </w:rPr>
        <w:t>, 3 (2000), 425–442.</w:t>
      </w:r>
    </w:p>
    <w:p w:rsidR="00D7380B" w:rsidRPr="00B31BEB" w:rsidRDefault="00D7380B" w:rsidP="00D7380B">
      <w:pPr>
        <w:widowControl w:val="0"/>
        <w:autoSpaceDE w:val="0"/>
        <w:autoSpaceDN w:val="0"/>
        <w:adjustRightInd w:val="0"/>
        <w:rPr>
          <w:noProof/>
        </w:rPr>
      </w:pPr>
      <w:r w:rsidRPr="00B31BEB">
        <w:rPr>
          <w:noProof/>
        </w:rPr>
        <w:t xml:space="preserve">19. Edwards, J.B.; McKinnon, A.C.; and Cullinane, S.L. Comparative </w:t>
      </w:r>
      <w:r w:rsidR="009E4003" w:rsidRPr="00B31BEB">
        <w:rPr>
          <w:noProof/>
        </w:rPr>
        <w:t xml:space="preserve">analysis of the carbon footprints of conventional and online retailing: a “last mile” perspective. </w:t>
      </w:r>
      <w:r w:rsidRPr="00B31BEB">
        <w:rPr>
          <w:i/>
          <w:iCs/>
          <w:noProof/>
        </w:rPr>
        <w:t>International Journal of Physical Distribution and Logistics Management</w:t>
      </w:r>
      <w:r w:rsidRPr="00B31BEB">
        <w:rPr>
          <w:noProof/>
        </w:rPr>
        <w:t xml:space="preserve">, </w:t>
      </w:r>
      <w:r w:rsidRPr="00B31BEB">
        <w:rPr>
          <w:i/>
          <w:iCs/>
          <w:noProof/>
        </w:rPr>
        <w:t>40</w:t>
      </w:r>
      <w:r w:rsidRPr="00B31BEB">
        <w:rPr>
          <w:noProof/>
        </w:rPr>
        <w:t>, 1–2 (2010), 103–123.</w:t>
      </w:r>
    </w:p>
    <w:p w:rsidR="00D7380B" w:rsidRPr="00B31BEB" w:rsidRDefault="00D7380B" w:rsidP="00D7380B">
      <w:pPr>
        <w:widowControl w:val="0"/>
        <w:autoSpaceDE w:val="0"/>
        <w:autoSpaceDN w:val="0"/>
        <w:adjustRightInd w:val="0"/>
        <w:rPr>
          <w:noProof/>
        </w:rPr>
      </w:pPr>
      <w:r w:rsidRPr="00B31BEB">
        <w:rPr>
          <w:noProof/>
        </w:rPr>
        <w:t xml:space="preserve">20. Emeakaroha, V.C.; Fatema, K.; Van Der Werff, L.; Healy, P.; Lynn, T.; and Morrison, J.P. A Trust </w:t>
      </w:r>
      <w:r w:rsidR="009E4003" w:rsidRPr="00B31BEB">
        <w:rPr>
          <w:noProof/>
        </w:rPr>
        <w:t>label system for communicating trust in cloud services</w:t>
      </w:r>
      <w:r w:rsidRPr="00B31BEB">
        <w:rPr>
          <w:noProof/>
        </w:rPr>
        <w:t xml:space="preserve">. </w:t>
      </w:r>
      <w:r w:rsidRPr="00B31BEB">
        <w:rPr>
          <w:i/>
          <w:iCs/>
          <w:noProof/>
        </w:rPr>
        <w:t>IEEE Transactions on Services Computing</w:t>
      </w:r>
      <w:r w:rsidRPr="00B31BEB">
        <w:rPr>
          <w:noProof/>
        </w:rPr>
        <w:t xml:space="preserve">, </w:t>
      </w:r>
      <w:r w:rsidRPr="00B31BEB">
        <w:rPr>
          <w:i/>
          <w:iCs/>
          <w:noProof/>
        </w:rPr>
        <w:t>10</w:t>
      </w:r>
      <w:r w:rsidRPr="00B31BEB">
        <w:rPr>
          <w:noProof/>
        </w:rPr>
        <w:t>, 5 (2017), 689–700.</w:t>
      </w:r>
    </w:p>
    <w:p w:rsidR="00D7380B" w:rsidRPr="00B31BEB" w:rsidRDefault="00E9400B" w:rsidP="00D7380B">
      <w:pPr>
        <w:widowControl w:val="0"/>
        <w:autoSpaceDE w:val="0"/>
        <w:autoSpaceDN w:val="0"/>
        <w:adjustRightInd w:val="0"/>
        <w:rPr>
          <w:noProof/>
        </w:rPr>
      </w:pPr>
      <w:r w:rsidRPr="00B31BEB">
        <w:rPr>
          <w:noProof/>
        </w:rPr>
        <w:t>21. Falk, M.,</w:t>
      </w:r>
      <w:r w:rsidR="00D7380B" w:rsidRPr="00B31BEB">
        <w:rPr>
          <w:noProof/>
        </w:rPr>
        <w:t xml:space="preserve"> and Hagsten, E. E-commerce trends and impacts across Europe. </w:t>
      </w:r>
      <w:r w:rsidR="00D7380B" w:rsidRPr="00B31BEB">
        <w:rPr>
          <w:i/>
          <w:iCs/>
          <w:noProof/>
        </w:rPr>
        <w:t>International Journal of Production Economics</w:t>
      </w:r>
      <w:r w:rsidR="00D7380B" w:rsidRPr="00B31BEB">
        <w:rPr>
          <w:noProof/>
        </w:rPr>
        <w:t xml:space="preserve">, </w:t>
      </w:r>
      <w:r w:rsidR="00D7380B" w:rsidRPr="00B31BEB">
        <w:rPr>
          <w:i/>
          <w:iCs/>
          <w:noProof/>
        </w:rPr>
        <w:t>170</w:t>
      </w:r>
      <w:r w:rsidR="00D7380B" w:rsidRPr="00B31BEB">
        <w:rPr>
          <w:noProof/>
        </w:rPr>
        <w:t>, (2015), 357–369.</w:t>
      </w:r>
    </w:p>
    <w:p w:rsidR="00D7380B" w:rsidRPr="00B31BEB" w:rsidRDefault="00D7380B" w:rsidP="00D7380B">
      <w:pPr>
        <w:widowControl w:val="0"/>
        <w:autoSpaceDE w:val="0"/>
        <w:autoSpaceDN w:val="0"/>
        <w:adjustRightInd w:val="0"/>
        <w:rPr>
          <w:noProof/>
        </w:rPr>
      </w:pPr>
      <w:r w:rsidRPr="00B31BEB">
        <w:rPr>
          <w:noProof/>
        </w:rPr>
        <w:t xml:space="preserve">22. Fecke, W.; Danne, M.; and Musshoff, O. E-commerce in agriculture – </w:t>
      </w:r>
      <w:r w:rsidR="009E4003" w:rsidRPr="00B31BEB">
        <w:rPr>
          <w:noProof/>
        </w:rPr>
        <w:t>the</w:t>
      </w:r>
      <w:r w:rsidRPr="00B31BEB">
        <w:rPr>
          <w:noProof/>
        </w:rPr>
        <w:t xml:space="preserve"> case of crop protection product purchases in a discrete choice experiment. </w:t>
      </w:r>
      <w:r w:rsidRPr="00B31BEB">
        <w:rPr>
          <w:i/>
          <w:iCs/>
          <w:noProof/>
        </w:rPr>
        <w:t>Computers and Electronics in Agriculture</w:t>
      </w:r>
      <w:r w:rsidRPr="00B31BEB">
        <w:rPr>
          <w:noProof/>
        </w:rPr>
        <w:t xml:space="preserve">, </w:t>
      </w:r>
      <w:r w:rsidRPr="00B31BEB">
        <w:rPr>
          <w:i/>
          <w:iCs/>
          <w:noProof/>
        </w:rPr>
        <w:t>151</w:t>
      </w:r>
      <w:r w:rsidRPr="00B31BEB">
        <w:rPr>
          <w:noProof/>
        </w:rPr>
        <w:t>, C (2018), 126–135.</w:t>
      </w:r>
    </w:p>
    <w:p w:rsidR="00D7380B" w:rsidRPr="00B31BEB" w:rsidRDefault="00D7380B" w:rsidP="00D7380B">
      <w:pPr>
        <w:widowControl w:val="0"/>
        <w:autoSpaceDE w:val="0"/>
        <w:autoSpaceDN w:val="0"/>
        <w:adjustRightInd w:val="0"/>
        <w:rPr>
          <w:noProof/>
        </w:rPr>
      </w:pPr>
      <w:r w:rsidRPr="00B31BEB">
        <w:rPr>
          <w:noProof/>
        </w:rPr>
        <w:t xml:space="preserve">23. Gomez-Herrera, E.; Martens, B.; and Turlea, G. The drivers and impediments for cross-border e-commerce in the EU. </w:t>
      </w:r>
      <w:r w:rsidRPr="00B31BEB">
        <w:rPr>
          <w:i/>
          <w:iCs/>
          <w:noProof/>
        </w:rPr>
        <w:t>Information Economics and Policy</w:t>
      </w:r>
      <w:r w:rsidRPr="00B31BEB">
        <w:rPr>
          <w:noProof/>
        </w:rPr>
        <w:t xml:space="preserve">, </w:t>
      </w:r>
      <w:r w:rsidRPr="00B31BEB">
        <w:rPr>
          <w:i/>
          <w:iCs/>
          <w:noProof/>
        </w:rPr>
        <w:t>28</w:t>
      </w:r>
      <w:r w:rsidRPr="00B31BEB">
        <w:rPr>
          <w:noProof/>
        </w:rPr>
        <w:t xml:space="preserve">, 1 (2014), </w:t>
      </w:r>
      <w:r w:rsidRPr="00B31BEB">
        <w:rPr>
          <w:noProof/>
        </w:rPr>
        <w:lastRenderedPageBreak/>
        <w:t>83–96.</w:t>
      </w:r>
    </w:p>
    <w:p w:rsidR="00D7380B" w:rsidRPr="00B31BEB" w:rsidRDefault="00E9400B" w:rsidP="00D7380B">
      <w:pPr>
        <w:widowControl w:val="0"/>
        <w:autoSpaceDE w:val="0"/>
        <w:autoSpaceDN w:val="0"/>
        <w:adjustRightInd w:val="0"/>
        <w:rPr>
          <w:noProof/>
        </w:rPr>
      </w:pPr>
      <w:r w:rsidRPr="00B31BEB">
        <w:rPr>
          <w:noProof/>
        </w:rPr>
        <w:t>24. Han, C.M.,</w:t>
      </w:r>
      <w:r w:rsidR="00D7380B" w:rsidRPr="00B31BEB">
        <w:rPr>
          <w:noProof/>
        </w:rPr>
        <w:t xml:space="preserve"> and Won, S. Bin. Cross-country differences in consumer cosmopolitanism and ethnocentrism:</w:t>
      </w:r>
      <w:r w:rsidR="00075F27" w:rsidRPr="00B31BEB">
        <w:rPr>
          <w:noProof/>
        </w:rPr>
        <w:t xml:space="preserve"> a m</w:t>
      </w:r>
      <w:r w:rsidR="00D7380B" w:rsidRPr="00B31BEB">
        <w:rPr>
          <w:noProof/>
        </w:rPr>
        <w:t xml:space="preserve">ultilevel analysis with 21 countries. </w:t>
      </w:r>
      <w:r w:rsidR="00D7380B" w:rsidRPr="00B31BEB">
        <w:rPr>
          <w:i/>
          <w:iCs/>
          <w:noProof/>
        </w:rPr>
        <w:t>Journal of Consumer Behaviour</w:t>
      </w:r>
      <w:r w:rsidR="00D7380B" w:rsidRPr="00B31BEB">
        <w:rPr>
          <w:noProof/>
        </w:rPr>
        <w:t xml:space="preserve">, </w:t>
      </w:r>
      <w:r w:rsidR="00D7380B" w:rsidRPr="00B31BEB">
        <w:rPr>
          <w:i/>
          <w:iCs/>
          <w:noProof/>
        </w:rPr>
        <w:t>17</w:t>
      </w:r>
      <w:r w:rsidR="00E64471" w:rsidRPr="00B31BEB">
        <w:rPr>
          <w:noProof/>
        </w:rPr>
        <w:t xml:space="preserve">, 1 (2018), </w:t>
      </w:r>
      <w:r w:rsidR="00D7380B" w:rsidRPr="00B31BEB">
        <w:rPr>
          <w:noProof/>
        </w:rPr>
        <w:t>52–66.</w:t>
      </w:r>
    </w:p>
    <w:p w:rsidR="00D7380B" w:rsidRPr="00B31BEB" w:rsidRDefault="00D7380B" w:rsidP="00D7380B">
      <w:pPr>
        <w:widowControl w:val="0"/>
        <w:autoSpaceDE w:val="0"/>
        <w:autoSpaceDN w:val="0"/>
        <w:adjustRightInd w:val="0"/>
        <w:rPr>
          <w:noProof/>
        </w:rPr>
      </w:pPr>
      <w:r w:rsidRPr="00B31BEB">
        <w:rPr>
          <w:noProof/>
        </w:rPr>
        <w:t xml:space="preserve">25. Heidenreich, S.; Watson, V.; Ryan, M.; and Phimister, E. Decision heuristic or preference? </w:t>
      </w:r>
      <w:r w:rsidR="00075F27" w:rsidRPr="00B31BEB">
        <w:rPr>
          <w:noProof/>
        </w:rPr>
        <w:t>a</w:t>
      </w:r>
      <w:r w:rsidRPr="00B31BEB">
        <w:rPr>
          <w:noProof/>
        </w:rPr>
        <w:t xml:space="preserve">ttribute non-attendance in discrete choice problems. </w:t>
      </w:r>
      <w:r w:rsidRPr="00B31BEB">
        <w:rPr>
          <w:i/>
          <w:iCs/>
          <w:noProof/>
        </w:rPr>
        <w:t>Health Economics (United Kingdom)</w:t>
      </w:r>
      <w:r w:rsidRPr="00B31BEB">
        <w:rPr>
          <w:noProof/>
        </w:rPr>
        <w:t xml:space="preserve">, </w:t>
      </w:r>
      <w:r w:rsidRPr="00B31BEB">
        <w:rPr>
          <w:i/>
          <w:iCs/>
          <w:noProof/>
        </w:rPr>
        <w:t>27</w:t>
      </w:r>
      <w:r w:rsidRPr="00B31BEB">
        <w:rPr>
          <w:noProof/>
        </w:rPr>
        <w:t>, 1 (2018), 157–171.</w:t>
      </w:r>
    </w:p>
    <w:p w:rsidR="00D7380B" w:rsidRPr="00B31BEB" w:rsidRDefault="00D7380B" w:rsidP="00D7380B">
      <w:pPr>
        <w:widowControl w:val="0"/>
        <w:autoSpaceDE w:val="0"/>
        <w:autoSpaceDN w:val="0"/>
        <w:adjustRightInd w:val="0"/>
        <w:rPr>
          <w:noProof/>
        </w:rPr>
      </w:pPr>
      <w:r w:rsidRPr="00B31BEB">
        <w:rPr>
          <w:noProof/>
        </w:rPr>
        <w:t xml:space="preserve">26. Hensher, D.A. How do respondents process stated choice experiments? </w:t>
      </w:r>
      <w:r w:rsidR="00075F27" w:rsidRPr="00B31BEB">
        <w:rPr>
          <w:noProof/>
        </w:rPr>
        <w:t>at</w:t>
      </w:r>
      <w:r w:rsidRPr="00B31BEB">
        <w:rPr>
          <w:noProof/>
        </w:rPr>
        <w:t xml:space="preserve">tribute consideration under varying information load. </w:t>
      </w:r>
      <w:r w:rsidRPr="00B31BEB">
        <w:rPr>
          <w:i/>
          <w:iCs/>
          <w:noProof/>
        </w:rPr>
        <w:t>Journal of Applied Econometrics</w:t>
      </w:r>
      <w:r w:rsidRPr="00B31BEB">
        <w:rPr>
          <w:noProof/>
        </w:rPr>
        <w:t xml:space="preserve">, </w:t>
      </w:r>
      <w:r w:rsidRPr="00B31BEB">
        <w:rPr>
          <w:i/>
          <w:iCs/>
          <w:noProof/>
        </w:rPr>
        <w:t>21</w:t>
      </w:r>
      <w:r w:rsidRPr="00B31BEB">
        <w:rPr>
          <w:noProof/>
        </w:rPr>
        <w:t>, 6 (2006), 861–878.</w:t>
      </w:r>
    </w:p>
    <w:p w:rsidR="00D7380B" w:rsidRPr="00B31BEB" w:rsidRDefault="00D7380B" w:rsidP="00D7380B">
      <w:pPr>
        <w:widowControl w:val="0"/>
        <w:autoSpaceDE w:val="0"/>
        <w:autoSpaceDN w:val="0"/>
        <w:adjustRightInd w:val="0"/>
        <w:rPr>
          <w:noProof/>
        </w:rPr>
      </w:pPr>
      <w:r w:rsidRPr="00B31BEB">
        <w:rPr>
          <w:noProof/>
        </w:rPr>
        <w:t xml:space="preserve">27. Hensher, D.A.; Rose, J.; and Greene, W.H. The implications on willingness to pay of respondents ignoring specific attributes. </w:t>
      </w:r>
      <w:r w:rsidRPr="00B31BEB">
        <w:rPr>
          <w:i/>
          <w:iCs/>
          <w:noProof/>
        </w:rPr>
        <w:t>Transportation</w:t>
      </w:r>
      <w:r w:rsidRPr="00B31BEB">
        <w:rPr>
          <w:noProof/>
        </w:rPr>
        <w:t xml:space="preserve">, </w:t>
      </w:r>
      <w:r w:rsidRPr="00B31BEB">
        <w:rPr>
          <w:i/>
          <w:iCs/>
          <w:noProof/>
        </w:rPr>
        <w:t>32</w:t>
      </w:r>
      <w:r w:rsidRPr="00B31BEB">
        <w:rPr>
          <w:noProof/>
        </w:rPr>
        <w:t>, 3 (2005), 203–222.</w:t>
      </w:r>
    </w:p>
    <w:p w:rsidR="00D7380B" w:rsidRPr="00B31BEB" w:rsidRDefault="00D7380B" w:rsidP="00D7380B">
      <w:pPr>
        <w:widowControl w:val="0"/>
        <w:autoSpaceDE w:val="0"/>
        <w:autoSpaceDN w:val="0"/>
        <w:adjustRightInd w:val="0"/>
        <w:rPr>
          <w:noProof/>
        </w:rPr>
      </w:pPr>
      <w:r w:rsidRPr="00B31BEB">
        <w:rPr>
          <w:noProof/>
        </w:rPr>
        <w:t xml:space="preserve">28. Herrando, C.; Jimenez-Martinez, J.; and Martin-De Hoyos, M.J. Tell me your age and I tell you what you trust: the moderating effect of generations. </w:t>
      </w:r>
      <w:r w:rsidRPr="00B31BEB">
        <w:rPr>
          <w:i/>
          <w:iCs/>
          <w:noProof/>
        </w:rPr>
        <w:t>Internet Research</w:t>
      </w:r>
      <w:r w:rsidRPr="00B31BEB">
        <w:rPr>
          <w:noProof/>
        </w:rPr>
        <w:t xml:space="preserve">, </w:t>
      </w:r>
      <w:r w:rsidRPr="00B31BEB">
        <w:rPr>
          <w:i/>
          <w:iCs/>
          <w:noProof/>
        </w:rPr>
        <w:t>29</w:t>
      </w:r>
      <w:r w:rsidRPr="00B31BEB">
        <w:rPr>
          <w:noProof/>
        </w:rPr>
        <w:t>, 4 (2019), 799–817.</w:t>
      </w:r>
    </w:p>
    <w:p w:rsidR="00D7380B" w:rsidRPr="00B31BEB" w:rsidRDefault="00D7380B" w:rsidP="00D7380B">
      <w:pPr>
        <w:widowControl w:val="0"/>
        <w:autoSpaceDE w:val="0"/>
        <w:autoSpaceDN w:val="0"/>
        <w:adjustRightInd w:val="0"/>
        <w:rPr>
          <w:noProof/>
        </w:rPr>
      </w:pPr>
      <w:r w:rsidRPr="00B31BEB">
        <w:rPr>
          <w:noProof/>
        </w:rPr>
        <w:t xml:space="preserve">29. Hess, S.; Stathopoulos, A.; Campbell, D.; O’Neill, V.; and Caussade, S. It’s not that I don’t care, I just don’t care very much: </w:t>
      </w:r>
      <w:r w:rsidR="00075F27" w:rsidRPr="00B31BEB">
        <w:rPr>
          <w:noProof/>
        </w:rPr>
        <w:t>co</w:t>
      </w:r>
      <w:r w:rsidRPr="00B31BEB">
        <w:rPr>
          <w:noProof/>
        </w:rPr>
        <w:t xml:space="preserve">nfounding between attribute non-attendance and taste heterogeneity. </w:t>
      </w:r>
      <w:r w:rsidRPr="00B31BEB">
        <w:rPr>
          <w:i/>
          <w:iCs/>
          <w:noProof/>
        </w:rPr>
        <w:t>Transportation</w:t>
      </w:r>
      <w:r w:rsidRPr="00B31BEB">
        <w:rPr>
          <w:noProof/>
        </w:rPr>
        <w:t xml:space="preserve">, </w:t>
      </w:r>
      <w:r w:rsidRPr="00B31BEB">
        <w:rPr>
          <w:i/>
          <w:iCs/>
          <w:noProof/>
        </w:rPr>
        <w:t>40</w:t>
      </w:r>
      <w:r w:rsidRPr="00B31BEB">
        <w:rPr>
          <w:noProof/>
        </w:rPr>
        <w:t>, 3 (2013), 583–607.</w:t>
      </w:r>
    </w:p>
    <w:p w:rsidR="00D7380B" w:rsidRPr="00B31BEB" w:rsidRDefault="00D7380B" w:rsidP="00D7380B">
      <w:pPr>
        <w:widowControl w:val="0"/>
        <w:autoSpaceDE w:val="0"/>
        <w:autoSpaceDN w:val="0"/>
        <w:adjustRightInd w:val="0"/>
        <w:rPr>
          <w:noProof/>
        </w:rPr>
      </w:pPr>
      <w:r w:rsidRPr="00B31BEB">
        <w:rPr>
          <w:noProof/>
        </w:rPr>
        <w:t xml:space="preserve">30. Hoffmann, C.P.; Lutz, C.; and Meckel, M. Digital </w:t>
      </w:r>
      <w:r w:rsidR="00075F27" w:rsidRPr="00B31BEB">
        <w:rPr>
          <w:noProof/>
        </w:rPr>
        <w:t xml:space="preserve">natives or digital immigrants? the impact of user characteristics on online trust. </w:t>
      </w:r>
      <w:r w:rsidRPr="00B31BEB">
        <w:rPr>
          <w:i/>
          <w:iCs/>
          <w:noProof/>
        </w:rPr>
        <w:t>Journal of Management Information Systems</w:t>
      </w:r>
      <w:r w:rsidRPr="00B31BEB">
        <w:rPr>
          <w:noProof/>
        </w:rPr>
        <w:t xml:space="preserve">, </w:t>
      </w:r>
      <w:r w:rsidRPr="00B31BEB">
        <w:rPr>
          <w:i/>
          <w:iCs/>
          <w:noProof/>
        </w:rPr>
        <w:t>31</w:t>
      </w:r>
      <w:r w:rsidRPr="00B31BEB">
        <w:rPr>
          <w:noProof/>
        </w:rPr>
        <w:t>, 3 (2014), 138–171.</w:t>
      </w:r>
    </w:p>
    <w:p w:rsidR="00D7380B" w:rsidRPr="00B31BEB" w:rsidRDefault="00D7380B" w:rsidP="00D7380B">
      <w:pPr>
        <w:widowControl w:val="0"/>
        <w:autoSpaceDE w:val="0"/>
        <w:autoSpaceDN w:val="0"/>
        <w:adjustRightInd w:val="0"/>
        <w:rPr>
          <w:noProof/>
        </w:rPr>
      </w:pPr>
      <w:r w:rsidRPr="00B31BEB">
        <w:rPr>
          <w:noProof/>
        </w:rPr>
        <w:t xml:space="preserve">31. Hole, A.R. A discrete choice model with endogenous attribute attendance. </w:t>
      </w:r>
      <w:r w:rsidRPr="00B31BEB">
        <w:rPr>
          <w:i/>
          <w:iCs/>
          <w:noProof/>
        </w:rPr>
        <w:t>Economics Letters</w:t>
      </w:r>
      <w:r w:rsidRPr="00B31BEB">
        <w:rPr>
          <w:noProof/>
        </w:rPr>
        <w:t xml:space="preserve">, </w:t>
      </w:r>
      <w:r w:rsidRPr="00B31BEB">
        <w:rPr>
          <w:i/>
          <w:iCs/>
          <w:noProof/>
        </w:rPr>
        <w:t>110</w:t>
      </w:r>
      <w:r w:rsidRPr="00B31BEB">
        <w:rPr>
          <w:noProof/>
        </w:rPr>
        <w:t>, 3 (2011), 203–205.</w:t>
      </w:r>
    </w:p>
    <w:p w:rsidR="00D7380B" w:rsidRPr="00B31BEB" w:rsidRDefault="00D7380B" w:rsidP="00D7380B">
      <w:pPr>
        <w:widowControl w:val="0"/>
        <w:autoSpaceDE w:val="0"/>
        <w:autoSpaceDN w:val="0"/>
        <w:adjustRightInd w:val="0"/>
        <w:rPr>
          <w:noProof/>
        </w:rPr>
      </w:pPr>
      <w:r w:rsidRPr="00B31BEB">
        <w:rPr>
          <w:noProof/>
        </w:rPr>
        <w:t xml:space="preserve">32. Hole, A.R.; Kolstad, J.R.; and Gyrd-Hansen, D. Inferred vs. stated attribute non-attendance in choice experiments: </w:t>
      </w:r>
      <w:r w:rsidR="00075F27" w:rsidRPr="00B31BEB">
        <w:rPr>
          <w:noProof/>
        </w:rPr>
        <w:t>a</w:t>
      </w:r>
      <w:r w:rsidRPr="00B31BEB">
        <w:rPr>
          <w:noProof/>
        </w:rPr>
        <w:t xml:space="preserve"> study of doctors’ prescription behaviour. </w:t>
      </w:r>
      <w:r w:rsidRPr="00B31BEB">
        <w:rPr>
          <w:i/>
          <w:iCs/>
          <w:noProof/>
        </w:rPr>
        <w:t xml:space="preserve">Journal of </w:t>
      </w:r>
      <w:r w:rsidRPr="00B31BEB">
        <w:rPr>
          <w:i/>
          <w:iCs/>
          <w:noProof/>
        </w:rPr>
        <w:lastRenderedPageBreak/>
        <w:t>Economic Behavior and Organization</w:t>
      </w:r>
      <w:r w:rsidRPr="00B31BEB">
        <w:rPr>
          <w:noProof/>
        </w:rPr>
        <w:t xml:space="preserve">, </w:t>
      </w:r>
      <w:r w:rsidRPr="00B31BEB">
        <w:rPr>
          <w:i/>
          <w:iCs/>
          <w:noProof/>
        </w:rPr>
        <w:t>96</w:t>
      </w:r>
      <w:r w:rsidRPr="00B31BEB">
        <w:rPr>
          <w:noProof/>
        </w:rPr>
        <w:t>, (2013), 21–31.</w:t>
      </w:r>
    </w:p>
    <w:p w:rsidR="00D7380B" w:rsidRPr="00B31BEB" w:rsidRDefault="00E9400B" w:rsidP="00D7380B">
      <w:pPr>
        <w:widowControl w:val="0"/>
        <w:autoSpaceDE w:val="0"/>
        <w:autoSpaceDN w:val="0"/>
        <w:adjustRightInd w:val="0"/>
        <w:rPr>
          <w:noProof/>
        </w:rPr>
      </w:pPr>
      <w:r w:rsidRPr="00B31BEB">
        <w:rPr>
          <w:noProof/>
        </w:rPr>
        <w:t>33. Hong, I.B.,</w:t>
      </w:r>
      <w:r w:rsidR="00D7380B" w:rsidRPr="00B31BEB">
        <w:rPr>
          <w:noProof/>
        </w:rPr>
        <w:t xml:space="preserve"> and Cho, H. The impact of consumer trust on attitudinal loyalty and purchase intentions in B2C e-marketplaces: </w:t>
      </w:r>
      <w:r w:rsidR="00840812" w:rsidRPr="00B31BEB">
        <w:rPr>
          <w:noProof/>
        </w:rPr>
        <w:t>i</w:t>
      </w:r>
      <w:r w:rsidR="00D7380B" w:rsidRPr="00B31BEB">
        <w:rPr>
          <w:noProof/>
        </w:rPr>
        <w:t xml:space="preserve">ntermediary trust vs. seller trust. </w:t>
      </w:r>
      <w:r w:rsidR="00D7380B" w:rsidRPr="00B31BEB">
        <w:rPr>
          <w:i/>
          <w:iCs/>
          <w:noProof/>
        </w:rPr>
        <w:t>International Journal of Information Management</w:t>
      </w:r>
      <w:r w:rsidR="00D7380B" w:rsidRPr="00B31BEB">
        <w:rPr>
          <w:noProof/>
        </w:rPr>
        <w:t xml:space="preserve">, </w:t>
      </w:r>
      <w:r w:rsidR="00D7380B" w:rsidRPr="00B31BEB">
        <w:rPr>
          <w:i/>
          <w:iCs/>
          <w:noProof/>
        </w:rPr>
        <w:t>31</w:t>
      </w:r>
      <w:r w:rsidR="00D7380B" w:rsidRPr="00B31BEB">
        <w:rPr>
          <w:noProof/>
        </w:rPr>
        <w:t>, 5 (2011), 469–479.</w:t>
      </w:r>
    </w:p>
    <w:p w:rsidR="00D7380B" w:rsidRPr="00B31BEB" w:rsidRDefault="00D7380B" w:rsidP="00D7380B">
      <w:pPr>
        <w:widowControl w:val="0"/>
        <w:autoSpaceDE w:val="0"/>
        <w:autoSpaceDN w:val="0"/>
        <w:adjustRightInd w:val="0"/>
        <w:rPr>
          <w:noProof/>
        </w:rPr>
      </w:pPr>
      <w:r w:rsidRPr="00B31BEB">
        <w:rPr>
          <w:noProof/>
        </w:rPr>
        <w:t xml:space="preserve">34. Johnston, A.I. Is Chinese nationalism rising? </w:t>
      </w:r>
      <w:r w:rsidR="00840812" w:rsidRPr="00B31BEB">
        <w:rPr>
          <w:noProof/>
        </w:rPr>
        <w:t>e</w:t>
      </w:r>
      <w:r w:rsidRPr="00B31BEB">
        <w:rPr>
          <w:noProof/>
        </w:rPr>
        <w:t xml:space="preserve">vidence from Beijing. </w:t>
      </w:r>
      <w:r w:rsidRPr="00B31BEB">
        <w:rPr>
          <w:i/>
          <w:iCs/>
          <w:noProof/>
        </w:rPr>
        <w:t>International Security</w:t>
      </w:r>
      <w:r w:rsidRPr="00B31BEB">
        <w:rPr>
          <w:noProof/>
        </w:rPr>
        <w:t xml:space="preserve">, </w:t>
      </w:r>
      <w:r w:rsidRPr="00B31BEB">
        <w:rPr>
          <w:i/>
          <w:iCs/>
          <w:noProof/>
        </w:rPr>
        <w:t>41</w:t>
      </w:r>
      <w:r w:rsidRPr="00B31BEB">
        <w:rPr>
          <w:noProof/>
        </w:rPr>
        <w:t>, 3 (2017), 7–43.</w:t>
      </w:r>
    </w:p>
    <w:p w:rsidR="00D7380B" w:rsidRPr="00B31BEB" w:rsidRDefault="00D7380B" w:rsidP="00D7380B">
      <w:pPr>
        <w:widowControl w:val="0"/>
        <w:autoSpaceDE w:val="0"/>
        <w:autoSpaceDN w:val="0"/>
        <w:adjustRightInd w:val="0"/>
        <w:rPr>
          <w:noProof/>
        </w:rPr>
      </w:pPr>
      <w:r w:rsidRPr="00B31BEB">
        <w:rPr>
          <w:noProof/>
        </w:rPr>
        <w:t xml:space="preserve">35. Kim, D.J. A study of the multilevel and dynamic nature of trust in </w:t>
      </w:r>
      <w:r w:rsidR="00840812" w:rsidRPr="00B31BEB">
        <w:rPr>
          <w:noProof/>
        </w:rPr>
        <w:t>e</w:t>
      </w:r>
      <w:r w:rsidRPr="00B31BEB">
        <w:rPr>
          <w:noProof/>
        </w:rPr>
        <w:t xml:space="preserve">-commerce from a cross-stage perspective. </w:t>
      </w:r>
      <w:r w:rsidRPr="00B31BEB">
        <w:rPr>
          <w:i/>
          <w:iCs/>
          <w:noProof/>
        </w:rPr>
        <w:t>International Journal of Electronic Commerce</w:t>
      </w:r>
      <w:r w:rsidRPr="00B31BEB">
        <w:rPr>
          <w:noProof/>
        </w:rPr>
        <w:t xml:space="preserve">, </w:t>
      </w:r>
      <w:r w:rsidRPr="00B31BEB">
        <w:rPr>
          <w:i/>
          <w:iCs/>
          <w:noProof/>
        </w:rPr>
        <w:t>19</w:t>
      </w:r>
      <w:r w:rsidRPr="00B31BEB">
        <w:rPr>
          <w:noProof/>
        </w:rPr>
        <w:t>, 1 (2014), 11–64.</w:t>
      </w:r>
    </w:p>
    <w:p w:rsidR="00D7380B" w:rsidRPr="00B31BEB" w:rsidRDefault="00D7380B" w:rsidP="00D7380B">
      <w:pPr>
        <w:widowControl w:val="0"/>
        <w:autoSpaceDE w:val="0"/>
        <w:autoSpaceDN w:val="0"/>
        <w:adjustRightInd w:val="0"/>
        <w:rPr>
          <w:noProof/>
        </w:rPr>
      </w:pPr>
      <w:r w:rsidRPr="00B31BEB">
        <w:rPr>
          <w:noProof/>
        </w:rPr>
        <w:t xml:space="preserve">36. Kim, D.J.; Ferrin, D.L.; and Rao, H.R. A trust-based consumer decision-making model in electronic commerce: </w:t>
      </w:r>
      <w:r w:rsidR="00840812" w:rsidRPr="00B31BEB">
        <w:rPr>
          <w:noProof/>
        </w:rPr>
        <w:t>t</w:t>
      </w:r>
      <w:r w:rsidRPr="00B31BEB">
        <w:rPr>
          <w:noProof/>
        </w:rPr>
        <w:t xml:space="preserve">he role of trust, perceived risk, and their antecedents. </w:t>
      </w:r>
      <w:r w:rsidRPr="00B31BEB">
        <w:rPr>
          <w:i/>
          <w:iCs/>
          <w:noProof/>
        </w:rPr>
        <w:t>Decision Support Systems</w:t>
      </w:r>
      <w:r w:rsidRPr="00B31BEB">
        <w:rPr>
          <w:noProof/>
        </w:rPr>
        <w:t xml:space="preserve">, </w:t>
      </w:r>
      <w:r w:rsidRPr="00B31BEB">
        <w:rPr>
          <w:i/>
          <w:iCs/>
          <w:noProof/>
        </w:rPr>
        <w:t>44</w:t>
      </w:r>
      <w:r w:rsidRPr="00B31BEB">
        <w:rPr>
          <w:noProof/>
        </w:rPr>
        <w:t>, 2 (2008), 544–564.</w:t>
      </w:r>
    </w:p>
    <w:p w:rsidR="00D7380B" w:rsidRPr="00B31BEB" w:rsidRDefault="00D7380B" w:rsidP="00D7380B">
      <w:pPr>
        <w:widowControl w:val="0"/>
        <w:autoSpaceDE w:val="0"/>
        <w:autoSpaceDN w:val="0"/>
        <w:adjustRightInd w:val="0"/>
        <w:rPr>
          <w:noProof/>
        </w:rPr>
      </w:pPr>
      <w:r w:rsidRPr="00B31BEB">
        <w:rPr>
          <w:noProof/>
        </w:rPr>
        <w:t xml:space="preserve">37. Kim, T.Y.; Dekker, R.; and Heij, C. Cross-border electronic commerce: </w:t>
      </w:r>
      <w:r w:rsidR="00840812" w:rsidRPr="00B31BEB">
        <w:rPr>
          <w:noProof/>
        </w:rPr>
        <w:t>dist</w:t>
      </w:r>
      <w:r w:rsidRPr="00B31BEB">
        <w:rPr>
          <w:noProof/>
        </w:rPr>
        <w:t xml:space="preserve">ance effects and express delivery in European union markets. </w:t>
      </w:r>
      <w:r w:rsidRPr="00B31BEB">
        <w:rPr>
          <w:i/>
          <w:iCs/>
          <w:noProof/>
        </w:rPr>
        <w:t>International Journal of Electronic Commerce</w:t>
      </w:r>
      <w:r w:rsidRPr="00B31BEB">
        <w:rPr>
          <w:noProof/>
        </w:rPr>
        <w:t xml:space="preserve">, </w:t>
      </w:r>
      <w:r w:rsidRPr="00B31BEB">
        <w:rPr>
          <w:i/>
          <w:iCs/>
          <w:noProof/>
        </w:rPr>
        <w:t>21</w:t>
      </w:r>
      <w:r w:rsidRPr="00B31BEB">
        <w:rPr>
          <w:noProof/>
        </w:rPr>
        <w:t>, 2 (2017), 184–218.</w:t>
      </w:r>
    </w:p>
    <w:p w:rsidR="00D7380B" w:rsidRPr="00B31BEB" w:rsidRDefault="00D7380B" w:rsidP="00D7380B">
      <w:pPr>
        <w:widowControl w:val="0"/>
        <w:autoSpaceDE w:val="0"/>
        <w:autoSpaceDN w:val="0"/>
        <w:adjustRightInd w:val="0"/>
        <w:rPr>
          <w:noProof/>
        </w:rPr>
      </w:pPr>
      <w:r w:rsidRPr="00B31BEB">
        <w:rPr>
          <w:noProof/>
        </w:rPr>
        <w:t xml:space="preserve">38. King, R.C.; Schilhavy, R.A.M.; Chowa, C.; and Chin, W.W. Do customers identify with our website? </w:t>
      </w:r>
      <w:r w:rsidR="00840812" w:rsidRPr="00B31BEB">
        <w:rPr>
          <w:noProof/>
        </w:rPr>
        <w:t>t</w:t>
      </w:r>
      <w:r w:rsidRPr="00B31BEB">
        <w:rPr>
          <w:noProof/>
        </w:rPr>
        <w:t xml:space="preserve">he effects of website identification on repeat purchase intention. </w:t>
      </w:r>
      <w:r w:rsidRPr="00B31BEB">
        <w:rPr>
          <w:i/>
          <w:iCs/>
          <w:noProof/>
        </w:rPr>
        <w:t>International Journal of Electronic Commerce</w:t>
      </w:r>
      <w:r w:rsidRPr="00B31BEB">
        <w:rPr>
          <w:noProof/>
        </w:rPr>
        <w:t xml:space="preserve">, </w:t>
      </w:r>
      <w:r w:rsidRPr="00B31BEB">
        <w:rPr>
          <w:i/>
          <w:iCs/>
          <w:noProof/>
        </w:rPr>
        <w:t>20</w:t>
      </w:r>
      <w:r w:rsidRPr="00B31BEB">
        <w:rPr>
          <w:noProof/>
        </w:rPr>
        <w:t>, 3 (2016), 319–354.</w:t>
      </w:r>
    </w:p>
    <w:p w:rsidR="00D7380B" w:rsidRPr="00B31BEB" w:rsidRDefault="00D7380B" w:rsidP="00D7380B">
      <w:pPr>
        <w:widowControl w:val="0"/>
        <w:autoSpaceDE w:val="0"/>
        <w:autoSpaceDN w:val="0"/>
        <w:adjustRightInd w:val="0"/>
        <w:rPr>
          <w:noProof/>
        </w:rPr>
      </w:pPr>
      <w:r w:rsidRPr="00B31BEB">
        <w:rPr>
          <w:noProof/>
        </w:rPr>
        <w:t xml:space="preserve">39. Lachaab, M.; Ansari, A.; Jedidi, K.; and Trabelsi, A. Modeling preference evolution in discrete choice models: </w:t>
      </w:r>
      <w:r w:rsidR="00840812" w:rsidRPr="00B31BEB">
        <w:rPr>
          <w:noProof/>
        </w:rPr>
        <w:t>a bay</w:t>
      </w:r>
      <w:r w:rsidRPr="00B31BEB">
        <w:rPr>
          <w:noProof/>
        </w:rPr>
        <w:t xml:space="preserve">esian state-space approach. </w:t>
      </w:r>
      <w:r w:rsidRPr="00B31BEB">
        <w:rPr>
          <w:i/>
          <w:iCs/>
          <w:noProof/>
        </w:rPr>
        <w:t>Quantitative Marketing and Economics</w:t>
      </w:r>
      <w:r w:rsidRPr="00B31BEB">
        <w:rPr>
          <w:noProof/>
        </w:rPr>
        <w:t xml:space="preserve">, </w:t>
      </w:r>
      <w:r w:rsidRPr="00B31BEB">
        <w:rPr>
          <w:i/>
          <w:iCs/>
          <w:noProof/>
        </w:rPr>
        <w:t>4</w:t>
      </w:r>
      <w:r w:rsidRPr="00B31BEB">
        <w:rPr>
          <w:noProof/>
        </w:rPr>
        <w:t>, 1 (2006), 57–81.</w:t>
      </w:r>
    </w:p>
    <w:p w:rsidR="00D7380B" w:rsidRPr="00B31BEB" w:rsidRDefault="00D7380B" w:rsidP="00D7380B">
      <w:pPr>
        <w:widowControl w:val="0"/>
        <w:autoSpaceDE w:val="0"/>
        <w:autoSpaceDN w:val="0"/>
        <w:adjustRightInd w:val="0"/>
        <w:rPr>
          <w:noProof/>
        </w:rPr>
      </w:pPr>
      <w:r w:rsidRPr="00B31BEB">
        <w:rPr>
          <w:noProof/>
        </w:rPr>
        <w:t xml:space="preserve">40. Lagarde, M. Investigating attribute non-attendance and its consequences in choice experiments with latent class models. </w:t>
      </w:r>
      <w:r w:rsidRPr="00B31BEB">
        <w:rPr>
          <w:i/>
          <w:iCs/>
          <w:noProof/>
        </w:rPr>
        <w:t>Health Economics (United Kingdom)</w:t>
      </w:r>
      <w:r w:rsidRPr="00B31BEB">
        <w:rPr>
          <w:noProof/>
        </w:rPr>
        <w:t xml:space="preserve">, </w:t>
      </w:r>
      <w:r w:rsidRPr="00B31BEB">
        <w:rPr>
          <w:i/>
          <w:iCs/>
          <w:noProof/>
        </w:rPr>
        <w:t>22</w:t>
      </w:r>
      <w:r w:rsidRPr="00B31BEB">
        <w:rPr>
          <w:noProof/>
        </w:rPr>
        <w:t>, 5 (2013), 554–567.</w:t>
      </w:r>
    </w:p>
    <w:p w:rsidR="00D7380B" w:rsidRPr="00B31BEB" w:rsidRDefault="00E9400B" w:rsidP="00D7380B">
      <w:pPr>
        <w:widowControl w:val="0"/>
        <w:autoSpaceDE w:val="0"/>
        <w:autoSpaceDN w:val="0"/>
        <w:adjustRightInd w:val="0"/>
        <w:rPr>
          <w:noProof/>
        </w:rPr>
      </w:pPr>
      <w:r w:rsidRPr="00B31BEB">
        <w:rPr>
          <w:noProof/>
        </w:rPr>
        <w:t>41. Lee, S.; Zufryden, F.,</w:t>
      </w:r>
      <w:r w:rsidR="00D7380B" w:rsidRPr="00B31BEB">
        <w:rPr>
          <w:noProof/>
        </w:rPr>
        <w:t xml:space="preserve"> and Drèze, X. A Study of consumer switching behavior across </w:t>
      </w:r>
      <w:r w:rsidR="00D7380B" w:rsidRPr="00B31BEB">
        <w:rPr>
          <w:noProof/>
        </w:rPr>
        <w:lastRenderedPageBreak/>
        <w:t xml:space="preserve">internet portal web sites. </w:t>
      </w:r>
      <w:r w:rsidR="00D7380B" w:rsidRPr="00B31BEB">
        <w:rPr>
          <w:i/>
          <w:iCs/>
          <w:noProof/>
        </w:rPr>
        <w:t>International Journal of Electronic Commerce</w:t>
      </w:r>
      <w:r w:rsidR="00D7380B" w:rsidRPr="00B31BEB">
        <w:rPr>
          <w:noProof/>
        </w:rPr>
        <w:t xml:space="preserve">, </w:t>
      </w:r>
      <w:r w:rsidR="00D7380B" w:rsidRPr="00B31BEB">
        <w:rPr>
          <w:i/>
          <w:iCs/>
          <w:noProof/>
        </w:rPr>
        <w:t>7</w:t>
      </w:r>
      <w:r w:rsidR="00D7380B" w:rsidRPr="00B31BEB">
        <w:rPr>
          <w:noProof/>
        </w:rPr>
        <w:t>, 3 (2003), 39–63.</w:t>
      </w:r>
    </w:p>
    <w:p w:rsidR="00D7380B" w:rsidRPr="00B31BEB" w:rsidRDefault="00D7380B" w:rsidP="00D7380B">
      <w:pPr>
        <w:widowControl w:val="0"/>
        <w:autoSpaceDE w:val="0"/>
        <w:autoSpaceDN w:val="0"/>
        <w:adjustRightInd w:val="0"/>
        <w:rPr>
          <w:noProof/>
        </w:rPr>
      </w:pPr>
      <w:r w:rsidRPr="00B31BEB">
        <w:rPr>
          <w:noProof/>
        </w:rPr>
        <w:t xml:space="preserve">42. Li, F.; Pieńkowski, D.; Van Moorsel, A.; and Smith, C. A Holistic </w:t>
      </w:r>
      <w:r w:rsidR="00840812" w:rsidRPr="00B31BEB">
        <w:rPr>
          <w:noProof/>
        </w:rPr>
        <w:t>framework for trust in online transactions</w:t>
      </w:r>
      <w:r w:rsidRPr="00B31BEB">
        <w:rPr>
          <w:noProof/>
        </w:rPr>
        <w:t xml:space="preserve">. </w:t>
      </w:r>
      <w:r w:rsidRPr="00B31BEB">
        <w:rPr>
          <w:i/>
          <w:iCs/>
          <w:noProof/>
        </w:rPr>
        <w:t>International Journal of Management Reviews</w:t>
      </w:r>
      <w:r w:rsidRPr="00B31BEB">
        <w:rPr>
          <w:noProof/>
        </w:rPr>
        <w:t xml:space="preserve">, </w:t>
      </w:r>
      <w:r w:rsidRPr="00B31BEB">
        <w:rPr>
          <w:i/>
          <w:iCs/>
          <w:noProof/>
        </w:rPr>
        <w:t>14</w:t>
      </w:r>
      <w:r w:rsidRPr="00B31BEB">
        <w:rPr>
          <w:noProof/>
        </w:rPr>
        <w:t>, 1 (2012), 85–103.</w:t>
      </w:r>
    </w:p>
    <w:p w:rsidR="00D7380B" w:rsidRPr="00B31BEB" w:rsidRDefault="00D7380B" w:rsidP="00D7380B">
      <w:pPr>
        <w:widowControl w:val="0"/>
        <w:autoSpaceDE w:val="0"/>
        <w:autoSpaceDN w:val="0"/>
        <w:adjustRightInd w:val="0"/>
        <w:rPr>
          <w:noProof/>
        </w:rPr>
      </w:pPr>
      <w:r w:rsidRPr="00B31BEB">
        <w:rPr>
          <w:noProof/>
        </w:rPr>
        <w:t xml:space="preserve">43. Li, T.; Kauffman, R.J.; van Heck, E.; Vervest, P.; and Dellaert, B.G.C. Consumer informedness and firm information strategy. </w:t>
      </w:r>
      <w:r w:rsidRPr="00B31BEB">
        <w:rPr>
          <w:i/>
          <w:iCs/>
          <w:noProof/>
        </w:rPr>
        <w:t>Information Systems Research</w:t>
      </w:r>
      <w:r w:rsidRPr="00B31BEB">
        <w:rPr>
          <w:noProof/>
        </w:rPr>
        <w:t xml:space="preserve">, </w:t>
      </w:r>
      <w:r w:rsidRPr="00B31BEB">
        <w:rPr>
          <w:i/>
          <w:iCs/>
          <w:noProof/>
        </w:rPr>
        <w:t>25</w:t>
      </w:r>
      <w:r w:rsidRPr="00B31BEB">
        <w:rPr>
          <w:noProof/>
        </w:rPr>
        <w:t>, 2 (2014), 345–363.</w:t>
      </w:r>
    </w:p>
    <w:p w:rsidR="00D7380B" w:rsidRPr="00B31BEB" w:rsidRDefault="00E9400B" w:rsidP="00D7380B">
      <w:pPr>
        <w:widowControl w:val="0"/>
        <w:autoSpaceDE w:val="0"/>
        <w:autoSpaceDN w:val="0"/>
        <w:adjustRightInd w:val="0"/>
        <w:rPr>
          <w:noProof/>
        </w:rPr>
      </w:pPr>
      <w:r w:rsidRPr="00B31BEB">
        <w:rPr>
          <w:noProof/>
        </w:rPr>
        <w:t>44. Lian, J.W.,</w:t>
      </w:r>
      <w:r w:rsidR="00D7380B" w:rsidRPr="00B31BEB">
        <w:rPr>
          <w:noProof/>
        </w:rPr>
        <w:t xml:space="preserve"> and Yen, D.C. Online shopping drivers and barriers for older adults: </w:t>
      </w:r>
      <w:r w:rsidR="00840812" w:rsidRPr="00B31BEB">
        <w:rPr>
          <w:noProof/>
        </w:rPr>
        <w:t>a</w:t>
      </w:r>
      <w:r w:rsidR="00D7380B" w:rsidRPr="00B31BEB">
        <w:rPr>
          <w:noProof/>
        </w:rPr>
        <w:t xml:space="preserve">ge and gender differences. </w:t>
      </w:r>
      <w:r w:rsidR="00D7380B" w:rsidRPr="00B31BEB">
        <w:rPr>
          <w:i/>
          <w:iCs/>
          <w:noProof/>
        </w:rPr>
        <w:t>Computers in Human Behavior</w:t>
      </w:r>
      <w:r w:rsidR="00D7380B" w:rsidRPr="00B31BEB">
        <w:rPr>
          <w:noProof/>
        </w:rPr>
        <w:t xml:space="preserve">, </w:t>
      </w:r>
      <w:r w:rsidR="00D7380B" w:rsidRPr="00B31BEB">
        <w:rPr>
          <w:i/>
          <w:iCs/>
          <w:noProof/>
        </w:rPr>
        <w:t>37</w:t>
      </w:r>
      <w:r w:rsidR="00D7380B" w:rsidRPr="00B31BEB">
        <w:rPr>
          <w:noProof/>
        </w:rPr>
        <w:t>, (2014), 133–143.</w:t>
      </w:r>
    </w:p>
    <w:p w:rsidR="00D7380B" w:rsidRPr="00B31BEB" w:rsidRDefault="00D7380B" w:rsidP="00D7380B">
      <w:pPr>
        <w:widowControl w:val="0"/>
        <w:autoSpaceDE w:val="0"/>
        <w:autoSpaceDN w:val="0"/>
        <w:adjustRightInd w:val="0"/>
        <w:rPr>
          <w:noProof/>
        </w:rPr>
      </w:pPr>
      <w:r w:rsidRPr="00B31BEB">
        <w:rPr>
          <w:noProof/>
        </w:rPr>
        <w:t xml:space="preserve">45. Lim, S.H.; Lee, S.; and Kim, D.J. Is </w:t>
      </w:r>
      <w:r w:rsidR="00505273" w:rsidRPr="00B31BEB">
        <w:rPr>
          <w:noProof/>
        </w:rPr>
        <w:t>o</w:t>
      </w:r>
      <w:r w:rsidRPr="00B31BEB">
        <w:rPr>
          <w:noProof/>
        </w:rPr>
        <w:t xml:space="preserve">nline </w:t>
      </w:r>
      <w:r w:rsidR="00840812" w:rsidRPr="00B31BEB">
        <w:rPr>
          <w:noProof/>
        </w:rPr>
        <w:t>consumers’ impulsive buying beneficial for e-commerce companies? an empirical investigation of online consumers’ past impulsive buying behaviors</w:t>
      </w:r>
      <w:r w:rsidRPr="00B31BEB">
        <w:rPr>
          <w:noProof/>
        </w:rPr>
        <w:t xml:space="preserve">. </w:t>
      </w:r>
      <w:r w:rsidRPr="00B31BEB">
        <w:rPr>
          <w:i/>
          <w:iCs/>
          <w:noProof/>
        </w:rPr>
        <w:t>Information Systems Management</w:t>
      </w:r>
      <w:r w:rsidRPr="00B31BEB">
        <w:rPr>
          <w:noProof/>
        </w:rPr>
        <w:t xml:space="preserve">, </w:t>
      </w:r>
      <w:r w:rsidRPr="00B31BEB">
        <w:rPr>
          <w:i/>
          <w:iCs/>
          <w:noProof/>
        </w:rPr>
        <w:t>34</w:t>
      </w:r>
      <w:r w:rsidRPr="00B31BEB">
        <w:rPr>
          <w:noProof/>
        </w:rPr>
        <w:t>, 1 (2017), 85–100.</w:t>
      </w:r>
    </w:p>
    <w:p w:rsidR="00D7380B" w:rsidRPr="00B31BEB" w:rsidRDefault="00D7380B" w:rsidP="00D7380B">
      <w:pPr>
        <w:widowControl w:val="0"/>
        <w:autoSpaceDE w:val="0"/>
        <w:autoSpaceDN w:val="0"/>
        <w:adjustRightInd w:val="0"/>
        <w:rPr>
          <w:noProof/>
        </w:rPr>
      </w:pPr>
      <w:r w:rsidRPr="00B31BEB">
        <w:rPr>
          <w:noProof/>
        </w:rPr>
        <w:t xml:space="preserve">46. Lin, X.; Wang, X.; and Hajli, N. Building </w:t>
      </w:r>
      <w:r w:rsidR="00840812" w:rsidRPr="00B31BEB">
        <w:rPr>
          <w:noProof/>
        </w:rPr>
        <w:t>e-commerce satisfaction and boosting sales: the role of social commerce trust and its antecedents</w:t>
      </w:r>
      <w:r w:rsidRPr="00B31BEB">
        <w:rPr>
          <w:noProof/>
        </w:rPr>
        <w:t xml:space="preserve">. </w:t>
      </w:r>
      <w:r w:rsidRPr="00B31BEB">
        <w:rPr>
          <w:i/>
          <w:iCs/>
          <w:noProof/>
        </w:rPr>
        <w:t>International Journal of Electronic Commerce</w:t>
      </w:r>
      <w:r w:rsidRPr="00B31BEB">
        <w:rPr>
          <w:noProof/>
        </w:rPr>
        <w:t xml:space="preserve">, </w:t>
      </w:r>
      <w:r w:rsidRPr="00B31BEB">
        <w:rPr>
          <w:i/>
          <w:iCs/>
          <w:noProof/>
        </w:rPr>
        <w:t>23</w:t>
      </w:r>
      <w:r w:rsidRPr="00B31BEB">
        <w:rPr>
          <w:noProof/>
        </w:rPr>
        <w:t>, 3 (2019), 328–363.</w:t>
      </w:r>
    </w:p>
    <w:p w:rsidR="00D7380B" w:rsidRPr="00B31BEB" w:rsidRDefault="00D7380B" w:rsidP="00D7380B">
      <w:pPr>
        <w:widowControl w:val="0"/>
        <w:autoSpaceDE w:val="0"/>
        <w:autoSpaceDN w:val="0"/>
        <w:adjustRightInd w:val="0"/>
        <w:rPr>
          <w:noProof/>
        </w:rPr>
      </w:pPr>
      <w:r w:rsidRPr="00B31BEB">
        <w:rPr>
          <w:noProof/>
        </w:rPr>
        <w:t xml:space="preserve">47. Liu, F.; Xiao, B.; Lim, E.T.K.; and Tan, C.W. The art of appeal in electronic commerce: </w:t>
      </w:r>
      <w:r w:rsidR="00840812" w:rsidRPr="00B31BEB">
        <w:rPr>
          <w:noProof/>
        </w:rPr>
        <w:t>u</w:t>
      </w:r>
      <w:r w:rsidRPr="00B31BEB">
        <w:rPr>
          <w:noProof/>
        </w:rPr>
        <w:t xml:space="preserve">nderstanding the impact of product and website quality on online purchases. </w:t>
      </w:r>
      <w:r w:rsidRPr="00B31BEB">
        <w:rPr>
          <w:i/>
          <w:iCs/>
          <w:noProof/>
        </w:rPr>
        <w:t>Internet Research</w:t>
      </w:r>
      <w:r w:rsidRPr="00B31BEB">
        <w:rPr>
          <w:noProof/>
        </w:rPr>
        <w:t xml:space="preserve">, </w:t>
      </w:r>
      <w:r w:rsidRPr="00B31BEB">
        <w:rPr>
          <w:i/>
          <w:iCs/>
          <w:noProof/>
        </w:rPr>
        <w:t>27</w:t>
      </w:r>
      <w:r w:rsidRPr="00B31BEB">
        <w:rPr>
          <w:noProof/>
        </w:rPr>
        <w:t>, 4 (2017), 752–771.</w:t>
      </w:r>
    </w:p>
    <w:p w:rsidR="00D7380B" w:rsidRPr="00B31BEB" w:rsidRDefault="00D7380B" w:rsidP="00D7380B">
      <w:pPr>
        <w:widowControl w:val="0"/>
        <w:autoSpaceDE w:val="0"/>
        <w:autoSpaceDN w:val="0"/>
        <w:adjustRightInd w:val="0"/>
        <w:rPr>
          <w:noProof/>
        </w:rPr>
      </w:pPr>
      <w:r w:rsidRPr="00B31BEB">
        <w:rPr>
          <w:noProof/>
        </w:rPr>
        <w:t xml:space="preserve">48. Mai, B.; Menon, N.; and Sarkar, S. No free lunch: </w:t>
      </w:r>
      <w:r w:rsidR="00840812" w:rsidRPr="00B31BEB">
        <w:rPr>
          <w:noProof/>
        </w:rPr>
        <w:t>pri</w:t>
      </w:r>
      <w:r w:rsidRPr="00B31BEB">
        <w:rPr>
          <w:noProof/>
        </w:rPr>
        <w:t xml:space="preserve">ce premium for privacy seal-bearing vendors. </w:t>
      </w:r>
      <w:r w:rsidRPr="00B31BEB">
        <w:rPr>
          <w:i/>
          <w:iCs/>
          <w:noProof/>
        </w:rPr>
        <w:t>Journal of Management Information Systems</w:t>
      </w:r>
      <w:r w:rsidRPr="00B31BEB">
        <w:rPr>
          <w:noProof/>
        </w:rPr>
        <w:t xml:space="preserve">, </w:t>
      </w:r>
      <w:r w:rsidRPr="00B31BEB">
        <w:rPr>
          <w:i/>
          <w:iCs/>
          <w:noProof/>
        </w:rPr>
        <w:t>27</w:t>
      </w:r>
      <w:r w:rsidRPr="00B31BEB">
        <w:rPr>
          <w:noProof/>
        </w:rPr>
        <w:t>, 2 (2010), 189–212.</w:t>
      </w:r>
    </w:p>
    <w:p w:rsidR="00D7380B" w:rsidRPr="00B31BEB" w:rsidRDefault="00D7380B" w:rsidP="00D7380B">
      <w:pPr>
        <w:widowControl w:val="0"/>
        <w:autoSpaceDE w:val="0"/>
        <w:autoSpaceDN w:val="0"/>
        <w:adjustRightInd w:val="0"/>
        <w:rPr>
          <w:noProof/>
        </w:rPr>
      </w:pPr>
      <w:r w:rsidRPr="00B31BEB">
        <w:rPr>
          <w:noProof/>
        </w:rPr>
        <w:t xml:space="preserve">49. Mangiaracina, R.; Marchet, G.; Perotti, S.; and Tumino, A. A review of the environmental implications of B2C e-commerce: a logistics perspective. </w:t>
      </w:r>
      <w:r w:rsidRPr="00B31BEB">
        <w:rPr>
          <w:i/>
          <w:iCs/>
          <w:noProof/>
        </w:rPr>
        <w:t>International Journal of Physical Distribution and Logistics Management</w:t>
      </w:r>
      <w:r w:rsidRPr="00B31BEB">
        <w:rPr>
          <w:noProof/>
        </w:rPr>
        <w:t xml:space="preserve">, </w:t>
      </w:r>
      <w:r w:rsidRPr="00B31BEB">
        <w:rPr>
          <w:i/>
          <w:iCs/>
          <w:noProof/>
        </w:rPr>
        <w:t>45</w:t>
      </w:r>
      <w:r w:rsidRPr="00B31BEB">
        <w:rPr>
          <w:noProof/>
        </w:rPr>
        <w:t>, 6 (2015), 565–591.</w:t>
      </w:r>
    </w:p>
    <w:p w:rsidR="00D7380B" w:rsidRPr="00B31BEB" w:rsidRDefault="00D7380B" w:rsidP="00D7380B">
      <w:pPr>
        <w:widowControl w:val="0"/>
        <w:autoSpaceDE w:val="0"/>
        <w:autoSpaceDN w:val="0"/>
        <w:adjustRightInd w:val="0"/>
        <w:rPr>
          <w:noProof/>
        </w:rPr>
      </w:pPr>
      <w:r w:rsidRPr="00B31BEB">
        <w:rPr>
          <w:noProof/>
        </w:rPr>
        <w:t>50. Maxwel</w:t>
      </w:r>
      <w:r w:rsidR="00E9400B" w:rsidRPr="00B31BEB">
        <w:rPr>
          <w:noProof/>
        </w:rPr>
        <w:t>l, S.E.,</w:t>
      </w:r>
      <w:r w:rsidRPr="00B31BEB">
        <w:rPr>
          <w:noProof/>
        </w:rPr>
        <w:t xml:space="preserve"> and Cliff, N. </w:t>
      </w:r>
      <w:r w:rsidRPr="00B31BEB">
        <w:rPr>
          <w:i/>
          <w:iCs/>
          <w:noProof/>
        </w:rPr>
        <w:t>Analyzing Multivariate Data.</w:t>
      </w:r>
      <w:r w:rsidRPr="00B31BEB">
        <w:rPr>
          <w:noProof/>
        </w:rPr>
        <w:t xml:space="preserve">, 1st ed. Pacific Grove, </w:t>
      </w:r>
      <w:r w:rsidRPr="00B31BEB">
        <w:rPr>
          <w:noProof/>
        </w:rPr>
        <w:lastRenderedPageBreak/>
        <w:t>CA : Thomson Brooks/Cole, 1988.</w:t>
      </w:r>
    </w:p>
    <w:p w:rsidR="00D7380B" w:rsidRPr="00B31BEB" w:rsidRDefault="00D7380B" w:rsidP="00D7380B">
      <w:pPr>
        <w:widowControl w:val="0"/>
        <w:autoSpaceDE w:val="0"/>
        <w:autoSpaceDN w:val="0"/>
        <w:adjustRightInd w:val="0"/>
        <w:rPr>
          <w:noProof/>
        </w:rPr>
      </w:pPr>
      <w:r w:rsidRPr="00B31BEB">
        <w:rPr>
          <w:noProof/>
        </w:rPr>
        <w:t xml:space="preserve">51. McCole, P.; Ramsey, E.; and Williams, J. Trust considerations on attitudes towards online purchasing: </w:t>
      </w:r>
      <w:r w:rsidR="00840812" w:rsidRPr="00B31BEB">
        <w:rPr>
          <w:noProof/>
        </w:rPr>
        <w:t>t</w:t>
      </w:r>
      <w:r w:rsidRPr="00B31BEB">
        <w:rPr>
          <w:noProof/>
        </w:rPr>
        <w:t xml:space="preserve">he moderating effect of privacy and security concerns. </w:t>
      </w:r>
      <w:r w:rsidRPr="00B31BEB">
        <w:rPr>
          <w:i/>
          <w:iCs/>
          <w:noProof/>
        </w:rPr>
        <w:t>Journal of Business Research</w:t>
      </w:r>
      <w:r w:rsidRPr="00B31BEB">
        <w:rPr>
          <w:noProof/>
        </w:rPr>
        <w:t xml:space="preserve">, </w:t>
      </w:r>
      <w:r w:rsidRPr="00B31BEB">
        <w:rPr>
          <w:i/>
          <w:iCs/>
          <w:noProof/>
        </w:rPr>
        <w:t>63</w:t>
      </w:r>
      <w:r w:rsidRPr="00B31BEB">
        <w:rPr>
          <w:noProof/>
        </w:rPr>
        <w:t>, 9–10 (2010), 1018–1024.</w:t>
      </w:r>
    </w:p>
    <w:p w:rsidR="00D7380B" w:rsidRPr="00B31BEB" w:rsidRDefault="00D7380B" w:rsidP="00D7380B">
      <w:pPr>
        <w:widowControl w:val="0"/>
        <w:autoSpaceDE w:val="0"/>
        <w:autoSpaceDN w:val="0"/>
        <w:adjustRightInd w:val="0"/>
        <w:rPr>
          <w:noProof/>
        </w:rPr>
      </w:pPr>
      <w:r w:rsidRPr="00B31BEB">
        <w:rPr>
          <w:noProof/>
        </w:rPr>
        <w:t>52. McFadden, D. Conditional</w:t>
      </w:r>
      <w:r w:rsidR="00840812" w:rsidRPr="00B31BEB">
        <w:rPr>
          <w:noProof/>
        </w:rPr>
        <w:t xml:space="preserve"> logit analysis of qualitative choice behavior. i</w:t>
      </w:r>
      <w:r w:rsidRPr="00B31BEB">
        <w:rPr>
          <w:noProof/>
        </w:rPr>
        <w:t xml:space="preserve">n </w:t>
      </w:r>
      <w:r w:rsidRPr="00B31BEB">
        <w:rPr>
          <w:i/>
          <w:iCs/>
          <w:noProof/>
        </w:rPr>
        <w:t>Frontiers in Econometrics</w:t>
      </w:r>
      <w:r w:rsidR="004D49D4" w:rsidRPr="00B31BEB">
        <w:rPr>
          <w:i/>
          <w:iCs/>
          <w:noProof/>
        </w:rPr>
        <w:t xml:space="preserve">: </w:t>
      </w:r>
      <w:r w:rsidRPr="00B31BEB">
        <w:rPr>
          <w:noProof/>
        </w:rPr>
        <w:t>Academic Press, 1973, pp. 105–141.</w:t>
      </w:r>
    </w:p>
    <w:p w:rsidR="00D7380B" w:rsidRPr="00B31BEB" w:rsidRDefault="00D7380B" w:rsidP="00D7380B">
      <w:pPr>
        <w:widowControl w:val="0"/>
        <w:autoSpaceDE w:val="0"/>
        <w:autoSpaceDN w:val="0"/>
        <w:adjustRightInd w:val="0"/>
        <w:rPr>
          <w:noProof/>
        </w:rPr>
      </w:pPr>
      <w:r w:rsidRPr="00B31BEB">
        <w:rPr>
          <w:noProof/>
        </w:rPr>
        <w:t xml:space="preserve">53. McFadden, D. Economic choices. </w:t>
      </w:r>
      <w:r w:rsidRPr="00B31BEB">
        <w:rPr>
          <w:i/>
          <w:iCs/>
          <w:noProof/>
        </w:rPr>
        <w:t>American Economic Review</w:t>
      </w:r>
      <w:r w:rsidRPr="00B31BEB">
        <w:rPr>
          <w:noProof/>
        </w:rPr>
        <w:t xml:space="preserve">, </w:t>
      </w:r>
      <w:r w:rsidRPr="00B31BEB">
        <w:rPr>
          <w:i/>
          <w:iCs/>
          <w:noProof/>
        </w:rPr>
        <w:t>91</w:t>
      </w:r>
      <w:r w:rsidRPr="00B31BEB">
        <w:rPr>
          <w:noProof/>
        </w:rPr>
        <w:t>, 3 (2001), 351–378.</w:t>
      </w:r>
    </w:p>
    <w:p w:rsidR="00D7380B" w:rsidRPr="00B31BEB" w:rsidRDefault="00D7380B" w:rsidP="00D7380B">
      <w:pPr>
        <w:widowControl w:val="0"/>
        <w:autoSpaceDE w:val="0"/>
        <w:autoSpaceDN w:val="0"/>
        <w:adjustRightInd w:val="0"/>
        <w:rPr>
          <w:noProof/>
        </w:rPr>
      </w:pPr>
      <w:r w:rsidRPr="00B31BEB">
        <w:rPr>
          <w:noProof/>
        </w:rPr>
        <w:t xml:space="preserve">54. McKnight, D.H.; Choudhury, V.; and Kacmar, C. Developing and validating trust measures for e-commerce: </w:t>
      </w:r>
      <w:r w:rsidR="00840812" w:rsidRPr="00B31BEB">
        <w:rPr>
          <w:noProof/>
        </w:rPr>
        <w:t>a</w:t>
      </w:r>
      <w:r w:rsidRPr="00B31BEB">
        <w:rPr>
          <w:noProof/>
        </w:rPr>
        <w:t xml:space="preserve">n integrative typology. </w:t>
      </w:r>
      <w:r w:rsidRPr="00B31BEB">
        <w:rPr>
          <w:i/>
          <w:iCs/>
          <w:noProof/>
        </w:rPr>
        <w:t>Information Systems Research</w:t>
      </w:r>
      <w:r w:rsidRPr="00B31BEB">
        <w:rPr>
          <w:noProof/>
        </w:rPr>
        <w:t xml:space="preserve">, </w:t>
      </w:r>
      <w:r w:rsidRPr="00B31BEB">
        <w:rPr>
          <w:i/>
          <w:iCs/>
          <w:noProof/>
        </w:rPr>
        <w:t>13</w:t>
      </w:r>
      <w:r w:rsidRPr="00B31BEB">
        <w:rPr>
          <w:noProof/>
        </w:rPr>
        <w:t>, 3 (2002), 334–359.</w:t>
      </w:r>
    </w:p>
    <w:p w:rsidR="00D7380B" w:rsidRPr="00B31BEB" w:rsidRDefault="00D7380B" w:rsidP="00D7380B">
      <w:pPr>
        <w:widowControl w:val="0"/>
        <w:autoSpaceDE w:val="0"/>
        <w:autoSpaceDN w:val="0"/>
        <w:adjustRightInd w:val="0"/>
        <w:rPr>
          <w:noProof/>
        </w:rPr>
      </w:pPr>
      <w:r w:rsidRPr="00B31BEB">
        <w:rPr>
          <w:noProof/>
        </w:rPr>
        <w:t xml:space="preserve">55. Netzer, Oded and Ebbes, Peter and Bijmolt, T.H. Hidden Markov models in marketing. </w:t>
      </w:r>
      <w:r w:rsidR="00840812" w:rsidRPr="00B31BEB">
        <w:rPr>
          <w:noProof/>
        </w:rPr>
        <w:t>i</w:t>
      </w:r>
      <w:r w:rsidRPr="00B31BEB">
        <w:rPr>
          <w:noProof/>
        </w:rPr>
        <w:t xml:space="preserve">n K.H. Leeflang, Peter S. H. and Wieringa, Jaap E. and Bijmolt, Tammo H.A and Pauwels (ed). </w:t>
      </w:r>
      <w:r w:rsidRPr="00B31BEB">
        <w:rPr>
          <w:i/>
          <w:iCs/>
          <w:noProof/>
        </w:rPr>
        <w:t>Advanced methods for modeling markets</w:t>
      </w:r>
      <w:r w:rsidRPr="00B31BEB">
        <w:rPr>
          <w:noProof/>
        </w:rPr>
        <w:t>Springer International Publishing, 2017, pp. 405--449.</w:t>
      </w:r>
    </w:p>
    <w:p w:rsidR="00D7380B" w:rsidRPr="00B31BEB" w:rsidRDefault="00D7380B" w:rsidP="00D7380B">
      <w:pPr>
        <w:widowControl w:val="0"/>
        <w:autoSpaceDE w:val="0"/>
        <w:autoSpaceDN w:val="0"/>
        <w:adjustRightInd w:val="0"/>
        <w:rPr>
          <w:noProof/>
        </w:rPr>
      </w:pPr>
      <w:r w:rsidRPr="00B31BEB">
        <w:rPr>
          <w:noProof/>
        </w:rPr>
        <w:t xml:space="preserve">56. Netzer, O.; Lattin, J.M.; and Srinivasan, V. A hidden Markov model of customer relationship dynamics. </w:t>
      </w:r>
      <w:r w:rsidRPr="00B31BEB">
        <w:rPr>
          <w:i/>
          <w:iCs/>
          <w:noProof/>
        </w:rPr>
        <w:t>Marketing Science</w:t>
      </w:r>
      <w:r w:rsidRPr="00B31BEB">
        <w:rPr>
          <w:noProof/>
        </w:rPr>
        <w:t xml:space="preserve">, </w:t>
      </w:r>
      <w:r w:rsidRPr="00B31BEB">
        <w:rPr>
          <w:i/>
          <w:iCs/>
          <w:noProof/>
        </w:rPr>
        <w:t>27</w:t>
      </w:r>
      <w:r w:rsidRPr="00B31BEB">
        <w:rPr>
          <w:noProof/>
        </w:rPr>
        <w:t>, 2 (2008), 185–204.</w:t>
      </w:r>
    </w:p>
    <w:p w:rsidR="00D7380B" w:rsidRPr="00B31BEB" w:rsidRDefault="00D7380B" w:rsidP="00D7380B">
      <w:pPr>
        <w:widowControl w:val="0"/>
        <w:autoSpaceDE w:val="0"/>
        <w:autoSpaceDN w:val="0"/>
        <w:adjustRightInd w:val="0"/>
        <w:rPr>
          <w:noProof/>
        </w:rPr>
      </w:pPr>
      <w:r w:rsidRPr="00B31BEB">
        <w:rPr>
          <w:noProof/>
        </w:rPr>
        <w:t xml:space="preserve">57. Nguyen, D.H.; de Leeuw, S.; and Dullaert, W.E.H. Consumer </w:t>
      </w:r>
      <w:r w:rsidR="00840812" w:rsidRPr="00B31BEB">
        <w:rPr>
          <w:noProof/>
        </w:rPr>
        <w:t>behaviour and order fulfilment in online retailing: a systematic revi</w:t>
      </w:r>
      <w:r w:rsidRPr="00B31BEB">
        <w:rPr>
          <w:noProof/>
        </w:rPr>
        <w:t xml:space="preserve">ew. </w:t>
      </w:r>
      <w:r w:rsidRPr="00B31BEB">
        <w:rPr>
          <w:i/>
          <w:iCs/>
          <w:noProof/>
        </w:rPr>
        <w:t>International Journal of Management Reviews</w:t>
      </w:r>
      <w:r w:rsidRPr="00B31BEB">
        <w:rPr>
          <w:noProof/>
        </w:rPr>
        <w:t xml:space="preserve">, </w:t>
      </w:r>
      <w:r w:rsidRPr="00B31BEB">
        <w:rPr>
          <w:i/>
          <w:iCs/>
          <w:noProof/>
        </w:rPr>
        <w:t>20</w:t>
      </w:r>
      <w:r w:rsidRPr="00B31BEB">
        <w:rPr>
          <w:noProof/>
        </w:rPr>
        <w:t>, 2 (2018), 255–276.</w:t>
      </w:r>
    </w:p>
    <w:p w:rsidR="00D7380B" w:rsidRPr="00B31BEB" w:rsidRDefault="00D7380B" w:rsidP="00D7380B">
      <w:pPr>
        <w:widowControl w:val="0"/>
        <w:autoSpaceDE w:val="0"/>
        <w:autoSpaceDN w:val="0"/>
        <w:adjustRightInd w:val="0"/>
        <w:rPr>
          <w:noProof/>
        </w:rPr>
      </w:pPr>
      <w:r w:rsidRPr="00B31BEB">
        <w:rPr>
          <w:noProof/>
        </w:rPr>
        <w:t xml:space="preserve">58. Ofek, E.; Katona, Z.; and Sarvary, M. “Bricks and clicks”: </w:t>
      </w:r>
      <w:r w:rsidR="00840812" w:rsidRPr="00B31BEB">
        <w:rPr>
          <w:noProof/>
        </w:rPr>
        <w:t>th</w:t>
      </w:r>
      <w:r w:rsidRPr="00B31BEB">
        <w:rPr>
          <w:noProof/>
        </w:rPr>
        <w:t xml:space="preserve">e impact of product returns on the strategies of multichannel retailers. </w:t>
      </w:r>
      <w:r w:rsidRPr="00B31BEB">
        <w:rPr>
          <w:i/>
          <w:iCs/>
          <w:noProof/>
        </w:rPr>
        <w:t>Marketing Science</w:t>
      </w:r>
      <w:r w:rsidRPr="00B31BEB">
        <w:rPr>
          <w:noProof/>
        </w:rPr>
        <w:t xml:space="preserve">, </w:t>
      </w:r>
      <w:r w:rsidRPr="00B31BEB">
        <w:rPr>
          <w:i/>
          <w:iCs/>
          <w:noProof/>
        </w:rPr>
        <w:t>30</w:t>
      </w:r>
      <w:r w:rsidRPr="00B31BEB">
        <w:rPr>
          <w:noProof/>
        </w:rPr>
        <w:t>, 1 (2011), 42–60.</w:t>
      </w:r>
    </w:p>
    <w:p w:rsidR="00D7380B" w:rsidRPr="00B31BEB" w:rsidRDefault="00D7380B" w:rsidP="00D7380B">
      <w:pPr>
        <w:widowControl w:val="0"/>
        <w:autoSpaceDE w:val="0"/>
        <w:autoSpaceDN w:val="0"/>
        <w:adjustRightInd w:val="0"/>
        <w:rPr>
          <w:noProof/>
        </w:rPr>
      </w:pPr>
      <w:r w:rsidRPr="00B31BEB">
        <w:rPr>
          <w:noProof/>
        </w:rPr>
        <w:t xml:space="preserve">59. Özpolat, K.; Gao, G.G.; Jank, W.; and Viswanathan, S. The value of third-party assurance seals in online retailing: </w:t>
      </w:r>
      <w:r w:rsidR="00840812" w:rsidRPr="00B31BEB">
        <w:rPr>
          <w:noProof/>
        </w:rPr>
        <w:t>a</w:t>
      </w:r>
      <w:r w:rsidRPr="00B31BEB">
        <w:rPr>
          <w:noProof/>
        </w:rPr>
        <w:t xml:space="preserve">n empirical investigation. </w:t>
      </w:r>
      <w:r w:rsidRPr="00B31BEB">
        <w:rPr>
          <w:i/>
          <w:iCs/>
          <w:noProof/>
        </w:rPr>
        <w:t xml:space="preserve">Information Systems </w:t>
      </w:r>
      <w:r w:rsidRPr="00B31BEB">
        <w:rPr>
          <w:i/>
          <w:iCs/>
          <w:noProof/>
        </w:rPr>
        <w:lastRenderedPageBreak/>
        <w:t>Research</w:t>
      </w:r>
      <w:r w:rsidRPr="00B31BEB">
        <w:rPr>
          <w:noProof/>
        </w:rPr>
        <w:t xml:space="preserve">, </w:t>
      </w:r>
      <w:r w:rsidRPr="00B31BEB">
        <w:rPr>
          <w:i/>
          <w:iCs/>
          <w:noProof/>
        </w:rPr>
        <w:t>24</w:t>
      </w:r>
      <w:r w:rsidRPr="00B31BEB">
        <w:rPr>
          <w:noProof/>
        </w:rPr>
        <w:t>, 4 (2013), 1100–1111.</w:t>
      </w:r>
    </w:p>
    <w:p w:rsidR="00D7380B" w:rsidRPr="00B31BEB" w:rsidRDefault="00D7380B" w:rsidP="00D7380B">
      <w:pPr>
        <w:widowControl w:val="0"/>
        <w:autoSpaceDE w:val="0"/>
        <w:autoSpaceDN w:val="0"/>
        <w:adjustRightInd w:val="0"/>
        <w:rPr>
          <w:noProof/>
        </w:rPr>
      </w:pPr>
      <w:r w:rsidRPr="00B31BEB">
        <w:rPr>
          <w:noProof/>
        </w:rPr>
        <w:t xml:space="preserve">60. Parboteeah, D.V.; Valacich, J.S.; and Wells, J.D. The influence of website characteristics on a consumer’s urge to buy impulsively. </w:t>
      </w:r>
      <w:r w:rsidRPr="00B31BEB">
        <w:rPr>
          <w:i/>
          <w:iCs/>
          <w:noProof/>
        </w:rPr>
        <w:t>Information Systems Research</w:t>
      </w:r>
      <w:r w:rsidRPr="00B31BEB">
        <w:rPr>
          <w:noProof/>
        </w:rPr>
        <w:t xml:space="preserve">, </w:t>
      </w:r>
      <w:r w:rsidRPr="00B31BEB">
        <w:rPr>
          <w:i/>
          <w:iCs/>
          <w:noProof/>
        </w:rPr>
        <w:t>20</w:t>
      </w:r>
      <w:r w:rsidRPr="00B31BEB">
        <w:rPr>
          <w:noProof/>
        </w:rPr>
        <w:t>, 1 (2009), 60–78.</w:t>
      </w:r>
    </w:p>
    <w:p w:rsidR="00D7380B" w:rsidRPr="00B31BEB" w:rsidRDefault="00D7380B" w:rsidP="00D7380B">
      <w:pPr>
        <w:widowControl w:val="0"/>
        <w:autoSpaceDE w:val="0"/>
        <w:autoSpaceDN w:val="0"/>
        <w:adjustRightInd w:val="0"/>
        <w:rPr>
          <w:noProof/>
        </w:rPr>
      </w:pPr>
      <w:r w:rsidRPr="00B31BEB">
        <w:rPr>
          <w:noProof/>
        </w:rPr>
        <w:t xml:space="preserve">61. Park, C.H. Online </w:t>
      </w:r>
      <w:r w:rsidR="00840812" w:rsidRPr="00B31BEB">
        <w:rPr>
          <w:noProof/>
        </w:rPr>
        <w:t>purchase paths and conversion dynamics across multiple websites</w:t>
      </w:r>
      <w:r w:rsidRPr="00B31BEB">
        <w:rPr>
          <w:noProof/>
        </w:rPr>
        <w:t xml:space="preserve">. </w:t>
      </w:r>
      <w:r w:rsidRPr="00B31BEB">
        <w:rPr>
          <w:i/>
          <w:iCs/>
          <w:noProof/>
        </w:rPr>
        <w:t>Journal of Retailing</w:t>
      </w:r>
      <w:r w:rsidRPr="00B31BEB">
        <w:rPr>
          <w:noProof/>
        </w:rPr>
        <w:t xml:space="preserve">, </w:t>
      </w:r>
      <w:r w:rsidRPr="00B31BEB">
        <w:rPr>
          <w:i/>
          <w:iCs/>
          <w:noProof/>
        </w:rPr>
        <w:t>93</w:t>
      </w:r>
      <w:r w:rsidRPr="00B31BEB">
        <w:rPr>
          <w:noProof/>
        </w:rPr>
        <w:t>, 3 (2017), 253–265.</w:t>
      </w:r>
    </w:p>
    <w:p w:rsidR="00D7380B" w:rsidRPr="00B31BEB" w:rsidRDefault="00D7380B" w:rsidP="00D7380B">
      <w:pPr>
        <w:widowControl w:val="0"/>
        <w:autoSpaceDE w:val="0"/>
        <w:autoSpaceDN w:val="0"/>
        <w:adjustRightInd w:val="0"/>
        <w:rPr>
          <w:noProof/>
        </w:rPr>
      </w:pPr>
      <w:r w:rsidRPr="00B31BEB">
        <w:rPr>
          <w:noProof/>
        </w:rPr>
        <w:t xml:space="preserve">62. Park, I.; Bhatnagar, A.; and Rao, H.R. Assurance seals, on-line customer satisfaction, and repurchase intention. </w:t>
      </w:r>
      <w:r w:rsidRPr="00B31BEB">
        <w:rPr>
          <w:i/>
          <w:iCs/>
          <w:noProof/>
        </w:rPr>
        <w:t>International Journal of Electronic Commerce</w:t>
      </w:r>
      <w:r w:rsidRPr="00B31BEB">
        <w:rPr>
          <w:noProof/>
        </w:rPr>
        <w:t xml:space="preserve">, </w:t>
      </w:r>
      <w:r w:rsidRPr="00B31BEB">
        <w:rPr>
          <w:i/>
          <w:iCs/>
          <w:noProof/>
        </w:rPr>
        <w:t>14</w:t>
      </w:r>
      <w:r w:rsidRPr="00B31BEB">
        <w:rPr>
          <w:noProof/>
        </w:rPr>
        <w:t>, 3 (2010), 11–34.</w:t>
      </w:r>
    </w:p>
    <w:p w:rsidR="00D7380B" w:rsidRPr="00B31BEB" w:rsidRDefault="00E9400B" w:rsidP="00D7380B">
      <w:pPr>
        <w:widowControl w:val="0"/>
        <w:autoSpaceDE w:val="0"/>
        <w:autoSpaceDN w:val="0"/>
        <w:adjustRightInd w:val="0"/>
        <w:rPr>
          <w:noProof/>
        </w:rPr>
      </w:pPr>
      <w:r w:rsidRPr="00B31BEB">
        <w:rPr>
          <w:noProof/>
        </w:rPr>
        <w:t>63. Puckett, S.M.,</w:t>
      </w:r>
      <w:r w:rsidR="00D7380B" w:rsidRPr="00B31BEB">
        <w:rPr>
          <w:noProof/>
        </w:rPr>
        <w:t xml:space="preserve"> and Hensher, D.A. The role of attribute processing strategies in estimating the preferences of road freight stakeholders. </w:t>
      </w:r>
      <w:r w:rsidR="00D7380B" w:rsidRPr="00B31BEB">
        <w:rPr>
          <w:i/>
          <w:iCs/>
          <w:noProof/>
        </w:rPr>
        <w:t>Transportation Research Part E: Logistics and Transportation Review</w:t>
      </w:r>
      <w:r w:rsidR="00D7380B" w:rsidRPr="00B31BEB">
        <w:rPr>
          <w:noProof/>
        </w:rPr>
        <w:t xml:space="preserve">, </w:t>
      </w:r>
      <w:r w:rsidR="00D7380B" w:rsidRPr="00B31BEB">
        <w:rPr>
          <w:i/>
          <w:iCs/>
          <w:noProof/>
        </w:rPr>
        <w:t>44</w:t>
      </w:r>
      <w:r w:rsidR="00D7380B" w:rsidRPr="00B31BEB">
        <w:rPr>
          <w:noProof/>
        </w:rPr>
        <w:t>, 3 (2008), 379–395.</w:t>
      </w:r>
    </w:p>
    <w:p w:rsidR="00D7380B" w:rsidRPr="00B31BEB" w:rsidRDefault="00D7380B" w:rsidP="00D7380B">
      <w:pPr>
        <w:widowControl w:val="0"/>
        <w:autoSpaceDE w:val="0"/>
        <w:autoSpaceDN w:val="0"/>
        <w:adjustRightInd w:val="0"/>
        <w:rPr>
          <w:noProof/>
        </w:rPr>
      </w:pPr>
      <w:r w:rsidRPr="00B31BEB">
        <w:rPr>
          <w:noProof/>
        </w:rPr>
        <w:t>64. Qualtrics. https://www.qualtrics.com (accessed on March 2020).</w:t>
      </w:r>
    </w:p>
    <w:p w:rsidR="00D7380B" w:rsidRPr="00B31BEB" w:rsidRDefault="00D7380B" w:rsidP="00D7380B">
      <w:pPr>
        <w:widowControl w:val="0"/>
        <w:autoSpaceDE w:val="0"/>
        <w:autoSpaceDN w:val="0"/>
        <w:adjustRightInd w:val="0"/>
        <w:rPr>
          <w:noProof/>
        </w:rPr>
      </w:pPr>
      <w:r w:rsidRPr="00B31BEB">
        <w:rPr>
          <w:noProof/>
        </w:rPr>
        <w:t xml:space="preserve">65. Riskinanto, A.; Kelana, B.; and Hilmawan, D.R. The </w:t>
      </w:r>
      <w:r w:rsidR="00840812" w:rsidRPr="00B31BEB">
        <w:rPr>
          <w:noProof/>
        </w:rPr>
        <w:t>moderation effect of age on adopting e-payment technology</w:t>
      </w:r>
      <w:r w:rsidRPr="00B31BEB">
        <w:rPr>
          <w:noProof/>
        </w:rPr>
        <w:t xml:space="preserve">. </w:t>
      </w:r>
      <w:r w:rsidRPr="00B31BEB">
        <w:rPr>
          <w:i/>
          <w:iCs/>
          <w:noProof/>
        </w:rPr>
        <w:t>Procedia Computer Science</w:t>
      </w:r>
      <w:r w:rsidRPr="00B31BEB">
        <w:rPr>
          <w:noProof/>
        </w:rPr>
        <w:t xml:space="preserve">, </w:t>
      </w:r>
      <w:r w:rsidRPr="00B31BEB">
        <w:rPr>
          <w:i/>
          <w:iCs/>
          <w:noProof/>
        </w:rPr>
        <w:t>124</w:t>
      </w:r>
      <w:r w:rsidRPr="00B31BEB">
        <w:rPr>
          <w:noProof/>
        </w:rPr>
        <w:t>, (2017), 536–543.</w:t>
      </w:r>
    </w:p>
    <w:p w:rsidR="00D7380B" w:rsidRPr="00B31BEB" w:rsidRDefault="00E9400B" w:rsidP="00D7380B">
      <w:pPr>
        <w:widowControl w:val="0"/>
        <w:autoSpaceDE w:val="0"/>
        <w:autoSpaceDN w:val="0"/>
        <w:adjustRightInd w:val="0"/>
        <w:rPr>
          <w:noProof/>
        </w:rPr>
      </w:pPr>
      <w:r w:rsidRPr="00B31BEB">
        <w:rPr>
          <w:noProof/>
        </w:rPr>
        <w:t>66. Rose, J.,</w:t>
      </w:r>
      <w:r w:rsidR="00D7380B" w:rsidRPr="00B31BEB">
        <w:rPr>
          <w:noProof/>
        </w:rPr>
        <w:t xml:space="preserve"> and Hensher, D.A. Modelling agent interdependency in group decision making. </w:t>
      </w:r>
      <w:r w:rsidR="00D7380B" w:rsidRPr="00B31BEB">
        <w:rPr>
          <w:i/>
          <w:iCs/>
          <w:noProof/>
        </w:rPr>
        <w:t>Transportation Research Part E: Logistics and Transportation Review</w:t>
      </w:r>
      <w:r w:rsidR="00D7380B" w:rsidRPr="00B31BEB">
        <w:rPr>
          <w:noProof/>
        </w:rPr>
        <w:t xml:space="preserve">, </w:t>
      </w:r>
      <w:r w:rsidR="00D7380B" w:rsidRPr="00B31BEB">
        <w:rPr>
          <w:i/>
          <w:iCs/>
          <w:noProof/>
        </w:rPr>
        <w:t>40</w:t>
      </w:r>
      <w:r w:rsidR="00D7380B" w:rsidRPr="00B31BEB">
        <w:rPr>
          <w:noProof/>
        </w:rPr>
        <w:t>, 1 (2004), 63–79.</w:t>
      </w:r>
    </w:p>
    <w:p w:rsidR="00D7380B" w:rsidRPr="00B31BEB" w:rsidRDefault="00E9400B" w:rsidP="00D7380B">
      <w:pPr>
        <w:widowControl w:val="0"/>
        <w:autoSpaceDE w:val="0"/>
        <w:autoSpaceDN w:val="0"/>
        <w:adjustRightInd w:val="0"/>
        <w:rPr>
          <w:noProof/>
        </w:rPr>
      </w:pPr>
      <w:r w:rsidRPr="00B31BEB">
        <w:rPr>
          <w:noProof/>
        </w:rPr>
        <w:t>67. Rousseau, S.,</w:t>
      </w:r>
      <w:r w:rsidR="00D7380B" w:rsidRPr="00B31BEB">
        <w:rPr>
          <w:noProof/>
        </w:rPr>
        <w:t xml:space="preserve"> and Vranken, L. Green market expansion by reducing information asymmetries: </w:t>
      </w:r>
      <w:r w:rsidR="00840812" w:rsidRPr="00B31BEB">
        <w:rPr>
          <w:noProof/>
        </w:rPr>
        <w:t>e</w:t>
      </w:r>
      <w:r w:rsidR="00D7380B" w:rsidRPr="00B31BEB">
        <w:rPr>
          <w:noProof/>
        </w:rPr>
        <w:t xml:space="preserve">vidence for labeled organic food products. </w:t>
      </w:r>
      <w:r w:rsidR="00D7380B" w:rsidRPr="00B31BEB">
        <w:rPr>
          <w:i/>
          <w:iCs/>
          <w:noProof/>
        </w:rPr>
        <w:t>Food Policy</w:t>
      </w:r>
      <w:r w:rsidR="00D7380B" w:rsidRPr="00B31BEB">
        <w:rPr>
          <w:noProof/>
        </w:rPr>
        <w:t xml:space="preserve">, </w:t>
      </w:r>
      <w:r w:rsidR="00D7380B" w:rsidRPr="00B31BEB">
        <w:rPr>
          <w:i/>
          <w:iCs/>
          <w:noProof/>
        </w:rPr>
        <w:t>40</w:t>
      </w:r>
      <w:r w:rsidR="00D7380B" w:rsidRPr="00B31BEB">
        <w:rPr>
          <w:noProof/>
        </w:rPr>
        <w:t>, (2013), 31–43.</w:t>
      </w:r>
    </w:p>
    <w:p w:rsidR="00D7380B" w:rsidRPr="00B31BEB" w:rsidRDefault="00D7380B" w:rsidP="00D7380B">
      <w:pPr>
        <w:widowControl w:val="0"/>
        <w:autoSpaceDE w:val="0"/>
        <w:autoSpaceDN w:val="0"/>
        <w:adjustRightInd w:val="0"/>
        <w:rPr>
          <w:noProof/>
        </w:rPr>
      </w:pPr>
      <w:r w:rsidRPr="00B31BEB">
        <w:rPr>
          <w:noProof/>
        </w:rPr>
        <w:t xml:space="preserve">68. Ryan, M.; Watson, V.; and Entwistle, V. Rationalising the “irrational”: </w:t>
      </w:r>
      <w:r w:rsidR="00840812" w:rsidRPr="00B31BEB">
        <w:rPr>
          <w:noProof/>
        </w:rPr>
        <w:t>a</w:t>
      </w:r>
      <w:r w:rsidRPr="00B31BEB">
        <w:rPr>
          <w:noProof/>
        </w:rPr>
        <w:t xml:space="preserve"> think aloud study of discrete choice experiment responses. </w:t>
      </w:r>
      <w:r w:rsidRPr="00B31BEB">
        <w:rPr>
          <w:i/>
          <w:iCs/>
          <w:noProof/>
        </w:rPr>
        <w:t>Health Economics</w:t>
      </w:r>
      <w:r w:rsidRPr="00B31BEB">
        <w:rPr>
          <w:noProof/>
        </w:rPr>
        <w:t xml:space="preserve">, </w:t>
      </w:r>
      <w:r w:rsidRPr="00B31BEB">
        <w:rPr>
          <w:i/>
          <w:iCs/>
          <w:noProof/>
        </w:rPr>
        <w:t>18</w:t>
      </w:r>
      <w:r w:rsidRPr="00B31BEB">
        <w:rPr>
          <w:noProof/>
        </w:rPr>
        <w:t>, 3 (2009), 321–336.</w:t>
      </w:r>
    </w:p>
    <w:p w:rsidR="00D7380B" w:rsidRPr="00B31BEB" w:rsidRDefault="00D7380B" w:rsidP="00D7380B">
      <w:pPr>
        <w:widowControl w:val="0"/>
        <w:autoSpaceDE w:val="0"/>
        <w:autoSpaceDN w:val="0"/>
        <w:adjustRightInd w:val="0"/>
        <w:rPr>
          <w:noProof/>
        </w:rPr>
      </w:pPr>
      <w:r w:rsidRPr="00B31BEB">
        <w:rPr>
          <w:noProof/>
        </w:rPr>
        <w:t xml:space="preserve">69. Saarijärvi, H.; Sutinen, U.M.; and Harris, L.C. Uncovering consumers’ returning </w:t>
      </w:r>
      <w:r w:rsidRPr="00B31BEB">
        <w:rPr>
          <w:noProof/>
        </w:rPr>
        <w:lastRenderedPageBreak/>
        <w:t xml:space="preserve">behaviour: a study of fashion e-commerce. </w:t>
      </w:r>
      <w:r w:rsidRPr="00B31BEB">
        <w:rPr>
          <w:i/>
          <w:iCs/>
          <w:noProof/>
        </w:rPr>
        <w:t>International Review of Retail, Distribution and Consumer Research</w:t>
      </w:r>
      <w:r w:rsidRPr="00B31BEB">
        <w:rPr>
          <w:noProof/>
        </w:rPr>
        <w:t xml:space="preserve">, </w:t>
      </w:r>
      <w:r w:rsidRPr="00B31BEB">
        <w:rPr>
          <w:i/>
          <w:iCs/>
          <w:noProof/>
        </w:rPr>
        <w:t>27</w:t>
      </w:r>
      <w:r w:rsidRPr="00B31BEB">
        <w:rPr>
          <w:noProof/>
        </w:rPr>
        <w:t>, 3 (2017), 284–299.</w:t>
      </w:r>
    </w:p>
    <w:p w:rsidR="00D7380B" w:rsidRPr="00B31BEB" w:rsidRDefault="00D7380B" w:rsidP="00D7380B">
      <w:pPr>
        <w:widowControl w:val="0"/>
        <w:autoSpaceDE w:val="0"/>
        <w:autoSpaceDN w:val="0"/>
        <w:adjustRightInd w:val="0"/>
        <w:rPr>
          <w:noProof/>
        </w:rPr>
      </w:pPr>
      <w:r w:rsidRPr="00B31BEB">
        <w:rPr>
          <w:noProof/>
        </w:rPr>
        <w:t xml:space="preserve">70. Sandorf, E.D.; Campbell, D.; and Hanley, N. Disentangling the influence of knowledge on attribute non-attendance. </w:t>
      </w:r>
      <w:r w:rsidRPr="00B31BEB">
        <w:rPr>
          <w:i/>
          <w:iCs/>
          <w:noProof/>
        </w:rPr>
        <w:t>Journal of Choice Modelling</w:t>
      </w:r>
      <w:r w:rsidRPr="00B31BEB">
        <w:rPr>
          <w:noProof/>
        </w:rPr>
        <w:t xml:space="preserve">, </w:t>
      </w:r>
      <w:r w:rsidRPr="00B31BEB">
        <w:rPr>
          <w:i/>
          <w:iCs/>
          <w:noProof/>
        </w:rPr>
        <w:t>24</w:t>
      </w:r>
      <w:r w:rsidRPr="00B31BEB">
        <w:rPr>
          <w:noProof/>
        </w:rPr>
        <w:t>, (2017), 36–50.</w:t>
      </w:r>
    </w:p>
    <w:p w:rsidR="00D7380B" w:rsidRPr="00B31BEB" w:rsidRDefault="00D7380B" w:rsidP="00D7380B">
      <w:pPr>
        <w:widowControl w:val="0"/>
        <w:autoSpaceDE w:val="0"/>
        <w:autoSpaceDN w:val="0"/>
        <w:adjustRightInd w:val="0"/>
        <w:rPr>
          <w:noProof/>
        </w:rPr>
      </w:pPr>
      <w:r w:rsidRPr="00B31BEB">
        <w:rPr>
          <w:noProof/>
        </w:rPr>
        <w:t xml:space="preserve">71. Scarpa, R.; Gilbride, T.J.; Campbell, D.; and Hensher, D.A. Modelling attribute non-attendance in choice experiments for rural landscape valuation. </w:t>
      </w:r>
      <w:r w:rsidRPr="00B31BEB">
        <w:rPr>
          <w:i/>
          <w:iCs/>
          <w:noProof/>
        </w:rPr>
        <w:t>European Review of Agricultural Economics</w:t>
      </w:r>
      <w:r w:rsidRPr="00B31BEB">
        <w:rPr>
          <w:noProof/>
        </w:rPr>
        <w:t xml:space="preserve">, </w:t>
      </w:r>
      <w:r w:rsidRPr="00B31BEB">
        <w:rPr>
          <w:i/>
          <w:iCs/>
          <w:noProof/>
        </w:rPr>
        <w:t>36</w:t>
      </w:r>
      <w:r w:rsidRPr="00B31BEB">
        <w:rPr>
          <w:noProof/>
        </w:rPr>
        <w:t>, 2 (2009), 151–174.</w:t>
      </w:r>
    </w:p>
    <w:p w:rsidR="00D7380B" w:rsidRPr="00B31BEB" w:rsidRDefault="00D7380B" w:rsidP="00D7380B">
      <w:pPr>
        <w:widowControl w:val="0"/>
        <w:autoSpaceDE w:val="0"/>
        <w:autoSpaceDN w:val="0"/>
        <w:adjustRightInd w:val="0"/>
        <w:rPr>
          <w:noProof/>
        </w:rPr>
      </w:pPr>
      <w:r w:rsidRPr="00B31BEB">
        <w:rPr>
          <w:noProof/>
        </w:rPr>
        <w:t>72. Scarpa, R.; Thiene, M.; and Hensher, D.A. Monitoring choice task attribute attendance in nonmarket valuation of multiple park management services:</w:t>
      </w:r>
      <w:r w:rsidR="00840812" w:rsidRPr="00B31BEB">
        <w:rPr>
          <w:noProof/>
        </w:rPr>
        <w:t xml:space="preserve"> d</w:t>
      </w:r>
      <w:r w:rsidRPr="00B31BEB">
        <w:rPr>
          <w:noProof/>
        </w:rPr>
        <w:t xml:space="preserve">oes it matter? </w:t>
      </w:r>
      <w:r w:rsidRPr="00B31BEB">
        <w:rPr>
          <w:i/>
          <w:iCs/>
          <w:noProof/>
        </w:rPr>
        <w:t>Land Economics</w:t>
      </w:r>
      <w:r w:rsidRPr="00B31BEB">
        <w:rPr>
          <w:noProof/>
        </w:rPr>
        <w:t xml:space="preserve">, </w:t>
      </w:r>
      <w:r w:rsidRPr="00B31BEB">
        <w:rPr>
          <w:i/>
          <w:iCs/>
          <w:noProof/>
        </w:rPr>
        <w:t>86</w:t>
      </w:r>
      <w:r w:rsidRPr="00B31BEB">
        <w:rPr>
          <w:noProof/>
        </w:rPr>
        <w:t>, 4 (2010), 817–839.</w:t>
      </w:r>
    </w:p>
    <w:p w:rsidR="00D7380B" w:rsidRPr="00B31BEB" w:rsidRDefault="00D7380B" w:rsidP="00D7380B">
      <w:pPr>
        <w:widowControl w:val="0"/>
        <w:autoSpaceDE w:val="0"/>
        <w:autoSpaceDN w:val="0"/>
        <w:adjustRightInd w:val="0"/>
        <w:rPr>
          <w:noProof/>
        </w:rPr>
      </w:pPr>
      <w:r w:rsidRPr="00B31BEB">
        <w:rPr>
          <w:noProof/>
        </w:rPr>
        <w:t xml:space="preserve">73. Sorce, P.; Perotti, V.; and Widrick, S. Attitude and age differences in online buying. </w:t>
      </w:r>
      <w:r w:rsidRPr="00B31BEB">
        <w:rPr>
          <w:i/>
          <w:iCs/>
          <w:noProof/>
        </w:rPr>
        <w:t>International Journal of Retail and Distribution Management</w:t>
      </w:r>
      <w:r w:rsidRPr="00B31BEB">
        <w:rPr>
          <w:noProof/>
        </w:rPr>
        <w:t xml:space="preserve">, </w:t>
      </w:r>
      <w:r w:rsidRPr="00B31BEB">
        <w:rPr>
          <w:i/>
          <w:iCs/>
          <w:noProof/>
        </w:rPr>
        <w:t>33</w:t>
      </w:r>
      <w:r w:rsidRPr="00B31BEB">
        <w:rPr>
          <w:noProof/>
        </w:rPr>
        <w:t>, 2 (2005), 122–132.</w:t>
      </w:r>
    </w:p>
    <w:p w:rsidR="00D7380B" w:rsidRPr="00B31BEB" w:rsidRDefault="00E9400B" w:rsidP="00D7380B">
      <w:pPr>
        <w:widowControl w:val="0"/>
        <w:autoSpaceDE w:val="0"/>
        <w:autoSpaceDN w:val="0"/>
        <w:adjustRightInd w:val="0"/>
        <w:rPr>
          <w:noProof/>
        </w:rPr>
      </w:pPr>
      <w:r w:rsidRPr="00B31BEB">
        <w:rPr>
          <w:noProof/>
        </w:rPr>
        <w:t>74. Suh, B.,</w:t>
      </w:r>
      <w:r w:rsidR="00D7380B" w:rsidRPr="00B31BEB">
        <w:rPr>
          <w:noProof/>
        </w:rPr>
        <w:t xml:space="preserve"> and Han, I. The impact of customer trust and perception of security control on the acceptance of electronic commerce. </w:t>
      </w:r>
      <w:r w:rsidR="00D7380B" w:rsidRPr="00B31BEB">
        <w:rPr>
          <w:i/>
          <w:iCs/>
          <w:noProof/>
        </w:rPr>
        <w:t>International Journal of Electronic Commerce</w:t>
      </w:r>
      <w:r w:rsidR="00D7380B" w:rsidRPr="00B31BEB">
        <w:rPr>
          <w:noProof/>
        </w:rPr>
        <w:t xml:space="preserve">, </w:t>
      </w:r>
      <w:r w:rsidR="00D7380B" w:rsidRPr="00B31BEB">
        <w:rPr>
          <w:i/>
          <w:iCs/>
          <w:noProof/>
        </w:rPr>
        <w:t>7</w:t>
      </w:r>
      <w:r w:rsidR="00D7380B" w:rsidRPr="00B31BEB">
        <w:rPr>
          <w:noProof/>
        </w:rPr>
        <w:t>, 3 (2003), 135–161.</w:t>
      </w:r>
    </w:p>
    <w:p w:rsidR="00D7380B" w:rsidRPr="00B31BEB" w:rsidRDefault="00E9400B" w:rsidP="00D7380B">
      <w:pPr>
        <w:widowControl w:val="0"/>
        <w:autoSpaceDE w:val="0"/>
        <w:autoSpaceDN w:val="0"/>
        <w:adjustRightInd w:val="0"/>
        <w:rPr>
          <w:noProof/>
        </w:rPr>
      </w:pPr>
      <w:r w:rsidRPr="00B31BEB">
        <w:rPr>
          <w:noProof/>
        </w:rPr>
        <w:t>75. Sullivan, Y.W.,</w:t>
      </w:r>
      <w:r w:rsidR="00D7380B" w:rsidRPr="00B31BEB">
        <w:rPr>
          <w:noProof/>
        </w:rPr>
        <w:t xml:space="preserve"> and Kim, D.J. Assessing the effects of consumers’ product evaluations and trust on repurchase intention in e-commerce environments. </w:t>
      </w:r>
      <w:r w:rsidR="00D7380B" w:rsidRPr="00B31BEB">
        <w:rPr>
          <w:i/>
          <w:iCs/>
          <w:noProof/>
        </w:rPr>
        <w:t>International Journal of Information Management</w:t>
      </w:r>
      <w:r w:rsidR="00D7380B" w:rsidRPr="00B31BEB">
        <w:rPr>
          <w:noProof/>
        </w:rPr>
        <w:t xml:space="preserve">, </w:t>
      </w:r>
      <w:r w:rsidR="00D7380B" w:rsidRPr="00B31BEB">
        <w:rPr>
          <w:i/>
          <w:iCs/>
          <w:noProof/>
        </w:rPr>
        <w:t>39</w:t>
      </w:r>
      <w:r w:rsidR="00D7380B" w:rsidRPr="00B31BEB">
        <w:rPr>
          <w:noProof/>
        </w:rPr>
        <w:t>, (2018), 199–219.</w:t>
      </w:r>
    </w:p>
    <w:p w:rsidR="00D7380B" w:rsidRPr="00B31BEB" w:rsidRDefault="00D7380B" w:rsidP="00D7380B">
      <w:pPr>
        <w:widowControl w:val="0"/>
        <w:autoSpaceDE w:val="0"/>
        <w:autoSpaceDN w:val="0"/>
        <w:adjustRightInd w:val="0"/>
        <w:rPr>
          <w:noProof/>
        </w:rPr>
      </w:pPr>
      <w:r w:rsidRPr="00B31BEB">
        <w:rPr>
          <w:noProof/>
        </w:rPr>
        <w:t xml:space="preserve">76. Terzi, N. The impact of e-commerce on international trade and employment. </w:t>
      </w:r>
      <w:r w:rsidRPr="00B31BEB">
        <w:rPr>
          <w:i/>
          <w:iCs/>
          <w:noProof/>
        </w:rPr>
        <w:t>Procedia - Social and Behavioral Sciences</w:t>
      </w:r>
      <w:r w:rsidRPr="00B31BEB">
        <w:rPr>
          <w:noProof/>
        </w:rPr>
        <w:t xml:space="preserve">, </w:t>
      </w:r>
      <w:r w:rsidRPr="00B31BEB">
        <w:rPr>
          <w:i/>
          <w:iCs/>
          <w:noProof/>
        </w:rPr>
        <w:t>24</w:t>
      </w:r>
      <w:r w:rsidRPr="00B31BEB">
        <w:rPr>
          <w:noProof/>
        </w:rPr>
        <w:t>, (2011), 745–753.</w:t>
      </w:r>
    </w:p>
    <w:p w:rsidR="00D7380B" w:rsidRPr="00B31BEB" w:rsidRDefault="00D7380B" w:rsidP="00D7380B">
      <w:pPr>
        <w:widowControl w:val="0"/>
        <w:autoSpaceDE w:val="0"/>
        <w:autoSpaceDN w:val="0"/>
        <w:adjustRightInd w:val="0"/>
        <w:rPr>
          <w:noProof/>
        </w:rPr>
      </w:pPr>
      <w:r w:rsidRPr="00B31BEB">
        <w:rPr>
          <w:noProof/>
        </w:rPr>
        <w:t xml:space="preserve">77. Train, K.E. </w:t>
      </w:r>
      <w:r w:rsidRPr="00B31BEB">
        <w:rPr>
          <w:i/>
          <w:iCs/>
          <w:noProof/>
        </w:rPr>
        <w:t>Discrete choice methods with simulation, second edition</w:t>
      </w:r>
      <w:r w:rsidRPr="00B31BEB">
        <w:rPr>
          <w:noProof/>
        </w:rPr>
        <w:t>. Cambridge: Cambridge University Press, 2009.</w:t>
      </w:r>
    </w:p>
    <w:p w:rsidR="00D7380B" w:rsidRPr="00B31BEB" w:rsidRDefault="00D7380B" w:rsidP="00D7380B">
      <w:pPr>
        <w:widowControl w:val="0"/>
        <w:autoSpaceDE w:val="0"/>
        <w:autoSpaceDN w:val="0"/>
        <w:adjustRightInd w:val="0"/>
        <w:rPr>
          <w:noProof/>
        </w:rPr>
      </w:pPr>
      <w:r w:rsidRPr="00B31BEB">
        <w:rPr>
          <w:noProof/>
        </w:rPr>
        <w:t xml:space="preserve">78. Tsai, J.Y.; Egelman, S.; Cranor, L.; and Acquisti, A. The effect of online privacy information on purchasing behavior: </w:t>
      </w:r>
      <w:r w:rsidR="00840812" w:rsidRPr="00B31BEB">
        <w:rPr>
          <w:noProof/>
        </w:rPr>
        <w:t>a</w:t>
      </w:r>
      <w:r w:rsidRPr="00B31BEB">
        <w:rPr>
          <w:noProof/>
        </w:rPr>
        <w:t xml:space="preserve">n experimental study. </w:t>
      </w:r>
      <w:r w:rsidRPr="00B31BEB">
        <w:rPr>
          <w:i/>
          <w:iCs/>
          <w:noProof/>
        </w:rPr>
        <w:t xml:space="preserve">Information Systems </w:t>
      </w:r>
      <w:r w:rsidRPr="00B31BEB">
        <w:rPr>
          <w:i/>
          <w:iCs/>
          <w:noProof/>
        </w:rPr>
        <w:lastRenderedPageBreak/>
        <w:t>Research</w:t>
      </w:r>
      <w:r w:rsidRPr="00B31BEB">
        <w:rPr>
          <w:noProof/>
        </w:rPr>
        <w:t xml:space="preserve">, </w:t>
      </w:r>
      <w:r w:rsidRPr="00B31BEB">
        <w:rPr>
          <w:i/>
          <w:iCs/>
          <w:noProof/>
        </w:rPr>
        <w:t>22</w:t>
      </w:r>
      <w:r w:rsidRPr="00B31BEB">
        <w:rPr>
          <w:noProof/>
        </w:rPr>
        <w:t>, 2 (2011), 254–268.</w:t>
      </w:r>
    </w:p>
    <w:p w:rsidR="00D7380B" w:rsidRPr="00B31BEB" w:rsidRDefault="00D7380B" w:rsidP="00D7380B">
      <w:pPr>
        <w:widowControl w:val="0"/>
        <w:autoSpaceDE w:val="0"/>
        <w:autoSpaceDN w:val="0"/>
        <w:adjustRightInd w:val="0"/>
        <w:rPr>
          <w:noProof/>
        </w:rPr>
      </w:pPr>
      <w:r w:rsidRPr="00B31BEB">
        <w:rPr>
          <w:noProof/>
        </w:rPr>
        <w:t xml:space="preserve">79. Valarezo, Á.; Pérez-Amaral, T.; Garín-Muñoz, T.; Herguera García, I.; and López, R. Drivers and barriers to cross-border e-commerce: </w:t>
      </w:r>
      <w:r w:rsidR="00840812" w:rsidRPr="00B31BEB">
        <w:rPr>
          <w:noProof/>
        </w:rPr>
        <w:t>e</w:t>
      </w:r>
      <w:r w:rsidRPr="00B31BEB">
        <w:rPr>
          <w:noProof/>
        </w:rPr>
        <w:t xml:space="preserve">vidence from Spanish individual behavior. </w:t>
      </w:r>
      <w:r w:rsidRPr="00B31BEB">
        <w:rPr>
          <w:i/>
          <w:iCs/>
          <w:noProof/>
        </w:rPr>
        <w:t>Telecommunications Policy</w:t>
      </w:r>
      <w:r w:rsidRPr="00B31BEB">
        <w:rPr>
          <w:noProof/>
        </w:rPr>
        <w:t xml:space="preserve">, </w:t>
      </w:r>
      <w:r w:rsidRPr="00B31BEB">
        <w:rPr>
          <w:i/>
          <w:iCs/>
          <w:noProof/>
        </w:rPr>
        <w:t>42</w:t>
      </w:r>
      <w:r w:rsidRPr="00B31BEB">
        <w:rPr>
          <w:noProof/>
        </w:rPr>
        <w:t>, 6 (2018), 464–473.</w:t>
      </w:r>
    </w:p>
    <w:p w:rsidR="00D7380B" w:rsidRPr="00B31BEB" w:rsidRDefault="00D7380B" w:rsidP="00D7380B">
      <w:pPr>
        <w:widowControl w:val="0"/>
        <w:autoSpaceDE w:val="0"/>
        <w:autoSpaceDN w:val="0"/>
        <w:adjustRightInd w:val="0"/>
        <w:rPr>
          <w:noProof/>
        </w:rPr>
      </w:pPr>
      <w:r w:rsidRPr="00B31BEB">
        <w:rPr>
          <w:noProof/>
        </w:rPr>
        <w:t xml:space="preserve">80. Velmurugan, M.S. Security and </w:t>
      </w:r>
      <w:r w:rsidR="00840812" w:rsidRPr="00B31BEB">
        <w:rPr>
          <w:noProof/>
        </w:rPr>
        <w:t>trust in e-business: problems and prospects</w:t>
      </w:r>
      <w:r w:rsidRPr="00B31BEB">
        <w:rPr>
          <w:noProof/>
        </w:rPr>
        <w:t xml:space="preserve">. </w:t>
      </w:r>
      <w:r w:rsidRPr="00B31BEB">
        <w:rPr>
          <w:i/>
          <w:iCs/>
          <w:noProof/>
        </w:rPr>
        <w:t>International Journal of Electronic Business Management</w:t>
      </w:r>
      <w:r w:rsidRPr="00B31BEB">
        <w:rPr>
          <w:noProof/>
        </w:rPr>
        <w:t xml:space="preserve">, </w:t>
      </w:r>
      <w:r w:rsidRPr="00B31BEB">
        <w:rPr>
          <w:i/>
          <w:iCs/>
          <w:noProof/>
        </w:rPr>
        <w:t>7</w:t>
      </w:r>
      <w:r w:rsidRPr="00B31BEB">
        <w:rPr>
          <w:noProof/>
        </w:rPr>
        <w:t>, 3 (2009), 151–158.</w:t>
      </w:r>
    </w:p>
    <w:p w:rsidR="00D7380B" w:rsidRPr="00B31BEB" w:rsidRDefault="00D7380B" w:rsidP="00D7380B">
      <w:pPr>
        <w:widowControl w:val="0"/>
        <w:autoSpaceDE w:val="0"/>
        <w:autoSpaceDN w:val="0"/>
        <w:adjustRightInd w:val="0"/>
        <w:rPr>
          <w:noProof/>
        </w:rPr>
      </w:pPr>
      <w:r w:rsidRPr="00B31BEB">
        <w:rPr>
          <w:noProof/>
        </w:rPr>
        <w:t>81. Vermunt,</w:t>
      </w:r>
      <w:r w:rsidR="00E9400B" w:rsidRPr="00B31BEB">
        <w:rPr>
          <w:noProof/>
        </w:rPr>
        <w:t xml:space="preserve"> J.K.,</w:t>
      </w:r>
      <w:r w:rsidRPr="00B31BEB">
        <w:rPr>
          <w:noProof/>
        </w:rPr>
        <w:t xml:space="preserve"> and Magidson, J. Technical guide for Latent GOLD 4.0 : </w:t>
      </w:r>
      <w:r w:rsidR="00840812" w:rsidRPr="00B31BEB">
        <w:rPr>
          <w:noProof/>
        </w:rPr>
        <w:t>b</w:t>
      </w:r>
      <w:r w:rsidRPr="00B31BEB">
        <w:rPr>
          <w:noProof/>
        </w:rPr>
        <w:t xml:space="preserve">asic and advanced. </w:t>
      </w:r>
      <w:r w:rsidRPr="00B31BEB">
        <w:rPr>
          <w:i/>
          <w:iCs/>
          <w:noProof/>
        </w:rPr>
        <w:t>Statistical Innovations Inc.</w:t>
      </w:r>
      <w:r w:rsidRPr="00B31BEB">
        <w:rPr>
          <w:noProof/>
        </w:rPr>
        <w:t>, 617 (2005), 1–120.</w:t>
      </w:r>
    </w:p>
    <w:p w:rsidR="00D7380B" w:rsidRPr="00B31BEB" w:rsidRDefault="00E9400B" w:rsidP="00D7380B">
      <w:pPr>
        <w:widowControl w:val="0"/>
        <w:autoSpaceDE w:val="0"/>
        <w:autoSpaceDN w:val="0"/>
        <w:adjustRightInd w:val="0"/>
        <w:rPr>
          <w:noProof/>
        </w:rPr>
      </w:pPr>
      <w:r w:rsidRPr="00B31BEB">
        <w:rPr>
          <w:noProof/>
        </w:rPr>
        <w:t>82. Vermunt, J.K.,</w:t>
      </w:r>
      <w:r w:rsidR="00D7380B" w:rsidRPr="00B31BEB">
        <w:rPr>
          <w:noProof/>
        </w:rPr>
        <w:t xml:space="preserve"> and Magidson, J. Latent </w:t>
      </w:r>
      <w:r w:rsidR="00840812" w:rsidRPr="00B31BEB">
        <w:rPr>
          <w:noProof/>
        </w:rPr>
        <w:t xml:space="preserve">class models in longitudinal research latent class models in longitudinal research the mixture latent markov model. </w:t>
      </w:r>
      <w:r w:rsidR="00D7380B" w:rsidRPr="00B31BEB">
        <w:rPr>
          <w:i/>
          <w:iCs/>
          <w:noProof/>
        </w:rPr>
        <w:t>Methodology</w:t>
      </w:r>
      <w:r w:rsidR="00D7380B" w:rsidRPr="00B31BEB">
        <w:rPr>
          <w:noProof/>
        </w:rPr>
        <w:t>, (2008), 373–385.</w:t>
      </w:r>
    </w:p>
    <w:p w:rsidR="00D7380B" w:rsidRPr="00B31BEB" w:rsidRDefault="00D7380B" w:rsidP="00D7380B">
      <w:pPr>
        <w:widowControl w:val="0"/>
        <w:autoSpaceDE w:val="0"/>
        <w:autoSpaceDN w:val="0"/>
        <w:adjustRightInd w:val="0"/>
        <w:rPr>
          <w:noProof/>
        </w:rPr>
      </w:pPr>
      <w:r w:rsidRPr="00B31BEB">
        <w:rPr>
          <w:noProof/>
        </w:rPr>
        <w:t xml:space="preserve">83. Wang, C.C.; Chen, C.A.; and Jiang, J.C. The impact of knowledge and trust on </w:t>
      </w:r>
      <w:r w:rsidR="00840812" w:rsidRPr="00B31BEB">
        <w:rPr>
          <w:noProof/>
        </w:rPr>
        <w:t>e-</w:t>
      </w:r>
      <w:r w:rsidRPr="00B31BEB">
        <w:rPr>
          <w:noProof/>
        </w:rPr>
        <w:t xml:space="preserve">consumers’ online shopping activities: </w:t>
      </w:r>
      <w:r w:rsidR="00840812" w:rsidRPr="00B31BEB">
        <w:rPr>
          <w:noProof/>
        </w:rPr>
        <w:t>a</w:t>
      </w:r>
      <w:r w:rsidRPr="00B31BEB">
        <w:rPr>
          <w:noProof/>
        </w:rPr>
        <w:t xml:space="preserve">n empirical study. </w:t>
      </w:r>
      <w:r w:rsidRPr="00B31BEB">
        <w:rPr>
          <w:i/>
          <w:iCs/>
          <w:noProof/>
        </w:rPr>
        <w:t>Journal of Computers</w:t>
      </w:r>
      <w:r w:rsidRPr="00B31BEB">
        <w:rPr>
          <w:noProof/>
        </w:rPr>
        <w:t xml:space="preserve">, </w:t>
      </w:r>
      <w:r w:rsidRPr="00B31BEB">
        <w:rPr>
          <w:i/>
          <w:iCs/>
          <w:noProof/>
        </w:rPr>
        <w:t>4</w:t>
      </w:r>
      <w:r w:rsidRPr="00B31BEB">
        <w:rPr>
          <w:noProof/>
        </w:rPr>
        <w:t>, 1 (2009), 11–18.</w:t>
      </w:r>
    </w:p>
    <w:p w:rsidR="00D7380B" w:rsidRPr="00B31BEB" w:rsidRDefault="00D7380B" w:rsidP="00D7380B">
      <w:pPr>
        <w:widowControl w:val="0"/>
        <w:autoSpaceDE w:val="0"/>
        <w:autoSpaceDN w:val="0"/>
        <w:adjustRightInd w:val="0"/>
        <w:rPr>
          <w:noProof/>
        </w:rPr>
      </w:pPr>
      <w:r w:rsidRPr="00B31BEB">
        <w:rPr>
          <w:noProof/>
        </w:rPr>
        <w:t xml:space="preserve">84. Wang, J. Consumer nationalism and corporate reputation management in the global era. </w:t>
      </w:r>
      <w:r w:rsidRPr="00B31BEB">
        <w:rPr>
          <w:i/>
          <w:iCs/>
          <w:noProof/>
        </w:rPr>
        <w:t>Corporate Communications</w:t>
      </w:r>
      <w:r w:rsidRPr="00B31BEB">
        <w:rPr>
          <w:noProof/>
        </w:rPr>
        <w:t xml:space="preserve">, </w:t>
      </w:r>
      <w:r w:rsidRPr="00B31BEB">
        <w:rPr>
          <w:i/>
          <w:iCs/>
          <w:noProof/>
        </w:rPr>
        <w:t>10</w:t>
      </w:r>
      <w:r w:rsidRPr="00B31BEB">
        <w:rPr>
          <w:noProof/>
        </w:rPr>
        <w:t>, 3 (2005), 223–239.</w:t>
      </w:r>
    </w:p>
    <w:p w:rsidR="00D7380B" w:rsidRPr="00B31BEB" w:rsidRDefault="00D7380B" w:rsidP="00D7380B">
      <w:pPr>
        <w:widowControl w:val="0"/>
        <w:autoSpaceDE w:val="0"/>
        <w:autoSpaceDN w:val="0"/>
        <w:adjustRightInd w:val="0"/>
        <w:rPr>
          <w:noProof/>
        </w:rPr>
      </w:pPr>
      <w:r w:rsidRPr="00B31BEB">
        <w:rPr>
          <w:noProof/>
        </w:rPr>
        <w:t xml:space="preserve">85. Werts, C.E.; Linn, R.L.; and Jöreskog, K.G. Intraclass </w:t>
      </w:r>
      <w:r w:rsidR="00840812" w:rsidRPr="00B31BEB">
        <w:rPr>
          <w:noProof/>
        </w:rPr>
        <w:t>reliability estimates: testing structural assumptions</w:t>
      </w:r>
      <w:r w:rsidRPr="00B31BEB">
        <w:rPr>
          <w:noProof/>
        </w:rPr>
        <w:t xml:space="preserve">. </w:t>
      </w:r>
      <w:r w:rsidRPr="00B31BEB">
        <w:rPr>
          <w:i/>
          <w:iCs/>
          <w:noProof/>
        </w:rPr>
        <w:t>Educational and Psychological Measurement</w:t>
      </w:r>
      <w:r w:rsidRPr="00B31BEB">
        <w:rPr>
          <w:noProof/>
        </w:rPr>
        <w:t xml:space="preserve">, </w:t>
      </w:r>
      <w:r w:rsidRPr="00B31BEB">
        <w:rPr>
          <w:i/>
          <w:iCs/>
          <w:noProof/>
        </w:rPr>
        <w:t>34</w:t>
      </w:r>
      <w:r w:rsidRPr="00B31BEB">
        <w:rPr>
          <w:noProof/>
        </w:rPr>
        <w:t>, 1 (1974), 25–33.</w:t>
      </w:r>
    </w:p>
    <w:p w:rsidR="001A5335" w:rsidRPr="009D6F31" w:rsidRDefault="001A5335" w:rsidP="001A5335">
      <w:pPr>
        <w:tabs>
          <w:tab w:val="left" w:pos="1413"/>
        </w:tabs>
        <w:rPr>
          <w:i/>
        </w:rPr>
      </w:pPr>
      <w:r w:rsidRPr="00B31BEB">
        <w:fldChar w:fldCharType="end"/>
      </w:r>
    </w:p>
    <w:sectPr w:rsidR="001A5335" w:rsidRPr="009D6F31" w:rsidSect="00C10C0A">
      <w:headerReference w:type="even" r:id="rId223"/>
      <w:headerReference w:type="default" r:id="rId224"/>
      <w:footerReference w:type="even" r:id="rId225"/>
      <w:footerReference w:type="default" r:id="rId226"/>
      <w:headerReference w:type="first" r:id="rId227"/>
      <w:footerReference w:type="first" r:id="rId228"/>
      <w:pgSz w:w="11901" w:h="16840" w:code="9"/>
      <w:pgMar w:top="1418" w:right="1701" w:bottom="1418" w:left="1701" w:header="709" w:footer="709"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2"/>
    </wne:keymap>
    <wne:keymap wne:kcmPrimary="0632">
      <wne:acd wne:acdName="acd13"/>
    </wne:keymap>
    <wne:keymap wne:kcmPrimary="0633">
      <wne:acd wne:acdName="acd14"/>
    </wne:keymap>
    <wne:keymap wne:kcmPrimary="0634">
      <wne:acd wne:acdName="acd8"/>
    </wne:keymap>
    <wne:keymap wne:kcmPrimary="0641">
      <wne:acd wne:acdName="acd2"/>
    </wne:keymap>
    <wne:keymap wne:kcmPrimary="0642">
      <wne:acd wne:acdName="acd7"/>
    </wne:keymap>
    <wne:keymap wne:kcmPrimary="0643">
      <wne:acd wne:acdName="acd6"/>
    </wne:keymap>
    <wne:keymap wne:kcmPrimary="0645">
      <wne:acd wne:acdName="acd20"/>
    </wne:keymap>
    <wne:keymap wne:kcmPrimary="0646">
      <wne:acd wne:acdName="acd24"/>
    </wne:keymap>
    <wne:keymap wne:kcmPrimary="0649">
      <wne:acd wne:acdName="acd22"/>
    </wne:keymap>
    <wne:keymap wne:kcmPrimary="064A">
      <wne:acd wne:acdName="acd18"/>
    </wne:keymap>
    <wne:keymap wne:kcmPrimary="064B">
      <wne:acd wne:acdName="acd16"/>
    </wne:keymap>
    <wne:keymap wne:kcmPrimary="064C">
      <wne:acd wne:acdName="acd26"/>
    </wne:keymap>
    <wne:keymap wne:kcmPrimary="064E">
      <wne:acd wne:acdName="acd4"/>
    </wne:keymap>
    <wne:keymap wne:kcmPrimary="064F">
      <wne:acd wne:acdName="acd11"/>
    </wne:keymap>
    <wne:keymap wne:kcmPrimary="0650">
      <wne:acd wne:acdName="acd28"/>
    </wne:keymap>
    <wne:keymap wne:kcmPrimary="0651">
      <wne:acd wne:acdName="acd9"/>
    </wne:keymap>
    <wne:keymap wne:kcmPrimary="0652">
      <wne:acd wne:acdName="acd21"/>
    </wne:keymap>
    <wne:keymap wne:kcmPrimary="0653">
      <wne:acd wne:acdName="acd0"/>
    </wne:keymap>
    <wne:keymap wne:kcmPrimary="0654">
      <wne:acd wne:acdName="acd3"/>
    </wne:keymap>
    <wne:keymap wne:kcmPrimary="0655">
      <wne:acd wne:acdName="acd19"/>
    </wne:keymap>
    <wne:keymap wne:kcmPrimary="0657">
      <wne:acd wne:acdName="acd1"/>
    </wne:keymap>
    <wne:keymap wne:kcmPrimary="0658">
      <wne:acd wne:acdName="acd23"/>
    </wne:keymap>
    <wne:keymap wne:kcmPrimary="065A">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BAGIAcwB0AHIAYQBjAHQA" wne:acdName="acd0" wne:fciIndexBasedOn="0065"/>
    <wne:acd wne:argValue="AgBBAGMAawBuAG8AdwBsAGUAZABnAGUAbQBlAG4AdABzAA==" wne:acdName="acd1" wne:fciIndexBasedOn="0065"/>
    <wne:acd wne:argValue="AgBBAGYAZgBpAGwAaQBhAHQAaQBvAG4A" wne:acdName="acd2" wne:fciIndexBasedOn="0065"/>
    <wne:acd wne:argValue="AgBBAHIAdABpAGMAbABlACAAdABpAHQAbABlAA==" wne:acdName="acd3" wne:fciIndexBasedOn="0065"/>
    <wne:acd wne:argValue="AgBBAHUAdABoAG8AcgAgAG4AYQBtAGUAcwA=" wne:acdName="acd4" wne:fciIndexBasedOn="0065"/>
    <wne:acd wne:argValue="AgBIAGUAYQBkAGkAbgBnACAANAAgACsAIABQAGEAcgBhAGcAcgBhAHAAaAA=" wne:acdName="acd5" wne:fciIndexBasedOn="0065"/>
    <wne:acd wne:argValue="AgBDAG8AcgByAGUAcwBwAG8AbgBkAGUAbgBjAGUAIABkAGUAdABhAGkAbABzAA==" wne:acdName="acd6" wne:fciIndexBasedOn="0065"/>
    <wne:acd wne:argValue="AgBCAHUAbABsAGUAdABlAGQAIABsAGkAcwB0AA==" wne:acdName="acd7" wne:fciIndexBasedOn="0065"/>
    <wne:acd wne:argValue="AgBIAGUAYQBkAGkAbgBnACAANAAgACsAIABQAGEAcgBhAGcAcgBhAHAAaAA=" wne:acdName="acd8" wne:fciIndexBasedOn="0065"/>
    <wne:acd wne:argValue="AgBEAGkAcwBwAGwAYQB5AGUAZAAgAHEAdQBvAHQAYQB0AGkAbwBuAA==" wne:acdName="acd9" wne:fciIndexBasedOn="0065"/>
    <wne:acd wne:acdName="acd10" wne:fciIndexBasedOn="0065"/>
    <wne:acd wne:argValue="AgBGAG8AbwB0AG4AbwB0AGUAcwA=" wne:acdName="acd11" wne:fciIndexBasedOn="0065"/>
    <wne:acd wne:argValue="AQAAAAEA" wne:acdName="acd12" wne:fciIndexBasedOn="0065"/>
    <wne:acd wne:argValue="AQAAAAIA" wne:acdName="acd13" wne:fciIndexBasedOn="0065"/>
    <wne:acd wne:argValue="AQAAAAMA" wne:acdName="acd14" wne:fciIndexBasedOn="0065"/>
    <wne:acd wne:acdName="acd15" wne:fciIndexBasedOn="0065"/>
    <wne:acd wne:argValue="AgBLAGUAeQB3AG8AcgBkAHMA" wne:acdName="acd16" wne:fciIndexBasedOn="0065"/>
    <wne:acd wne:argValue="AgBOAHUAbQBiAGUAcgBlAGQAIABsAGkAcwB0AA==" wne:acdName="acd17" wne:fciIndexBasedOn="0065"/>
    <wne:acd wne:argValue="AgBTAHUAYgBqAGUAYwB0ACAAYwBvAGQAZQBzAA==" wne:acdName="acd18" wne:fciIndexBasedOn="0065"/>
    <wne:acd wne:argValue="AgBOAG8AdABlAHMAIABvAG4AIABjAG8AbgB0AHIAaQBiAHUAdABvAHIAcwA=" wne:acdName="acd19" wne:fciIndexBasedOn="0065"/>
    <wne:acd wne:argValue="AgBEAGkAcwBwAGwAYQB5AGUAZAAgAGUAcQB1AGEAdABpAG8AbgA=" wne:acdName="acd20" wne:fciIndexBasedOn="0065"/>
    <wne:acd wne:argValue="AgBSAGUAYwBlAGkAdgBlAGQAIABkAGEAdABlAHMA" wne:acdName="acd21" wne:fciIndexBasedOn="0065"/>
    <wne:acd wne:argValue="AgBUAGEAYgBsAGUAIAB0AGkAdABsAGUA" wne:acdName="acd22" wne:fciIndexBasedOn="0065"/>
    <wne:acd wne:argValue="AgBSAGUAZgBlAHIAZQBuAGMAZQBzAA==" wne:acdName="acd23" wne:fciIndexBasedOn="0065"/>
    <wne:acd wne:argValue="AgBGAGkAZwB1AHIAZQAgAGMAYQBwAHQAaQBvAG4A" wne:acdName="acd24" wne:fciIndexBasedOn="0065"/>
    <wne:acd wne:acdName="acd25" wne:fciIndexBasedOn="0065"/>
    <wne:acd wne:argValue="AgBOAHUAbQBiAGUAcgBlAGQAIABsAGkAcwB0AA==" wne:acdName="acd26" wne:fciIndexBasedOn="0065"/>
    <wne:acd wne:acdName="acd27" wne:fciIndexBasedOn="0065"/>
    <wne:acd wne:argValue="AgBQAGEAcgBhAGcAcgBhAHAAaAA=" wne:acdName="acd28" wne:fciIndexBasedOn="0065"/>
    <wne:acd wne:argValue="AgBOAGUAdwAgAHAAYQByAGEAZwByAGEAcABoA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B80" w:rsidRDefault="00BE1B80" w:rsidP="00AF2C92">
      <w:r>
        <w:separator/>
      </w:r>
    </w:p>
  </w:endnote>
  <w:endnote w:type="continuationSeparator" w:id="0">
    <w:p w:rsidR="00BE1B80" w:rsidRDefault="00BE1B80"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DejaVu Sans Mono">
    <w:charset w:val="01"/>
    <w:family w:val="modern"/>
    <w:pitch w:val="fixed"/>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E7" w:rsidRDefault="00485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E7" w:rsidRDefault="004857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E7" w:rsidRDefault="0048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B80" w:rsidRDefault="00BE1B80" w:rsidP="00AF2C92">
      <w:r>
        <w:separator/>
      </w:r>
    </w:p>
  </w:footnote>
  <w:footnote w:type="continuationSeparator" w:id="0">
    <w:p w:rsidR="00BE1B80" w:rsidRDefault="00BE1B80"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E7" w:rsidRDefault="00485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48" w:rsidRDefault="00100748" w:rsidP="000301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E7" w:rsidRDefault="00485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856E0F"/>
    <w:multiLevelType w:val="hybridMultilevel"/>
    <w:tmpl w:val="253A6D56"/>
    <w:lvl w:ilvl="0" w:tplc="08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8B"/>
    <w:rsid w:val="00000115"/>
    <w:rsid w:val="00001899"/>
    <w:rsid w:val="000019AC"/>
    <w:rsid w:val="00002489"/>
    <w:rsid w:val="00002E36"/>
    <w:rsid w:val="00003E50"/>
    <w:rsid w:val="00003E61"/>
    <w:rsid w:val="000049AD"/>
    <w:rsid w:val="00004B6E"/>
    <w:rsid w:val="0000681B"/>
    <w:rsid w:val="00006ACA"/>
    <w:rsid w:val="00010281"/>
    <w:rsid w:val="000105CC"/>
    <w:rsid w:val="00012D13"/>
    <w:rsid w:val="00012E80"/>
    <w:rsid w:val="00012EBD"/>
    <w:rsid w:val="000133C0"/>
    <w:rsid w:val="0001446B"/>
    <w:rsid w:val="000145C8"/>
    <w:rsid w:val="00014C4E"/>
    <w:rsid w:val="00015D10"/>
    <w:rsid w:val="00016597"/>
    <w:rsid w:val="00017107"/>
    <w:rsid w:val="00017995"/>
    <w:rsid w:val="000202E2"/>
    <w:rsid w:val="00021C3A"/>
    <w:rsid w:val="00021FCD"/>
    <w:rsid w:val="00022441"/>
    <w:rsid w:val="0002261E"/>
    <w:rsid w:val="00023826"/>
    <w:rsid w:val="00024329"/>
    <w:rsid w:val="00024839"/>
    <w:rsid w:val="00024F80"/>
    <w:rsid w:val="00026871"/>
    <w:rsid w:val="0003002D"/>
    <w:rsid w:val="00030148"/>
    <w:rsid w:val="000307DB"/>
    <w:rsid w:val="00030C60"/>
    <w:rsid w:val="000322EA"/>
    <w:rsid w:val="00033019"/>
    <w:rsid w:val="000341E4"/>
    <w:rsid w:val="000342D2"/>
    <w:rsid w:val="000351B6"/>
    <w:rsid w:val="000361B1"/>
    <w:rsid w:val="000363C1"/>
    <w:rsid w:val="00037A98"/>
    <w:rsid w:val="00040156"/>
    <w:rsid w:val="000427FB"/>
    <w:rsid w:val="00042EBB"/>
    <w:rsid w:val="000433A1"/>
    <w:rsid w:val="00044038"/>
    <w:rsid w:val="0004455E"/>
    <w:rsid w:val="00044D61"/>
    <w:rsid w:val="0004524D"/>
    <w:rsid w:val="00045797"/>
    <w:rsid w:val="00045E39"/>
    <w:rsid w:val="00047617"/>
    <w:rsid w:val="00047A93"/>
    <w:rsid w:val="00047CB5"/>
    <w:rsid w:val="00050945"/>
    <w:rsid w:val="0005097B"/>
    <w:rsid w:val="0005100E"/>
    <w:rsid w:val="00051FAA"/>
    <w:rsid w:val="00052BCB"/>
    <w:rsid w:val="000538EF"/>
    <w:rsid w:val="00053A6F"/>
    <w:rsid w:val="000572A9"/>
    <w:rsid w:val="000574DB"/>
    <w:rsid w:val="00060010"/>
    <w:rsid w:val="000609C1"/>
    <w:rsid w:val="00061325"/>
    <w:rsid w:val="00062A80"/>
    <w:rsid w:val="0006398A"/>
    <w:rsid w:val="00063F16"/>
    <w:rsid w:val="00064225"/>
    <w:rsid w:val="00065A34"/>
    <w:rsid w:val="0006663B"/>
    <w:rsid w:val="00067941"/>
    <w:rsid w:val="00071DC0"/>
    <w:rsid w:val="000733AC"/>
    <w:rsid w:val="00073754"/>
    <w:rsid w:val="0007479D"/>
    <w:rsid w:val="00074B81"/>
    <w:rsid w:val="00074D22"/>
    <w:rsid w:val="00074F64"/>
    <w:rsid w:val="00075081"/>
    <w:rsid w:val="0007528A"/>
    <w:rsid w:val="00075EB3"/>
    <w:rsid w:val="00075F27"/>
    <w:rsid w:val="00077056"/>
    <w:rsid w:val="000811AB"/>
    <w:rsid w:val="00081238"/>
    <w:rsid w:val="00081417"/>
    <w:rsid w:val="00081496"/>
    <w:rsid w:val="0008198D"/>
    <w:rsid w:val="00083C5F"/>
    <w:rsid w:val="0008470E"/>
    <w:rsid w:val="00084CCB"/>
    <w:rsid w:val="000855BE"/>
    <w:rsid w:val="00086DD3"/>
    <w:rsid w:val="000878BF"/>
    <w:rsid w:val="00090251"/>
    <w:rsid w:val="00090B48"/>
    <w:rsid w:val="00090D89"/>
    <w:rsid w:val="0009172C"/>
    <w:rsid w:val="000930EC"/>
    <w:rsid w:val="00094252"/>
    <w:rsid w:val="000943E9"/>
    <w:rsid w:val="000950DD"/>
    <w:rsid w:val="00095E61"/>
    <w:rsid w:val="000966C1"/>
    <w:rsid w:val="000970AC"/>
    <w:rsid w:val="000970B6"/>
    <w:rsid w:val="000A1088"/>
    <w:rsid w:val="000A1167"/>
    <w:rsid w:val="000A22C5"/>
    <w:rsid w:val="000A3482"/>
    <w:rsid w:val="000A3492"/>
    <w:rsid w:val="000A4428"/>
    <w:rsid w:val="000A4605"/>
    <w:rsid w:val="000A47AC"/>
    <w:rsid w:val="000A4D9F"/>
    <w:rsid w:val="000A5BF4"/>
    <w:rsid w:val="000A6D40"/>
    <w:rsid w:val="000A7BC3"/>
    <w:rsid w:val="000B1392"/>
    <w:rsid w:val="000B1661"/>
    <w:rsid w:val="000B1E1D"/>
    <w:rsid w:val="000B1F0B"/>
    <w:rsid w:val="000B2979"/>
    <w:rsid w:val="000B2E88"/>
    <w:rsid w:val="000B3394"/>
    <w:rsid w:val="000B4603"/>
    <w:rsid w:val="000B4D55"/>
    <w:rsid w:val="000B5E84"/>
    <w:rsid w:val="000B5F31"/>
    <w:rsid w:val="000B6592"/>
    <w:rsid w:val="000B6E41"/>
    <w:rsid w:val="000B728D"/>
    <w:rsid w:val="000B75D0"/>
    <w:rsid w:val="000B77AE"/>
    <w:rsid w:val="000B7C08"/>
    <w:rsid w:val="000C036C"/>
    <w:rsid w:val="000C04A7"/>
    <w:rsid w:val="000C09BE"/>
    <w:rsid w:val="000C1015"/>
    <w:rsid w:val="000C1380"/>
    <w:rsid w:val="000C2229"/>
    <w:rsid w:val="000C3EA3"/>
    <w:rsid w:val="000C554F"/>
    <w:rsid w:val="000C60AF"/>
    <w:rsid w:val="000C6361"/>
    <w:rsid w:val="000C6C97"/>
    <w:rsid w:val="000C7064"/>
    <w:rsid w:val="000D0256"/>
    <w:rsid w:val="000D0DC5"/>
    <w:rsid w:val="000D0F0C"/>
    <w:rsid w:val="000D15FF"/>
    <w:rsid w:val="000D28DF"/>
    <w:rsid w:val="000D3CBD"/>
    <w:rsid w:val="000D44FF"/>
    <w:rsid w:val="000D488B"/>
    <w:rsid w:val="000D4E38"/>
    <w:rsid w:val="000D5196"/>
    <w:rsid w:val="000D68DF"/>
    <w:rsid w:val="000D730B"/>
    <w:rsid w:val="000E138D"/>
    <w:rsid w:val="000E187A"/>
    <w:rsid w:val="000E23AB"/>
    <w:rsid w:val="000E2767"/>
    <w:rsid w:val="000E2D61"/>
    <w:rsid w:val="000E450E"/>
    <w:rsid w:val="000E5A9B"/>
    <w:rsid w:val="000E6259"/>
    <w:rsid w:val="000E67E2"/>
    <w:rsid w:val="000E69D2"/>
    <w:rsid w:val="000E77F4"/>
    <w:rsid w:val="000F0F22"/>
    <w:rsid w:val="000F1B81"/>
    <w:rsid w:val="000F4677"/>
    <w:rsid w:val="000F59D3"/>
    <w:rsid w:val="000F5BE0"/>
    <w:rsid w:val="000F6295"/>
    <w:rsid w:val="00100587"/>
    <w:rsid w:val="00100748"/>
    <w:rsid w:val="001014E1"/>
    <w:rsid w:val="001017C8"/>
    <w:rsid w:val="00101AF4"/>
    <w:rsid w:val="00101B87"/>
    <w:rsid w:val="00102417"/>
    <w:rsid w:val="0010250B"/>
    <w:rsid w:val="0010284E"/>
    <w:rsid w:val="00102E98"/>
    <w:rsid w:val="001030CA"/>
    <w:rsid w:val="00103122"/>
    <w:rsid w:val="0010336A"/>
    <w:rsid w:val="00104498"/>
    <w:rsid w:val="001044B1"/>
    <w:rsid w:val="00104FF7"/>
    <w:rsid w:val="001050F1"/>
    <w:rsid w:val="00105309"/>
    <w:rsid w:val="00105AEA"/>
    <w:rsid w:val="00106CDB"/>
    <w:rsid w:val="00106DAF"/>
    <w:rsid w:val="00110060"/>
    <w:rsid w:val="00110CBE"/>
    <w:rsid w:val="00111D63"/>
    <w:rsid w:val="0011398A"/>
    <w:rsid w:val="001141AE"/>
    <w:rsid w:val="00114ABE"/>
    <w:rsid w:val="00115164"/>
    <w:rsid w:val="00116023"/>
    <w:rsid w:val="00116326"/>
    <w:rsid w:val="00121526"/>
    <w:rsid w:val="001230DD"/>
    <w:rsid w:val="001235C6"/>
    <w:rsid w:val="00123609"/>
    <w:rsid w:val="00124056"/>
    <w:rsid w:val="00124462"/>
    <w:rsid w:val="00126075"/>
    <w:rsid w:val="00127838"/>
    <w:rsid w:val="001301AF"/>
    <w:rsid w:val="001302D1"/>
    <w:rsid w:val="00130B76"/>
    <w:rsid w:val="00132410"/>
    <w:rsid w:val="00132425"/>
    <w:rsid w:val="00132674"/>
    <w:rsid w:val="00134A51"/>
    <w:rsid w:val="00134AC8"/>
    <w:rsid w:val="00135196"/>
    <w:rsid w:val="00135D3C"/>
    <w:rsid w:val="001373B5"/>
    <w:rsid w:val="00140727"/>
    <w:rsid w:val="00140A39"/>
    <w:rsid w:val="00140C7A"/>
    <w:rsid w:val="00141DE2"/>
    <w:rsid w:val="00142789"/>
    <w:rsid w:val="001430EA"/>
    <w:rsid w:val="001446CE"/>
    <w:rsid w:val="00144E39"/>
    <w:rsid w:val="0014589B"/>
    <w:rsid w:val="001460A2"/>
    <w:rsid w:val="00146A2F"/>
    <w:rsid w:val="00147725"/>
    <w:rsid w:val="00151ECC"/>
    <w:rsid w:val="00153D3C"/>
    <w:rsid w:val="00154329"/>
    <w:rsid w:val="00154E44"/>
    <w:rsid w:val="00160628"/>
    <w:rsid w:val="00161344"/>
    <w:rsid w:val="00162155"/>
    <w:rsid w:val="00162195"/>
    <w:rsid w:val="0016322A"/>
    <w:rsid w:val="00164CD6"/>
    <w:rsid w:val="00165A21"/>
    <w:rsid w:val="00166B5D"/>
    <w:rsid w:val="001704CA"/>
    <w:rsid w:val="001705CE"/>
    <w:rsid w:val="0017286B"/>
    <w:rsid w:val="00173443"/>
    <w:rsid w:val="00173700"/>
    <w:rsid w:val="00174D6B"/>
    <w:rsid w:val="001753EF"/>
    <w:rsid w:val="0017681C"/>
    <w:rsid w:val="0017714B"/>
    <w:rsid w:val="0017755A"/>
    <w:rsid w:val="001804DF"/>
    <w:rsid w:val="00180C18"/>
    <w:rsid w:val="001813BA"/>
    <w:rsid w:val="0018140E"/>
    <w:rsid w:val="00181BDC"/>
    <w:rsid w:val="00181DB0"/>
    <w:rsid w:val="001829E3"/>
    <w:rsid w:val="00185CDA"/>
    <w:rsid w:val="00186794"/>
    <w:rsid w:val="001870EE"/>
    <w:rsid w:val="001871BD"/>
    <w:rsid w:val="0019101D"/>
    <w:rsid w:val="001924C0"/>
    <w:rsid w:val="001945C2"/>
    <w:rsid w:val="00194D09"/>
    <w:rsid w:val="0019527C"/>
    <w:rsid w:val="0019731E"/>
    <w:rsid w:val="0019761A"/>
    <w:rsid w:val="001977C7"/>
    <w:rsid w:val="001A09FE"/>
    <w:rsid w:val="001A2B35"/>
    <w:rsid w:val="001A2FA4"/>
    <w:rsid w:val="001A5335"/>
    <w:rsid w:val="001A55B5"/>
    <w:rsid w:val="001A5DEC"/>
    <w:rsid w:val="001A62EF"/>
    <w:rsid w:val="001A67C9"/>
    <w:rsid w:val="001A69DE"/>
    <w:rsid w:val="001A713C"/>
    <w:rsid w:val="001A7401"/>
    <w:rsid w:val="001A7D55"/>
    <w:rsid w:val="001B0D02"/>
    <w:rsid w:val="001B1C7C"/>
    <w:rsid w:val="001B31DE"/>
    <w:rsid w:val="001B3893"/>
    <w:rsid w:val="001B398F"/>
    <w:rsid w:val="001B3A0B"/>
    <w:rsid w:val="001B416F"/>
    <w:rsid w:val="001B46C6"/>
    <w:rsid w:val="001B4B48"/>
    <w:rsid w:val="001B4D1F"/>
    <w:rsid w:val="001B6934"/>
    <w:rsid w:val="001B6F47"/>
    <w:rsid w:val="001B7681"/>
    <w:rsid w:val="001B7915"/>
    <w:rsid w:val="001B7CAE"/>
    <w:rsid w:val="001C0128"/>
    <w:rsid w:val="001C0772"/>
    <w:rsid w:val="001C0D4F"/>
    <w:rsid w:val="001C18E1"/>
    <w:rsid w:val="001C1BA3"/>
    <w:rsid w:val="001C1DEC"/>
    <w:rsid w:val="001C24B8"/>
    <w:rsid w:val="001C3F41"/>
    <w:rsid w:val="001C5113"/>
    <w:rsid w:val="001C5736"/>
    <w:rsid w:val="001C72C2"/>
    <w:rsid w:val="001C77BD"/>
    <w:rsid w:val="001D183C"/>
    <w:rsid w:val="001D18BC"/>
    <w:rsid w:val="001D2768"/>
    <w:rsid w:val="001D2FB8"/>
    <w:rsid w:val="001D3F79"/>
    <w:rsid w:val="001D481F"/>
    <w:rsid w:val="001D54CB"/>
    <w:rsid w:val="001D5ECA"/>
    <w:rsid w:val="001D647F"/>
    <w:rsid w:val="001D6857"/>
    <w:rsid w:val="001D6C4C"/>
    <w:rsid w:val="001D6DA8"/>
    <w:rsid w:val="001D7065"/>
    <w:rsid w:val="001E0572"/>
    <w:rsid w:val="001E064F"/>
    <w:rsid w:val="001E0A67"/>
    <w:rsid w:val="001E1028"/>
    <w:rsid w:val="001E13CB"/>
    <w:rsid w:val="001E14E2"/>
    <w:rsid w:val="001E2A2C"/>
    <w:rsid w:val="001E3034"/>
    <w:rsid w:val="001E6302"/>
    <w:rsid w:val="001E64DA"/>
    <w:rsid w:val="001E7379"/>
    <w:rsid w:val="001E7528"/>
    <w:rsid w:val="001E7DCB"/>
    <w:rsid w:val="001F0DDB"/>
    <w:rsid w:val="001F2983"/>
    <w:rsid w:val="001F2CFB"/>
    <w:rsid w:val="001F3411"/>
    <w:rsid w:val="001F3779"/>
    <w:rsid w:val="001F39FF"/>
    <w:rsid w:val="001F4287"/>
    <w:rsid w:val="001F4ACE"/>
    <w:rsid w:val="001F4DBA"/>
    <w:rsid w:val="001F5AD5"/>
    <w:rsid w:val="001F64CE"/>
    <w:rsid w:val="00201FD0"/>
    <w:rsid w:val="00202D63"/>
    <w:rsid w:val="0020415E"/>
    <w:rsid w:val="00204FF4"/>
    <w:rsid w:val="00207EE5"/>
    <w:rsid w:val="0021056E"/>
    <w:rsid w:val="0021075D"/>
    <w:rsid w:val="00210AC7"/>
    <w:rsid w:val="0021165A"/>
    <w:rsid w:val="00211BC9"/>
    <w:rsid w:val="00212AE0"/>
    <w:rsid w:val="00213FF3"/>
    <w:rsid w:val="002150A0"/>
    <w:rsid w:val="0021620C"/>
    <w:rsid w:val="00216E78"/>
    <w:rsid w:val="00216F96"/>
    <w:rsid w:val="00217275"/>
    <w:rsid w:val="00217D89"/>
    <w:rsid w:val="0022037B"/>
    <w:rsid w:val="002211DD"/>
    <w:rsid w:val="00221792"/>
    <w:rsid w:val="00222034"/>
    <w:rsid w:val="00222A27"/>
    <w:rsid w:val="0022404C"/>
    <w:rsid w:val="00226D08"/>
    <w:rsid w:val="0022731D"/>
    <w:rsid w:val="00227401"/>
    <w:rsid w:val="00230CEA"/>
    <w:rsid w:val="002331AB"/>
    <w:rsid w:val="00233C52"/>
    <w:rsid w:val="00234335"/>
    <w:rsid w:val="0023592D"/>
    <w:rsid w:val="002368B4"/>
    <w:rsid w:val="00236F4B"/>
    <w:rsid w:val="00240286"/>
    <w:rsid w:val="00240BCD"/>
    <w:rsid w:val="00240FF0"/>
    <w:rsid w:val="002412C8"/>
    <w:rsid w:val="00241FE4"/>
    <w:rsid w:val="00242B0D"/>
    <w:rsid w:val="00242E84"/>
    <w:rsid w:val="002435F5"/>
    <w:rsid w:val="00243858"/>
    <w:rsid w:val="00243867"/>
    <w:rsid w:val="00243EDA"/>
    <w:rsid w:val="00244C7D"/>
    <w:rsid w:val="002456E5"/>
    <w:rsid w:val="00246612"/>
    <w:rsid w:val="002467C6"/>
    <w:rsid w:val="0024692A"/>
    <w:rsid w:val="00247093"/>
    <w:rsid w:val="00247292"/>
    <w:rsid w:val="00250674"/>
    <w:rsid w:val="0025135E"/>
    <w:rsid w:val="00252BBA"/>
    <w:rsid w:val="00253123"/>
    <w:rsid w:val="00254C08"/>
    <w:rsid w:val="00255619"/>
    <w:rsid w:val="002572BE"/>
    <w:rsid w:val="002574C4"/>
    <w:rsid w:val="002609BC"/>
    <w:rsid w:val="00262F45"/>
    <w:rsid w:val="00263125"/>
    <w:rsid w:val="00263AC8"/>
    <w:rsid w:val="00264001"/>
    <w:rsid w:val="002640E6"/>
    <w:rsid w:val="00264811"/>
    <w:rsid w:val="00265045"/>
    <w:rsid w:val="00265435"/>
    <w:rsid w:val="00266354"/>
    <w:rsid w:val="00267A18"/>
    <w:rsid w:val="0027032C"/>
    <w:rsid w:val="00273193"/>
    <w:rsid w:val="0027327B"/>
    <w:rsid w:val="00273462"/>
    <w:rsid w:val="0027395B"/>
    <w:rsid w:val="00275854"/>
    <w:rsid w:val="002758D8"/>
    <w:rsid w:val="00276431"/>
    <w:rsid w:val="002767E3"/>
    <w:rsid w:val="00280153"/>
    <w:rsid w:val="0028069F"/>
    <w:rsid w:val="00280912"/>
    <w:rsid w:val="0028107F"/>
    <w:rsid w:val="0028178C"/>
    <w:rsid w:val="0028261E"/>
    <w:rsid w:val="00283B41"/>
    <w:rsid w:val="00285F28"/>
    <w:rsid w:val="0028612D"/>
    <w:rsid w:val="00286398"/>
    <w:rsid w:val="00286A49"/>
    <w:rsid w:val="0029012B"/>
    <w:rsid w:val="0029051D"/>
    <w:rsid w:val="00290666"/>
    <w:rsid w:val="00291039"/>
    <w:rsid w:val="002923CB"/>
    <w:rsid w:val="00292DAA"/>
    <w:rsid w:val="00293BDB"/>
    <w:rsid w:val="0029570D"/>
    <w:rsid w:val="002960C4"/>
    <w:rsid w:val="0029668D"/>
    <w:rsid w:val="00296DE6"/>
    <w:rsid w:val="002971EA"/>
    <w:rsid w:val="002A188A"/>
    <w:rsid w:val="002A2954"/>
    <w:rsid w:val="002A3386"/>
    <w:rsid w:val="002A3C42"/>
    <w:rsid w:val="002A416B"/>
    <w:rsid w:val="002A45FE"/>
    <w:rsid w:val="002A551D"/>
    <w:rsid w:val="002A59B2"/>
    <w:rsid w:val="002A5D75"/>
    <w:rsid w:val="002A5D84"/>
    <w:rsid w:val="002A6C18"/>
    <w:rsid w:val="002B11A3"/>
    <w:rsid w:val="002B1B1A"/>
    <w:rsid w:val="002B1CE5"/>
    <w:rsid w:val="002B2EE5"/>
    <w:rsid w:val="002B7009"/>
    <w:rsid w:val="002B7228"/>
    <w:rsid w:val="002B74BC"/>
    <w:rsid w:val="002C2137"/>
    <w:rsid w:val="002C2577"/>
    <w:rsid w:val="002C29D3"/>
    <w:rsid w:val="002C53EE"/>
    <w:rsid w:val="002C5EAA"/>
    <w:rsid w:val="002C61D9"/>
    <w:rsid w:val="002C7D88"/>
    <w:rsid w:val="002D0CF3"/>
    <w:rsid w:val="002D24F7"/>
    <w:rsid w:val="002D2799"/>
    <w:rsid w:val="002D2CD7"/>
    <w:rsid w:val="002D3B6D"/>
    <w:rsid w:val="002D3C65"/>
    <w:rsid w:val="002D403A"/>
    <w:rsid w:val="002D4786"/>
    <w:rsid w:val="002D4DDC"/>
    <w:rsid w:val="002D4F75"/>
    <w:rsid w:val="002D6493"/>
    <w:rsid w:val="002D6576"/>
    <w:rsid w:val="002D6F09"/>
    <w:rsid w:val="002D7AB6"/>
    <w:rsid w:val="002D7EA3"/>
    <w:rsid w:val="002E0555"/>
    <w:rsid w:val="002E06D0"/>
    <w:rsid w:val="002E2AA2"/>
    <w:rsid w:val="002E3C27"/>
    <w:rsid w:val="002E3EAE"/>
    <w:rsid w:val="002E403A"/>
    <w:rsid w:val="002E608B"/>
    <w:rsid w:val="002E67B4"/>
    <w:rsid w:val="002E69EB"/>
    <w:rsid w:val="002E7DD0"/>
    <w:rsid w:val="002E7F3A"/>
    <w:rsid w:val="002F3A18"/>
    <w:rsid w:val="002F4EDB"/>
    <w:rsid w:val="002F530C"/>
    <w:rsid w:val="002F5CE7"/>
    <w:rsid w:val="002F5E9B"/>
    <w:rsid w:val="002F6054"/>
    <w:rsid w:val="002F6435"/>
    <w:rsid w:val="002F6718"/>
    <w:rsid w:val="002F7525"/>
    <w:rsid w:val="00303246"/>
    <w:rsid w:val="00303247"/>
    <w:rsid w:val="003036DE"/>
    <w:rsid w:val="00304B12"/>
    <w:rsid w:val="00304B4D"/>
    <w:rsid w:val="00307C85"/>
    <w:rsid w:val="00310B23"/>
    <w:rsid w:val="00310E13"/>
    <w:rsid w:val="00311466"/>
    <w:rsid w:val="00311AB6"/>
    <w:rsid w:val="003128F9"/>
    <w:rsid w:val="00313044"/>
    <w:rsid w:val="00315422"/>
    <w:rsid w:val="00315713"/>
    <w:rsid w:val="003158DC"/>
    <w:rsid w:val="00315D8D"/>
    <w:rsid w:val="003161BA"/>
    <w:rsid w:val="0031686C"/>
    <w:rsid w:val="00316E04"/>
    <w:rsid w:val="00316FE0"/>
    <w:rsid w:val="003204D2"/>
    <w:rsid w:val="00321ABF"/>
    <w:rsid w:val="00321F94"/>
    <w:rsid w:val="00324038"/>
    <w:rsid w:val="00325AC2"/>
    <w:rsid w:val="00325E79"/>
    <w:rsid w:val="0032605E"/>
    <w:rsid w:val="003263FD"/>
    <w:rsid w:val="00326CB3"/>
    <w:rsid w:val="00327588"/>
    <w:rsid w:val="003275D1"/>
    <w:rsid w:val="00330B2A"/>
    <w:rsid w:val="003317E9"/>
    <w:rsid w:val="00331E17"/>
    <w:rsid w:val="003320B2"/>
    <w:rsid w:val="00332E07"/>
    <w:rsid w:val="00332F3F"/>
    <w:rsid w:val="00333063"/>
    <w:rsid w:val="00333433"/>
    <w:rsid w:val="00335B62"/>
    <w:rsid w:val="00335E3C"/>
    <w:rsid w:val="00336170"/>
    <w:rsid w:val="00337D51"/>
    <w:rsid w:val="003403C2"/>
    <w:rsid w:val="003408E3"/>
    <w:rsid w:val="00341179"/>
    <w:rsid w:val="00341B6E"/>
    <w:rsid w:val="003430B4"/>
    <w:rsid w:val="00343480"/>
    <w:rsid w:val="00345E89"/>
    <w:rsid w:val="00346FC4"/>
    <w:rsid w:val="00347CF8"/>
    <w:rsid w:val="003522A1"/>
    <w:rsid w:val="00352549"/>
    <w:rsid w:val="0035254B"/>
    <w:rsid w:val="00352A7C"/>
    <w:rsid w:val="00352BE6"/>
    <w:rsid w:val="0035307F"/>
    <w:rsid w:val="00353555"/>
    <w:rsid w:val="00353604"/>
    <w:rsid w:val="00354211"/>
    <w:rsid w:val="00354244"/>
    <w:rsid w:val="00355617"/>
    <w:rsid w:val="0035609B"/>
    <w:rsid w:val="003565D4"/>
    <w:rsid w:val="00356E59"/>
    <w:rsid w:val="00357C70"/>
    <w:rsid w:val="003607FB"/>
    <w:rsid w:val="00360FD5"/>
    <w:rsid w:val="003620E1"/>
    <w:rsid w:val="00362D5E"/>
    <w:rsid w:val="0036340D"/>
    <w:rsid w:val="003634A5"/>
    <w:rsid w:val="0036638C"/>
    <w:rsid w:val="0036651D"/>
    <w:rsid w:val="00366868"/>
    <w:rsid w:val="00367296"/>
    <w:rsid w:val="00367506"/>
    <w:rsid w:val="00370085"/>
    <w:rsid w:val="003707BC"/>
    <w:rsid w:val="00371359"/>
    <w:rsid w:val="00372357"/>
    <w:rsid w:val="003729BB"/>
    <w:rsid w:val="00372F6E"/>
    <w:rsid w:val="00373AF6"/>
    <w:rsid w:val="003744A7"/>
    <w:rsid w:val="00374AF8"/>
    <w:rsid w:val="00375735"/>
    <w:rsid w:val="00375739"/>
    <w:rsid w:val="00376235"/>
    <w:rsid w:val="0037794A"/>
    <w:rsid w:val="0038132B"/>
    <w:rsid w:val="00381FB6"/>
    <w:rsid w:val="00382364"/>
    <w:rsid w:val="00382922"/>
    <w:rsid w:val="00382A2E"/>
    <w:rsid w:val="003836D3"/>
    <w:rsid w:val="00383A52"/>
    <w:rsid w:val="00384135"/>
    <w:rsid w:val="0038444B"/>
    <w:rsid w:val="003848CB"/>
    <w:rsid w:val="003866D9"/>
    <w:rsid w:val="00391652"/>
    <w:rsid w:val="00391C94"/>
    <w:rsid w:val="00392A43"/>
    <w:rsid w:val="003934A0"/>
    <w:rsid w:val="00393D75"/>
    <w:rsid w:val="00394C87"/>
    <w:rsid w:val="0039507F"/>
    <w:rsid w:val="00395AB8"/>
    <w:rsid w:val="00397777"/>
    <w:rsid w:val="003A1260"/>
    <w:rsid w:val="003A206B"/>
    <w:rsid w:val="003A295F"/>
    <w:rsid w:val="003A2B6B"/>
    <w:rsid w:val="003A352C"/>
    <w:rsid w:val="003A36AC"/>
    <w:rsid w:val="003A3F13"/>
    <w:rsid w:val="003A41DD"/>
    <w:rsid w:val="003A49D3"/>
    <w:rsid w:val="003A4A04"/>
    <w:rsid w:val="003A4F00"/>
    <w:rsid w:val="003A7033"/>
    <w:rsid w:val="003B033E"/>
    <w:rsid w:val="003B07BA"/>
    <w:rsid w:val="003B15F4"/>
    <w:rsid w:val="003B2535"/>
    <w:rsid w:val="003B47FE"/>
    <w:rsid w:val="003B5673"/>
    <w:rsid w:val="003B6287"/>
    <w:rsid w:val="003B62C9"/>
    <w:rsid w:val="003B67FA"/>
    <w:rsid w:val="003B6C55"/>
    <w:rsid w:val="003B709D"/>
    <w:rsid w:val="003B7194"/>
    <w:rsid w:val="003C3823"/>
    <w:rsid w:val="003C7176"/>
    <w:rsid w:val="003D0929"/>
    <w:rsid w:val="003D0B06"/>
    <w:rsid w:val="003D2B80"/>
    <w:rsid w:val="003D41D6"/>
    <w:rsid w:val="003D4729"/>
    <w:rsid w:val="003D47EB"/>
    <w:rsid w:val="003D6384"/>
    <w:rsid w:val="003D64CD"/>
    <w:rsid w:val="003D6C7D"/>
    <w:rsid w:val="003D71DC"/>
    <w:rsid w:val="003D7DD6"/>
    <w:rsid w:val="003E016A"/>
    <w:rsid w:val="003E0EBB"/>
    <w:rsid w:val="003E11AB"/>
    <w:rsid w:val="003E1842"/>
    <w:rsid w:val="003E2A38"/>
    <w:rsid w:val="003E2DE6"/>
    <w:rsid w:val="003E2FA9"/>
    <w:rsid w:val="003E5AAF"/>
    <w:rsid w:val="003E600D"/>
    <w:rsid w:val="003E606B"/>
    <w:rsid w:val="003E64DF"/>
    <w:rsid w:val="003E6A5D"/>
    <w:rsid w:val="003F193A"/>
    <w:rsid w:val="003F205B"/>
    <w:rsid w:val="003F246C"/>
    <w:rsid w:val="003F297A"/>
    <w:rsid w:val="003F2B86"/>
    <w:rsid w:val="003F3165"/>
    <w:rsid w:val="003F4207"/>
    <w:rsid w:val="003F54CD"/>
    <w:rsid w:val="003F5C46"/>
    <w:rsid w:val="003F6ABE"/>
    <w:rsid w:val="003F759B"/>
    <w:rsid w:val="003F7778"/>
    <w:rsid w:val="003F7CBB"/>
    <w:rsid w:val="003F7D34"/>
    <w:rsid w:val="00400584"/>
    <w:rsid w:val="004018A1"/>
    <w:rsid w:val="00401DFF"/>
    <w:rsid w:val="00402CAD"/>
    <w:rsid w:val="0040359D"/>
    <w:rsid w:val="00403D3B"/>
    <w:rsid w:val="004059D8"/>
    <w:rsid w:val="0040639F"/>
    <w:rsid w:val="00407375"/>
    <w:rsid w:val="004073AE"/>
    <w:rsid w:val="004111B0"/>
    <w:rsid w:val="00412C8E"/>
    <w:rsid w:val="0041301C"/>
    <w:rsid w:val="00413AAF"/>
    <w:rsid w:val="0041416E"/>
    <w:rsid w:val="0041518D"/>
    <w:rsid w:val="0041526A"/>
    <w:rsid w:val="004162DE"/>
    <w:rsid w:val="00416E95"/>
    <w:rsid w:val="004200CB"/>
    <w:rsid w:val="004202C8"/>
    <w:rsid w:val="00420992"/>
    <w:rsid w:val="004212F8"/>
    <w:rsid w:val="004213AB"/>
    <w:rsid w:val="00421600"/>
    <w:rsid w:val="0042221D"/>
    <w:rsid w:val="00422918"/>
    <w:rsid w:val="004239EA"/>
    <w:rsid w:val="00424337"/>
    <w:rsid w:val="00424DD3"/>
    <w:rsid w:val="00425E52"/>
    <w:rsid w:val="004269C5"/>
    <w:rsid w:val="00427253"/>
    <w:rsid w:val="00430B1C"/>
    <w:rsid w:val="00435939"/>
    <w:rsid w:val="004378BC"/>
    <w:rsid w:val="00437CC7"/>
    <w:rsid w:val="004403AB"/>
    <w:rsid w:val="00440405"/>
    <w:rsid w:val="00440F39"/>
    <w:rsid w:val="004413DE"/>
    <w:rsid w:val="00441506"/>
    <w:rsid w:val="0044197C"/>
    <w:rsid w:val="0044202D"/>
    <w:rsid w:val="00442878"/>
    <w:rsid w:val="00442B9C"/>
    <w:rsid w:val="00444F59"/>
    <w:rsid w:val="00444F72"/>
    <w:rsid w:val="00445EFA"/>
    <w:rsid w:val="00447030"/>
    <w:rsid w:val="0044738A"/>
    <w:rsid w:val="004473D3"/>
    <w:rsid w:val="00447F52"/>
    <w:rsid w:val="00451239"/>
    <w:rsid w:val="00451955"/>
    <w:rsid w:val="00452231"/>
    <w:rsid w:val="004529A6"/>
    <w:rsid w:val="00453543"/>
    <w:rsid w:val="00453560"/>
    <w:rsid w:val="00454321"/>
    <w:rsid w:val="00455168"/>
    <w:rsid w:val="004556F9"/>
    <w:rsid w:val="00456AD5"/>
    <w:rsid w:val="00460C13"/>
    <w:rsid w:val="00461C13"/>
    <w:rsid w:val="00462812"/>
    <w:rsid w:val="0046298E"/>
    <w:rsid w:val="00462ACF"/>
    <w:rsid w:val="00463228"/>
    <w:rsid w:val="004634E1"/>
    <w:rsid w:val="00463782"/>
    <w:rsid w:val="004647E8"/>
    <w:rsid w:val="0046521B"/>
    <w:rsid w:val="00465F39"/>
    <w:rsid w:val="004667E0"/>
    <w:rsid w:val="0046760E"/>
    <w:rsid w:val="00470E10"/>
    <w:rsid w:val="00471285"/>
    <w:rsid w:val="00471AA2"/>
    <w:rsid w:val="00472934"/>
    <w:rsid w:val="00473995"/>
    <w:rsid w:val="00474112"/>
    <w:rsid w:val="00474314"/>
    <w:rsid w:val="00474DD1"/>
    <w:rsid w:val="00475548"/>
    <w:rsid w:val="004759D7"/>
    <w:rsid w:val="004770C7"/>
    <w:rsid w:val="00477A97"/>
    <w:rsid w:val="00481343"/>
    <w:rsid w:val="0048188D"/>
    <w:rsid w:val="00481EE1"/>
    <w:rsid w:val="00482B69"/>
    <w:rsid w:val="0048325B"/>
    <w:rsid w:val="0048365F"/>
    <w:rsid w:val="004843E2"/>
    <w:rsid w:val="00484DB6"/>
    <w:rsid w:val="0048549E"/>
    <w:rsid w:val="00485760"/>
    <w:rsid w:val="004857E7"/>
    <w:rsid w:val="00487956"/>
    <w:rsid w:val="00487C82"/>
    <w:rsid w:val="0049107C"/>
    <w:rsid w:val="00491AD5"/>
    <w:rsid w:val="004930C6"/>
    <w:rsid w:val="00493347"/>
    <w:rsid w:val="00494FA3"/>
    <w:rsid w:val="0049534C"/>
    <w:rsid w:val="00495FC5"/>
    <w:rsid w:val="00496092"/>
    <w:rsid w:val="00496618"/>
    <w:rsid w:val="004A08DB"/>
    <w:rsid w:val="004A1882"/>
    <w:rsid w:val="004A1E6E"/>
    <w:rsid w:val="004A25D0"/>
    <w:rsid w:val="004A37E8"/>
    <w:rsid w:val="004A3A38"/>
    <w:rsid w:val="004A4799"/>
    <w:rsid w:val="004A4B8F"/>
    <w:rsid w:val="004A6D63"/>
    <w:rsid w:val="004A7549"/>
    <w:rsid w:val="004A7A44"/>
    <w:rsid w:val="004B09D4"/>
    <w:rsid w:val="004B2109"/>
    <w:rsid w:val="004B21C5"/>
    <w:rsid w:val="004B2D2B"/>
    <w:rsid w:val="004B2F30"/>
    <w:rsid w:val="004B309D"/>
    <w:rsid w:val="004B330A"/>
    <w:rsid w:val="004B3533"/>
    <w:rsid w:val="004B373C"/>
    <w:rsid w:val="004B4EB0"/>
    <w:rsid w:val="004B6F89"/>
    <w:rsid w:val="004B7C8E"/>
    <w:rsid w:val="004C0390"/>
    <w:rsid w:val="004C3D3C"/>
    <w:rsid w:val="004C5EDA"/>
    <w:rsid w:val="004C698F"/>
    <w:rsid w:val="004C6D2C"/>
    <w:rsid w:val="004D06A7"/>
    <w:rsid w:val="004D0EDC"/>
    <w:rsid w:val="004D1220"/>
    <w:rsid w:val="004D14B3"/>
    <w:rsid w:val="004D1529"/>
    <w:rsid w:val="004D2253"/>
    <w:rsid w:val="004D25E8"/>
    <w:rsid w:val="004D2C00"/>
    <w:rsid w:val="004D2C6F"/>
    <w:rsid w:val="004D49D4"/>
    <w:rsid w:val="004D4BA3"/>
    <w:rsid w:val="004D5514"/>
    <w:rsid w:val="004D56C3"/>
    <w:rsid w:val="004D6ACE"/>
    <w:rsid w:val="004D707C"/>
    <w:rsid w:val="004D7245"/>
    <w:rsid w:val="004D7DE0"/>
    <w:rsid w:val="004E0338"/>
    <w:rsid w:val="004E0BA6"/>
    <w:rsid w:val="004E13B1"/>
    <w:rsid w:val="004E1888"/>
    <w:rsid w:val="004E19A6"/>
    <w:rsid w:val="004E2972"/>
    <w:rsid w:val="004E3EA6"/>
    <w:rsid w:val="004E440D"/>
    <w:rsid w:val="004E4EA8"/>
    <w:rsid w:val="004E4FF3"/>
    <w:rsid w:val="004E56A8"/>
    <w:rsid w:val="004E64E3"/>
    <w:rsid w:val="004E66D8"/>
    <w:rsid w:val="004E6B0D"/>
    <w:rsid w:val="004E731F"/>
    <w:rsid w:val="004F0C43"/>
    <w:rsid w:val="004F1E1B"/>
    <w:rsid w:val="004F3B55"/>
    <w:rsid w:val="004F428E"/>
    <w:rsid w:val="004F458F"/>
    <w:rsid w:val="004F4E46"/>
    <w:rsid w:val="004F6B7D"/>
    <w:rsid w:val="004F7F0E"/>
    <w:rsid w:val="0050051F"/>
    <w:rsid w:val="005008C1"/>
    <w:rsid w:val="005015F6"/>
    <w:rsid w:val="00502CD0"/>
    <w:rsid w:val="005030C4"/>
    <w:rsid w:val="005031C5"/>
    <w:rsid w:val="00503BE1"/>
    <w:rsid w:val="00504FDC"/>
    <w:rsid w:val="00505273"/>
    <w:rsid w:val="0050548F"/>
    <w:rsid w:val="00505D9D"/>
    <w:rsid w:val="00511BB4"/>
    <w:rsid w:val="00511BFC"/>
    <w:rsid w:val="005120CC"/>
    <w:rsid w:val="00512B7B"/>
    <w:rsid w:val="00512C8B"/>
    <w:rsid w:val="00513D2D"/>
    <w:rsid w:val="005141DC"/>
    <w:rsid w:val="005143E5"/>
    <w:rsid w:val="00514533"/>
    <w:rsid w:val="005147A5"/>
    <w:rsid w:val="00514EA1"/>
    <w:rsid w:val="00516F56"/>
    <w:rsid w:val="0051710A"/>
    <w:rsid w:val="0051784F"/>
    <w:rsid w:val="0051798B"/>
    <w:rsid w:val="0052048A"/>
    <w:rsid w:val="0052063E"/>
    <w:rsid w:val="00521771"/>
    <w:rsid w:val="00521F5A"/>
    <w:rsid w:val="0052233A"/>
    <w:rsid w:val="005225A9"/>
    <w:rsid w:val="005225E6"/>
    <w:rsid w:val="0052301C"/>
    <w:rsid w:val="005232A1"/>
    <w:rsid w:val="0052348A"/>
    <w:rsid w:val="005234FD"/>
    <w:rsid w:val="005239A8"/>
    <w:rsid w:val="0052415B"/>
    <w:rsid w:val="00525E06"/>
    <w:rsid w:val="005260E4"/>
    <w:rsid w:val="00526454"/>
    <w:rsid w:val="00526DFA"/>
    <w:rsid w:val="0052793E"/>
    <w:rsid w:val="005313EC"/>
    <w:rsid w:val="00531823"/>
    <w:rsid w:val="00533D50"/>
    <w:rsid w:val="00534ECC"/>
    <w:rsid w:val="00535888"/>
    <w:rsid w:val="005364CC"/>
    <w:rsid w:val="00536830"/>
    <w:rsid w:val="00537083"/>
    <w:rsid w:val="0053720D"/>
    <w:rsid w:val="0054014F"/>
    <w:rsid w:val="00540865"/>
    <w:rsid w:val="00540EF5"/>
    <w:rsid w:val="00541BF3"/>
    <w:rsid w:val="00541CD3"/>
    <w:rsid w:val="00541D67"/>
    <w:rsid w:val="00542887"/>
    <w:rsid w:val="00544C3C"/>
    <w:rsid w:val="00545D01"/>
    <w:rsid w:val="00546AFD"/>
    <w:rsid w:val="005476FA"/>
    <w:rsid w:val="00547AA6"/>
    <w:rsid w:val="00550FFD"/>
    <w:rsid w:val="005513AB"/>
    <w:rsid w:val="005515CC"/>
    <w:rsid w:val="005524F1"/>
    <w:rsid w:val="005541A6"/>
    <w:rsid w:val="0055500F"/>
    <w:rsid w:val="0055595E"/>
    <w:rsid w:val="00555E41"/>
    <w:rsid w:val="005561D0"/>
    <w:rsid w:val="0055621D"/>
    <w:rsid w:val="0055718C"/>
    <w:rsid w:val="00557988"/>
    <w:rsid w:val="00560F10"/>
    <w:rsid w:val="0056182A"/>
    <w:rsid w:val="0056184E"/>
    <w:rsid w:val="00562C49"/>
    <w:rsid w:val="00562DEF"/>
    <w:rsid w:val="0056321A"/>
    <w:rsid w:val="0056353F"/>
    <w:rsid w:val="00563A35"/>
    <w:rsid w:val="00565402"/>
    <w:rsid w:val="005659F3"/>
    <w:rsid w:val="00566596"/>
    <w:rsid w:val="00566DBA"/>
    <w:rsid w:val="00570646"/>
    <w:rsid w:val="00571B34"/>
    <w:rsid w:val="00571C05"/>
    <w:rsid w:val="00572B27"/>
    <w:rsid w:val="00573470"/>
    <w:rsid w:val="005741E9"/>
    <w:rsid w:val="005748CF"/>
    <w:rsid w:val="0057603D"/>
    <w:rsid w:val="00582382"/>
    <w:rsid w:val="0058248B"/>
    <w:rsid w:val="00582EC4"/>
    <w:rsid w:val="005834E4"/>
    <w:rsid w:val="00584270"/>
    <w:rsid w:val="005842B6"/>
    <w:rsid w:val="00584738"/>
    <w:rsid w:val="0058584E"/>
    <w:rsid w:val="0058654F"/>
    <w:rsid w:val="00586FA5"/>
    <w:rsid w:val="005920B0"/>
    <w:rsid w:val="0059380D"/>
    <w:rsid w:val="00595A8F"/>
    <w:rsid w:val="0059745D"/>
    <w:rsid w:val="005977C2"/>
    <w:rsid w:val="00597BF2"/>
    <w:rsid w:val="00597D4B"/>
    <w:rsid w:val="005A085F"/>
    <w:rsid w:val="005A118D"/>
    <w:rsid w:val="005A1502"/>
    <w:rsid w:val="005A1F19"/>
    <w:rsid w:val="005A1F54"/>
    <w:rsid w:val="005A2730"/>
    <w:rsid w:val="005A3020"/>
    <w:rsid w:val="005A3649"/>
    <w:rsid w:val="005A36F3"/>
    <w:rsid w:val="005A6066"/>
    <w:rsid w:val="005A7762"/>
    <w:rsid w:val="005A7D43"/>
    <w:rsid w:val="005B1234"/>
    <w:rsid w:val="005B134E"/>
    <w:rsid w:val="005B182D"/>
    <w:rsid w:val="005B2039"/>
    <w:rsid w:val="005B28A3"/>
    <w:rsid w:val="005B344F"/>
    <w:rsid w:val="005B3FBA"/>
    <w:rsid w:val="005B4A1D"/>
    <w:rsid w:val="005B5B6F"/>
    <w:rsid w:val="005B674D"/>
    <w:rsid w:val="005B6798"/>
    <w:rsid w:val="005B7987"/>
    <w:rsid w:val="005B7EBA"/>
    <w:rsid w:val="005C0530"/>
    <w:rsid w:val="005C056D"/>
    <w:rsid w:val="005C0CBE"/>
    <w:rsid w:val="005C0FFB"/>
    <w:rsid w:val="005C1FCF"/>
    <w:rsid w:val="005C2B9E"/>
    <w:rsid w:val="005C33EF"/>
    <w:rsid w:val="005C3F41"/>
    <w:rsid w:val="005C4A10"/>
    <w:rsid w:val="005C5689"/>
    <w:rsid w:val="005D09A4"/>
    <w:rsid w:val="005D1885"/>
    <w:rsid w:val="005D1F4F"/>
    <w:rsid w:val="005D225C"/>
    <w:rsid w:val="005D34D8"/>
    <w:rsid w:val="005D3B45"/>
    <w:rsid w:val="005D3C4A"/>
    <w:rsid w:val="005D4A38"/>
    <w:rsid w:val="005D4D0B"/>
    <w:rsid w:val="005D7DC9"/>
    <w:rsid w:val="005E0F65"/>
    <w:rsid w:val="005E0FDC"/>
    <w:rsid w:val="005E16B4"/>
    <w:rsid w:val="005E1EBB"/>
    <w:rsid w:val="005E2B38"/>
    <w:rsid w:val="005E2EEA"/>
    <w:rsid w:val="005E3346"/>
    <w:rsid w:val="005E3567"/>
    <w:rsid w:val="005E3708"/>
    <w:rsid w:val="005E3CCD"/>
    <w:rsid w:val="005E3D6B"/>
    <w:rsid w:val="005E5225"/>
    <w:rsid w:val="005E5773"/>
    <w:rsid w:val="005E57BE"/>
    <w:rsid w:val="005E5B55"/>
    <w:rsid w:val="005E5E4A"/>
    <w:rsid w:val="005E693D"/>
    <w:rsid w:val="005E75BF"/>
    <w:rsid w:val="005F1F0E"/>
    <w:rsid w:val="005F3597"/>
    <w:rsid w:val="005F510C"/>
    <w:rsid w:val="005F57BA"/>
    <w:rsid w:val="005F58D9"/>
    <w:rsid w:val="005F5BBF"/>
    <w:rsid w:val="005F61E6"/>
    <w:rsid w:val="005F6C45"/>
    <w:rsid w:val="005F7AF5"/>
    <w:rsid w:val="00602F74"/>
    <w:rsid w:val="00605A69"/>
    <w:rsid w:val="00606552"/>
    <w:rsid w:val="00606C54"/>
    <w:rsid w:val="00611C97"/>
    <w:rsid w:val="00612A4A"/>
    <w:rsid w:val="00612A55"/>
    <w:rsid w:val="00613345"/>
    <w:rsid w:val="00613769"/>
    <w:rsid w:val="00614375"/>
    <w:rsid w:val="00614B6E"/>
    <w:rsid w:val="00615B0A"/>
    <w:rsid w:val="006168CF"/>
    <w:rsid w:val="00617A97"/>
    <w:rsid w:val="00617E2A"/>
    <w:rsid w:val="00620099"/>
    <w:rsid w:val="0062011B"/>
    <w:rsid w:val="00620664"/>
    <w:rsid w:val="00620A89"/>
    <w:rsid w:val="0062135C"/>
    <w:rsid w:val="00621594"/>
    <w:rsid w:val="006217AF"/>
    <w:rsid w:val="00621C6E"/>
    <w:rsid w:val="006231D0"/>
    <w:rsid w:val="006234AE"/>
    <w:rsid w:val="00623C36"/>
    <w:rsid w:val="00626972"/>
    <w:rsid w:val="00626D77"/>
    <w:rsid w:val="00626DE0"/>
    <w:rsid w:val="0062734A"/>
    <w:rsid w:val="00627A65"/>
    <w:rsid w:val="00630901"/>
    <w:rsid w:val="00630D0A"/>
    <w:rsid w:val="00631F8E"/>
    <w:rsid w:val="0063225D"/>
    <w:rsid w:val="00632B92"/>
    <w:rsid w:val="00633050"/>
    <w:rsid w:val="00634A30"/>
    <w:rsid w:val="00635C9F"/>
    <w:rsid w:val="00636232"/>
    <w:rsid w:val="00636338"/>
    <w:rsid w:val="006367D9"/>
    <w:rsid w:val="00636BEF"/>
    <w:rsid w:val="00636EE9"/>
    <w:rsid w:val="006379D7"/>
    <w:rsid w:val="00637A51"/>
    <w:rsid w:val="00637DE4"/>
    <w:rsid w:val="00640111"/>
    <w:rsid w:val="00640950"/>
    <w:rsid w:val="00641AE7"/>
    <w:rsid w:val="00642629"/>
    <w:rsid w:val="00643459"/>
    <w:rsid w:val="00644B96"/>
    <w:rsid w:val="00644F4B"/>
    <w:rsid w:val="00645106"/>
    <w:rsid w:val="006454A5"/>
    <w:rsid w:val="00646DEA"/>
    <w:rsid w:val="0064706B"/>
    <w:rsid w:val="0064782B"/>
    <w:rsid w:val="0064796E"/>
    <w:rsid w:val="00647F0A"/>
    <w:rsid w:val="0065059A"/>
    <w:rsid w:val="00651B16"/>
    <w:rsid w:val="00651B18"/>
    <w:rsid w:val="00651EEF"/>
    <w:rsid w:val="0065293D"/>
    <w:rsid w:val="00653558"/>
    <w:rsid w:val="0065394F"/>
    <w:rsid w:val="00653EFC"/>
    <w:rsid w:val="00654021"/>
    <w:rsid w:val="006541B1"/>
    <w:rsid w:val="006541DE"/>
    <w:rsid w:val="00654C79"/>
    <w:rsid w:val="006573DA"/>
    <w:rsid w:val="00657DCA"/>
    <w:rsid w:val="0066048D"/>
    <w:rsid w:val="00660EA7"/>
    <w:rsid w:val="00661045"/>
    <w:rsid w:val="00661296"/>
    <w:rsid w:val="006621BA"/>
    <w:rsid w:val="006632CF"/>
    <w:rsid w:val="00664351"/>
    <w:rsid w:val="00664447"/>
    <w:rsid w:val="00664FB5"/>
    <w:rsid w:val="00665151"/>
    <w:rsid w:val="00666DA8"/>
    <w:rsid w:val="006679A3"/>
    <w:rsid w:val="00670610"/>
    <w:rsid w:val="00670E38"/>
    <w:rsid w:val="00671057"/>
    <w:rsid w:val="006716C3"/>
    <w:rsid w:val="00673F19"/>
    <w:rsid w:val="006746DA"/>
    <w:rsid w:val="0067475A"/>
    <w:rsid w:val="00674A5B"/>
    <w:rsid w:val="00675AAF"/>
    <w:rsid w:val="00676A53"/>
    <w:rsid w:val="00676F98"/>
    <w:rsid w:val="00677C0B"/>
    <w:rsid w:val="0068031A"/>
    <w:rsid w:val="00680C34"/>
    <w:rsid w:val="00681A9D"/>
    <w:rsid w:val="00681B2F"/>
    <w:rsid w:val="00682025"/>
    <w:rsid w:val="0068272D"/>
    <w:rsid w:val="00683138"/>
    <w:rsid w:val="0068335F"/>
    <w:rsid w:val="0068338B"/>
    <w:rsid w:val="00683543"/>
    <w:rsid w:val="0068357E"/>
    <w:rsid w:val="00683887"/>
    <w:rsid w:val="006844B0"/>
    <w:rsid w:val="00685DFF"/>
    <w:rsid w:val="00686F39"/>
    <w:rsid w:val="00687217"/>
    <w:rsid w:val="00687D47"/>
    <w:rsid w:val="00690F81"/>
    <w:rsid w:val="0069120E"/>
    <w:rsid w:val="00693302"/>
    <w:rsid w:val="006958CD"/>
    <w:rsid w:val="00695A20"/>
    <w:rsid w:val="0069640B"/>
    <w:rsid w:val="00696882"/>
    <w:rsid w:val="00696DBD"/>
    <w:rsid w:val="00697D0F"/>
    <w:rsid w:val="006A0117"/>
    <w:rsid w:val="006A1B83"/>
    <w:rsid w:val="006A21CD"/>
    <w:rsid w:val="006A26DF"/>
    <w:rsid w:val="006A433F"/>
    <w:rsid w:val="006A4AB4"/>
    <w:rsid w:val="006A53D9"/>
    <w:rsid w:val="006A5906"/>
    <w:rsid w:val="006A5918"/>
    <w:rsid w:val="006A727D"/>
    <w:rsid w:val="006B134C"/>
    <w:rsid w:val="006B146D"/>
    <w:rsid w:val="006B21B2"/>
    <w:rsid w:val="006B2FE4"/>
    <w:rsid w:val="006B31A1"/>
    <w:rsid w:val="006B3EC3"/>
    <w:rsid w:val="006B42A2"/>
    <w:rsid w:val="006B4A4A"/>
    <w:rsid w:val="006B60A0"/>
    <w:rsid w:val="006B7887"/>
    <w:rsid w:val="006C10A0"/>
    <w:rsid w:val="006C19B2"/>
    <w:rsid w:val="006C28BC"/>
    <w:rsid w:val="006C42D6"/>
    <w:rsid w:val="006C4409"/>
    <w:rsid w:val="006C501B"/>
    <w:rsid w:val="006C5BB8"/>
    <w:rsid w:val="006C6357"/>
    <w:rsid w:val="006C6936"/>
    <w:rsid w:val="006C6F9E"/>
    <w:rsid w:val="006C7B01"/>
    <w:rsid w:val="006D010B"/>
    <w:rsid w:val="006D0AF2"/>
    <w:rsid w:val="006D0D64"/>
    <w:rsid w:val="006D0FE8"/>
    <w:rsid w:val="006D22F4"/>
    <w:rsid w:val="006D36F4"/>
    <w:rsid w:val="006D398C"/>
    <w:rsid w:val="006D3C2E"/>
    <w:rsid w:val="006D4B2B"/>
    <w:rsid w:val="006D4F3C"/>
    <w:rsid w:val="006D5B0B"/>
    <w:rsid w:val="006D5B95"/>
    <w:rsid w:val="006D5C66"/>
    <w:rsid w:val="006D6690"/>
    <w:rsid w:val="006D7002"/>
    <w:rsid w:val="006D7D75"/>
    <w:rsid w:val="006D7E4B"/>
    <w:rsid w:val="006E1B3C"/>
    <w:rsid w:val="006E23FB"/>
    <w:rsid w:val="006E250A"/>
    <w:rsid w:val="006E325A"/>
    <w:rsid w:val="006E33EC"/>
    <w:rsid w:val="006E3802"/>
    <w:rsid w:val="006E4DD7"/>
    <w:rsid w:val="006E4EA8"/>
    <w:rsid w:val="006E59BF"/>
    <w:rsid w:val="006E6C02"/>
    <w:rsid w:val="006E73C8"/>
    <w:rsid w:val="006E7622"/>
    <w:rsid w:val="006F231A"/>
    <w:rsid w:val="006F2F20"/>
    <w:rsid w:val="006F5700"/>
    <w:rsid w:val="006F6B55"/>
    <w:rsid w:val="006F788D"/>
    <w:rsid w:val="006F78E1"/>
    <w:rsid w:val="006F7A89"/>
    <w:rsid w:val="00700BDC"/>
    <w:rsid w:val="00701072"/>
    <w:rsid w:val="0070151C"/>
    <w:rsid w:val="00702054"/>
    <w:rsid w:val="007033FA"/>
    <w:rsid w:val="007035A4"/>
    <w:rsid w:val="00704CF6"/>
    <w:rsid w:val="007074CD"/>
    <w:rsid w:val="00707B5B"/>
    <w:rsid w:val="00710CD2"/>
    <w:rsid w:val="00711799"/>
    <w:rsid w:val="00712B78"/>
    <w:rsid w:val="0071393B"/>
    <w:rsid w:val="00713EE2"/>
    <w:rsid w:val="00714739"/>
    <w:rsid w:val="007168B0"/>
    <w:rsid w:val="007177FC"/>
    <w:rsid w:val="007178B1"/>
    <w:rsid w:val="00717D6C"/>
    <w:rsid w:val="00717F58"/>
    <w:rsid w:val="007205CC"/>
    <w:rsid w:val="00720C5E"/>
    <w:rsid w:val="00721701"/>
    <w:rsid w:val="00722FD2"/>
    <w:rsid w:val="00723059"/>
    <w:rsid w:val="007248AC"/>
    <w:rsid w:val="00726033"/>
    <w:rsid w:val="0072697D"/>
    <w:rsid w:val="007308E3"/>
    <w:rsid w:val="00730E59"/>
    <w:rsid w:val="00731835"/>
    <w:rsid w:val="00731AE5"/>
    <w:rsid w:val="007326AB"/>
    <w:rsid w:val="0073364C"/>
    <w:rsid w:val="0073367D"/>
    <w:rsid w:val="007341F8"/>
    <w:rsid w:val="00734372"/>
    <w:rsid w:val="00734EB8"/>
    <w:rsid w:val="00735F8B"/>
    <w:rsid w:val="007364C6"/>
    <w:rsid w:val="00736A17"/>
    <w:rsid w:val="00736EFC"/>
    <w:rsid w:val="00737CA6"/>
    <w:rsid w:val="00737E49"/>
    <w:rsid w:val="0074090B"/>
    <w:rsid w:val="00742896"/>
    <w:rsid w:val="00742D1F"/>
    <w:rsid w:val="007433E4"/>
    <w:rsid w:val="0074375A"/>
    <w:rsid w:val="00743778"/>
    <w:rsid w:val="00743EBA"/>
    <w:rsid w:val="00744C8E"/>
    <w:rsid w:val="0074707E"/>
    <w:rsid w:val="0074713E"/>
    <w:rsid w:val="00747FD3"/>
    <w:rsid w:val="00750ECC"/>
    <w:rsid w:val="007516DC"/>
    <w:rsid w:val="00752629"/>
    <w:rsid w:val="00752E58"/>
    <w:rsid w:val="0075320E"/>
    <w:rsid w:val="00754B80"/>
    <w:rsid w:val="00754BEA"/>
    <w:rsid w:val="0075779D"/>
    <w:rsid w:val="007601F8"/>
    <w:rsid w:val="00761918"/>
    <w:rsid w:val="00762F03"/>
    <w:rsid w:val="00763A1E"/>
    <w:rsid w:val="0076413B"/>
    <w:rsid w:val="0076417B"/>
    <w:rsid w:val="00764263"/>
    <w:rsid w:val="007648AE"/>
    <w:rsid w:val="00764BF8"/>
    <w:rsid w:val="0076514D"/>
    <w:rsid w:val="00766396"/>
    <w:rsid w:val="00770061"/>
    <w:rsid w:val="007712EB"/>
    <w:rsid w:val="007720AE"/>
    <w:rsid w:val="007725FB"/>
    <w:rsid w:val="007735CC"/>
    <w:rsid w:val="00773D59"/>
    <w:rsid w:val="0077452F"/>
    <w:rsid w:val="00774D1C"/>
    <w:rsid w:val="007754C5"/>
    <w:rsid w:val="0077632A"/>
    <w:rsid w:val="00776F12"/>
    <w:rsid w:val="00780479"/>
    <w:rsid w:val="00781003"/>
    <w:rsid w:val="00783808"/>
    <w:rsid w:val="00784528"/>
    <w:rsid w:val="007847E1"/>
    <w:rsid w:val="007853B4"/>
    <w:rsid w:val="00785E9C"/>
    <w:rsid w:val="007871C4"/>
    <w:rsid w:val="00787632"/>
    <w:rsid w:val="00787D8B"/>
    <w:rsid w:val="007911FD"/>
    <w:rsid w:val="00792B8C"/>
    <w:rsid w:val="00793930"/>
    <w:rsid w:val="00793B55"/>
    <w:rsid w:val="00793DD1"/>
    <w:rsid w:val="007944FF"/>
    <w:rsid w:val="00794FEC"/>
    <w:rsid w:val="007A003E"/>
    <w:rsid w:val="007A1965"/>
    <w:rsid w:val="007A218B"/>
    <w:rsid w:val="007A2ED1"/>
    <w:rsid w:val="007A3D98"/>
    <w:rsid w:val="007A4914"/>
    <w:rsid w:val="007A4BE6"/>
    <w:rsid w:val="007A545D"/>
    <w:rsid w:val="007A5B86"/>
    <w:rsid w:val="007A5E72"/>
    <w:rsid w:val="007A6297"/>
    <w:rsid w:val="007A6DBF"/>
    <w:rsid w:val="007A7ED9"/>
    <w:rsid w:val="007B0DC6"/>
    <w:rsid w:val="007B0EAA"/>
    <w:rsid w:val="007B0ED9"/>
    <w:rsid w:val="007B1094"/>
    <w:rsid w:val="007B1762"/>
    <w:rsid w:val="007B25AB"/>
    <w:rsid w:val="007B2A75"/>
    <w:rsid w:val="007B3320"/>
    <w:rsid w:val="007B3849"/>
    <w:rsid w:val="007B4452"/>
    <w:rsid w:val="007B49E3"/>
    <w:rsid w:val="007B5F3E"/>
    <w:rsid w:val="007C015D"/>
    <w:rsid w:val="007C04D8"/>
    <w:rsid w:val="007C0C10"/>
    <w:rsid w:val="007C1D2E"/>
    <w:rsid w:val="007C23E5"/>
    <w:rsid w:val="007C2FF4"/>
    <w:rsid w:val="007C301F"/>
    <w:rsid w:val="007C4540"/>
    <w:rsid w:val="007C499B"/>
    <w:rsid w:val="007C4E27"/>
    <w:rsid w:val="007C5ACF"/>
    <w:rsid w:val="007C65AF"/>
    <w:rsid w:val="007C7FC7"/>
    <w:rsid w:val="007D0E01"/>
    <w:rsid w:val="007D135D"/>
    <w:rsid w:val="007D2562"/>
    <w:rsid w:val="007D2B28"/>
    <w:rsid w:val="007D3412"/>
    <w:rsid w:val="007D39A3"/>
    <w:rsid w:val="007D4D9A"/>
    <w:rsid w:val="007D5451"/>
    <w:rsid w:val="007D5CFF"/>
    <w:rsid w:val="007D6548"/>
    <w:rsid w:val="007D730F"/>
    <w:rsid w:val="007D7CD8"/>
    <w:rsid w:val="007E0332"/>
    <w:rsid w:val="007E125B"/>
    <w:rsid w:val="007E188F"/>
    <w:rsid w:val="007E27E2"/>
    <w:rsid w:val="007E27E6"/>
    <w:rsid w:val="007E3AA7"/>
    <w:rsid w:val="007E3F5C"/>
    <w:rsid w:val="007E4DA5"/>
    <w:rsid w:val="007E50F9"/>
    <w:rsid w:val="007E538B"/>
    <w:rsid w:val="007E5405"/>
    <w:rsid w:val="007E6252"/>
    <w:rsid w:val="007F0963"/>
    <w:rsid w:val="007F11B9"/>
    <w:rsid w:val="007F11D3"/>
    <w:rsid w:val="007F15A9"/>
    <w:rsid w:val="007F1D4A"/>
    <w:rsid w:val="007F2964"/>
    <w:rsid w:val="007F3E1A"/>
    <w:rsid w:val="007F4B6B"/>
    <w:rsid w:val="007F4E5E"/>
    <w:rsid w:val="007F5402"/>
    <w:rsid w:val="007F5406"/>
    <w:rsid w:val="007F5D46"/>
    <w:rsid w:val="007F631F"/>
    <w:rsid w:val="007F67DE"/>
    <w:rsid w:val="007F70D4"/>
    <w:rsid w:val="007F737D"/>
    <w:rsid w:val="007F7F94"/>
    <w:rsid w:val="0080308E"/>
    <w:rsid w:val="00803E85"/>
    <w:rsid w:val="008042F7"/>
    <w:rsid w:val="008052AF"/>
    <w:rsid w:val="00805303"/>
    <w:rsid w:val="00805BC7"/>
    <w:rsid w:val="008064B2"/>
    <w:rsid w:val="00806705"/>
    <w:rsid w:val="00806738"/>
    <w:rsid w:val="00810553"/>
    <w:rsid w:val="00810B20"/>
    <w:rsid w:val="00810E97"/>
    <w:rsid w:val="00811CBA"/>
    <w:rsid w:val="0081388D"/>
    <w:rsid w:val="00813E7F"/>
    <w:rsid w:val="00814C8D"/>
    <w:rsid w:val="00817E64"/>
    <w:rsid w:val="00820805"/>
    <w:rsid w:val="00820D69"/>
    <w:rsid w:val="0082126D"/>
    <w:rsid w:val="008213E1"/>
    <w:rsid w:val="008216D5"/>
    <w:rsid w:val="008232B2"/>
    <w:rsid w:val="0082457F"/>
    <w:rsid w:val="008249CE"/>
    <w:rsid w:val="00824FCB"/>
    <w:rsid w:val="0082504E"/>
    <w:rsid w:val="00825271"/>
    <w:rsid w:val="00825408"/>
    <w:rsid w:val="008259C1"/>
    <w:rsid w:val="00827344"/>
    <w:rsid w:val="008278D8"/>
    <w:rsid w:val="00827AF2"/>
    <w:rsid w:val="00827CE5"/>
    <w:rsid w:val="00827FD8"/>
    <w:rsid w:val="00830D5A"/>
    <w:rsid w:val="008310C7"/>
    <w:rsid w:val="00831A50"/>
    <w:rsid w:val="00831B3C"/>
    <w:rsid w:val="00831C89"/>
    <w:rsid w:val="00832023"/>
    <w:rsid w:val="00832114"/>
    <w:rsid w:val="00834C46"/>
    <w:rsid w:val="00837634"/>
    <w:rsid w:val="00837993"/>
    <w:rsid w:val="00840812"/>
    <w:rsid w:val="0084093E"/>
    <w:rsid w:val="00841689"/>
    <w:rsid w:val="00841CE1"/>
    <w:rsid w:val="0084379D"/>
    <w:rsid w:val="00843C84"/>
    <w:rsid w:val="008473D8"/>
    <w:rsid w:val="0084787F"/>
    <w:rsid w:val="00847BA9"/>
    <w:rsid w:val="00847C49"/>
    <w:rsid w:val="00847EAC"/>
    <w:rsid w:val="00851339"/>
    <w:rsid w:val="0085225F"/>
    <w:rsid w:val="008528DC"/>
    <w:rsid w:val="00852B8C"/>
    <w:rsid w:val="00853C89"/>
    <w:rsid w:val="00854981"/>
    <w:rsid w:val="00856643"/>
    <w:rsid w:val="00856CE1"/>
    <w:rsid w:val="00857699"/>
    <w:rsid w:val="0086038D"/>
    <w:rsid w:val="008631FA"/>
    <w:rsid w:val="00864B2E"/>
    <w:rsid w:val="00865963"/>
    <w:rsid w:val="0086603D"/>
    <w:rsid w:val="008669FD"/>
    <w:rsid w:val="0086765A"/>
    <w:rsid w:val="00870B85"/>
    <w:rsid w:val="00871C1D"/>
    <w:rsid w:val="00872218"/>
    <w:rsid w:val="008734A2"/>
    <w:rsid w:val="0087450E"/>
    <w:rsid w:val="00874A06"/>
    <w:rsid w:val="00874CE1"/>
    <w:rsid w:val="00874DF8"/>
    <w:rsid w:val="008752AC"/>
    <w:rsid w:val="00875331"/>
    <w:rsid w:val="00875A82"/>
    <w:rsid w:val="00875BEC"/>
    <w:rsid w:val="00876CA3"/>
    <w:rsid w:val="00876F85"/>
    <w:rsid w:val="008772FE"/>
    <w:rsid w:val="008775F1"/>
    <w:rsid w:val="00877DB7"/>
    <w:rsid w:val="0088095D"/>
    <w:rsid w:val="00880ADC"/>
    <w:rsid w:val="00881523"/>
    <w:rsid w:val="008821AE"/>
    <w:rsid w:val="0088396D"/>
    <w:rsid w:val="00883D3A"/>
    <w:rsid w:val="008854F7"/>
    <w:rsid w:val="00885A9D"/>
    <w:rsid w:val="00887B12"/>
    <w:rsid w:val="00887C89"/>
    <w:rsid w:val="0089037D"/>
    <w:rsid w:val="0089049E"/>
    <w:rsid w:val="0089294E"/>
    <w:rsid w:val="008929D2"/>
    <w:rsid w:val="00893636"/>
    <w:rsid w:val="00893B94"/>
    <w:rsid w:val="008943D9"/>
    <w:rsid w:val="00894BE7"/>
    <w:rsid w:val="00894CA2"/>
    <w:rsid w:val="00895A50"/>
    <w:rsid w:val="00896A7A"/>
    <w:rsid w:val="00896C11"/>
    <w:rsid w:val="00896E9D"/>
    <w:rsid w:val="00896F11"/>
    <w:rsid w:val="00896F7F"/>
    <w:rsid w:val="008A0518"/>
    <w:rsid w:val="008A090B"/>
    <w:rsid w:val="008A1049"/>
    <w:rsid w:val="008A1C98"/>
    <w:rsid w:val="008A1DF3"/>
    <w:rsid w:val="008A2045"/>
    <w:rsid w:val="008A2986"/>
    <w:rsid w:val="008A2E32"/>
    <w:rsid w:val="008A322D"/>
    <w:rsid w:val="008A4D72"/>
    <w:rsid w:val="008A4F44"/>
    <w:rsid w:val="008A5BE8"/>
    <w:rsid w:val="008A6285"/>
    <w:rsid w:val="008A63B2"/>
    <w:rsid w:val="008A7560"/>
    <w:rsid w:val="008A7D04"/>
    <w:rsid w:val="008B0F90"/>
    <w:rsid w:val="008B3043"/>
    <w:rsid w:val="008B345D"/>
    <w:rsid w:val="008B6C5B"/>
    <w:rsid w:val="008B7FC5"/>
    <w:rsid w:val="008C1FC2"/>
    <w:rsid w:val="008C275C"/>
    <w:rsid w:val="008C2980"/>
    <w:rsid w:val="008C42F4"/>
    <w:rsid w:val="008C46F9"/>
    <w:rsid w:val="008C493C"/>
    <w:rsid w:val="008C4DD6"/>
    <w:rsid w:val="008C5AFB"/>
    <w:rsid w:val="008C5F0D"/>
    <w:rsid w:val="008C6FF6"/>
    <w:rsid w:val="008D07FB"/>
    <w:rsid w:val="008D0C02"/>
    <w:rsid w:val="008D1AE0"/>
    <w:rsid w:val="008D1C4A"/>
    <w:rsid w:val="008D2B67"/>
    <w:rsid w:val="008D357D"/>
    <w:rsid w:val="008D3BFD"/>
    <w:rsid w:val="008D435A"/>
    <w:rsid w:val="008D4645"/>
    <w:rsid w:val="008D6348"/>
    <w:rsid w:val="008D7511"/>
    <w:rsid w:val="008E044E"/>
    <w:rsid w:val="008E0F67"/>
    <w:rsid w:val="008E1EC0"/>
    <w:rsid w:val="008E20FA"/>
    <w:rsid w:val="008E28E2"/>
    <w:rsid w:val="008E31A7"/>
    <w:rsid w:val="008E387B"/>
    <w:rsid w:val="008E3E92"/>
    <w:rsid w:val="008E3EE9"/>
    <w:rsid w:val="008E46E8"/>
    <w:rsid w:val="008E6087"/>
    <w:rsid w:val="008E6BE6"/>
    <w:rsid w:val="008E758D"/>
    <w:rsid w:val="008F06F1"/>
    <w:rsid w:val="008F080C"/>
    <w:rsid w:val="008F10A7"/>
    <w:rsid w:val="008F3720"/>
    <w:rsid w:val="008F390E"/>
    <w:rsid w:val="008F3EFD"/>
    <w:rsid w:val="008F418E"/>
    <w:rsid w:val="008F4514"/>
    <w:rsid w:val="008F5FA0"/>
    <w:rsid w:val="008F6061"/>
    <w:rsid w:val="008F701C"/>
    <w:rsid w:val="008F755D"/>
    <w:rsid w:val="008F7575"/>
    <w:rsid w:val="008F7640"/>
    <w:rsid w:val="008F7A39"/>
    <w:rsid w:val="009021E8"/>
    <w:rsid w:val="00904167"/>
    <w:rsid w:val="00904677"/>
    <w:rsid w:val="00904943"/>
    <w:rsid w:val="00904A35"/>
    <w:rsid w:val="00905D03"/>
    <w:rsid w:val="00905EE2"/>
    <w:rsid w:val="00907DB5"/>
    <w:rsid w:val="0091009E"/>
    <w:rsid w:val="009111D3"/>
    <w:rsid w:val="00911440"/>
    <w:rsid w:val="00911712"/>
    <w:rsid w:val="00911B27"/>
    <w:rsid w:val="00912419"/>
    <w:rsid w:val="00912915"/>
    <w:rsid w:val="00915C1C"/>
    <w:rsid w:val="00915F4A"/>
    <w:rsid w:val="009170BE"/>
    <w:rsid w:val="0092084B"/>
    <w:rsid w:val="00920B55"/>
    <w:rsid w:val="00922734"/>
    <w:rsid w:val="00922958"/>
    <w:rsid w:val="00922DE1"/>
    <w:rsid w:val="00923647"/>
    <w:rsid w:val="00923902"/>
    <w:rsid w:val="009239D5"/>
    <w:rsid w:val="009244A4"/>
    <w:rsid w:val="009262C9"/>
    <w:rsid w:val="009274E9"/>
    <w:rsid w:val="00930EB9"/>
    <w:rsid w:val="009313F3"/>
    <w:rsid w:val="00931E18"/>
    <w:rsid w:val="009327E5"/>
    <w:rsid w:val="0093302E"/>
    <w:rsid w:val="00933B27"/>
    <w:rsid w:val="00933B45"/>
    <w:rsid w:val="00933DC7"/>
    <w:rsid w:val="00933F7D"/>
    <w:rsid w:val="00933FA5"/>
    <w:rsid w:val="00935CCE"/>
    <w:rsid w:val="00936EEF"/>
    <w:rsid w:val="009372DF"/>
    <w:rsid w:val="00937AA1"/>
    <w:rsid w:val="0094054B"/>
    <w:rsid w:val="00940BF8"/>
    <w:rsid w:val="00940D2E"/>
    <w:rsid w:val="00941515"/>
    <w:rsid w:val="009418F4"/>
    <w:rsid w:val="00942BBC"/>
    <w:rsid w:val="00943CA9"/>
    <w:rsid w:val="00944180"/>
    <w:rsid w:val="0094493F"/>
    <w:rsid w:val="00944AA0"/>
    <w:rsid w:val="00944CE2"/>
    <w:rsid w:val="009462C9"/>
    <w:rsid w:val="009471F6"/>
    <w:rsid w:val="0094768A"/>
    <w:rsid w:val="009479AD"/>
    <w:rsid w:val="00947DA2"/>
    <w:rsid w:val="00951177"/>
    <w:rsid w:val="009522F2"/>
    <w:rsid w:val="00952E54"/>
    <w:rsid w:val="00953BF8"/>
    <w:rsid w:val="0095411F"/>
    <w:rsid w:val="009542ED"/>
    <w:rsid w:val="009550C1"/>
    <w:rsid w:val="00955BEE"/>
    <w:rsid w:val="00956B4A"/>
    <w:rsid w:val="0096101C"/>
    <w:rsid w:val="00961A9A"/>
    <w:rsid w:val="009649C3"/>
    <w:rsid w:val="009662E5"/>
    <w:rsid w:val="0096633F"/>
    <w:rsid w:val="009673E8"/>
    <w:rsid w:val="00967689"/>
    <w:rsid w:val="009703A5"/>
    <w:rsid w:val="00970480"/>
    <w:rsid w:val="009710ED"/>
    <w:rsid w:val="009721CD"/>
    <w:rsid w:val="009743B4"/>
    <w:rsid w:val="00974731"/>
    <w:rsid w:val="00974DB8"/>
    <w:rsid w:val="009759E2"/>
    <w:rsid w:val="00976080"/>
    <w:rsid w:val="00977F87"/>
    <w:rsid w:val="00980661"/>
    <w:rsid w:val="0098093B"/>
    <w:rsid w:val="00983659"/>
    <w:rsid w:val="00984064"/>
    <w:rsid w:val="0098529A"/>
    <w:rsid w:val="00985B01"/>
    <w:rsid w:val="00986AF1"/>
    <w:rsid w:val="009876D4"/>
    <w:rsid w:val="009914A5"/>
    <w:rsid w:val="00992A25"/>
    <w:rsid w:val="00993075"/>
    <w:rsid w:val="0099313F"/>
    <w:rsid w:val="00993A97"/>
    <w:rsid w:val="00994376"/>
    <w:rsid w:val="0099548E"/>
    <w:rsid w:val="00996252"/>
    <w:rsid w:val="009962D6"/>
    <w:rsid w:val="00996456"/>
    <w:rsid w:val="00996A12"/>
    <w:rsid w:val="00997B0F"/>
    <w:rsid w:val="009A0CC3"/>
    <w:rsid w:val="009A19C5"/>
    <w:rsid w:val="009A1CAD"/>
    <w:rsid w:val="009A3440"/>
    <w:rsid w:val="009A38C2"/>
    <w:rsid w:val="009A5372"/>
    <w:rsid w:val="009A5680"/>
    <w:rsid w:val="009A5832"/>
    <w:rsid w:val="009A61F3"/>
    <w:rsid w:val="009A6838"/>
    <w:rsid w:val="009A713E"/>
    <w:rsid w:val="009A75C2"/>
    <w:rsid w:val="009A7D70"/>
    <w:rsid w:val="009B0C2F"/>
    <w:rsid w:val="009B1973"/>
    <w:rsid w:val="009B2127"/>
    <w:rsid w:val="009B2260"/>
    <w:rsid w:val="009B24B5"/>
    <w:rsid w:val="009B2E56"/>
    <w:rsid w:val="009B4EBC"/>
    <w:rsid w:val="009B5ABB"/>
    <w:rsid w:val="009B5BEC"/>
    <w:rsid w:val="009B6814"/>
    <w:rsid w:val="009B73CE"/>
    <w:rsid w:val="009B7DE4"/>
    <w:rsid w:val="009C04A2"/>
    <w:rsid w:val="009C1582"/>
    <w:rsid w:val="009C18B1"/>
    <w:rsid w:val="009C2461"/>
    <w:rsid w:val="009C2CF0"/>
    <w:rsid w:val="009C4400"/>
    <w:rsid w:val="009C56E8"/>
    <w:rsid w:val="009C5A15"/>
    <w:rsid w:val="009C5A61"/>
    <w:rsid w:val="009C5D7E"/>
    <w:rsid w:val="009C6071"/>
    <w:rsid w:val="009C6FE2"/>
    <w:rsid w:val="009C7674"/>
    <w:rsid w:val="009C7D02"/>
    <w:rsid w:val="009D004A"/>
    <w:rsid w:val="009D118F"/>
    <w:rsid w:val="009D1A5F"/>
    <w:rsid w:val="009D3BCD"/>
    <w:rsid w:val="009D4C3A"/>
    <w:rsid w:val="009D548B"/>
    <w:rsid w:val="009D5880"/>
    <w:rsid w:val="009D5A35"/>
    <w:rsid w:val="009D5D4D"/>
    <w:rsid w:val="009D6115"/>
    <w:rsid w:val="009D6F31"/>
    <w:rsid w:val="009D7905"/>
    <w:rsid w:val="009E1FD4"/>
    <w:rsid w:val="009E301B"/>
    <w:rsid w:val="009E387A"/>
    <w:rsid w:val="009E3AED"/>
    <w:rsid w:val="009E3B07"/>
    <w:rsid w:val="009E4003"/>
    <w:rsid w:val="009E4C28"/>
    <w:rsid w:val="009E51D1"/>
    <w:rsid w:val="009E5473"/>
    <w:rsid w:val="009E5531"/>
    <w:rsid w:val="009E70B1"/>
    <w:rsid w:val="009F11B9"/>
    <w:rsid w:val="009F171E"/>
    <w:rsid w:val="009F3843"/>
    <w:rsid w:val="009F3BFA"/>
    <w:rsid w:val="009F3D2F"/>
    <w:rsid w:val="009F4564"/>
    <w:rsid w:val="009F58A0"/>
    <w:rsid w:val="009F6897"/>
    <w:rsid w:val="009F700F"/>
    <w:rsid w:val="009F7052"/>
    <w:rsid w:val="009F7BBB"/>
    <w:rsid w:val="00A00767"/>
    <w:rsid w:val="00A025EA"/>
    <w:rsid w:val="00A02668"/>
    <w:rsid w:val="00A02801"/>
    <w:rsid w:val="00A03897"/>
    <w:rsid w:val="00A04E29"/>
    <w:rsid w:val="00A06A39"/>
    <w:rsid w:val="00A06AB5"/>
    <w:rsid w:val="00A06C68"/>
    <w:rsid w:val="00A06EA8"/>
    <w:rsid w:val="00A07834"/>
    <w:rsid w:val="00A07F58"/>
    <w:rsid w:val="00A102AA"/>
    <w:rsid w:val="00A10894"/>
    <w:rsid w:val="00A10A3B"/>
    <w:rsid w:val="00A11865"/>
    <w:rsid w:val="00A11C12"/>
    <w:rsid w:val="00A121B4"/>
    <w:rsid w:val="00A1289A"/>
    <w:rsid w:val="00A12B4B"/>
    <w:rsid w:val="00A131CB"/>
    <w:rsid w:val="00A1437D"/>
    <w:rsid w:val="00A14847"/>
    <w:rsid w:val="00A14932"/>
    <w:rsid w:val="00A15D38"/>
    <w:rsid w:val="00A15E55"/>
    <w:rsid w:val="00A163E0"/>
    <w:rsid w:val="00A16D6D"/>
    <w:rsid w:val="00A17548"/>
    <w:rsid w:val="00A21383"/>
    <w:rsid w:val="00A21738"/>
    <w:rsid w:val="00A2199F"/>
    <w:rsid w:val="00A21B31"/>
    <w:rsid w:val="00A2360E"/>
    <w:rsid w:val="00A25F23"/>
    <w:rsid w:val="00A26E0C"/>
    <w:rsid w:val="00A27058"/>
    <w:rsid w:val="00A2741D"/>
    <w:rsid w:val="00A2775C"/>
    <w:rsid w:val="00A27B80"/>
    <w:rsid w:val="00A27C5D"/>
    <w:rsid w:val="00A31E05"/>
    <w:rsid w:val="00A32FCB"/>
    <w:rsid w:val="00A32FF7"/>
    <w:rsid w:val="00A33576"/>
    <w:rsid w:val="00A34C25"/>
    <w:rsid w:val="00A3507D"/>
    <w:rsid w:val="00A3684F"/>
    <w:rsid w:val="00A3717A"/>
    <w:rsid w:val="00A3749E"/>
    <w:rsid w:val="00A37F7F"/>
    <w:rsid w:val="00A403A3"/>
    <w:rsid w:val="00A4055F"/>
    <w:rsid w:val="00A4088C"/>
    <w:rsid w:val="00A4092A"/>
    <w:rsid w:val="00A42F2F"/>
    <w:rsid w:val="00A4456B"/>
    <w:rsid w:val="00A4478B"/>
    <w:rsid w:val="00A448D4"/>
    <w:rsid w:val="00A452E0"/>
    <w:rsid w:val="00A46411"/>
    <w:rsid w:val="00A50320"/>
    <w:rsid w:val="00A506DF"/>
    <w:rsid w:val="00A50B7D"/>
    <w:rsid w:val="00A50EC3"/>
    <w:rsid w:val="00A51EA5"/>
    <w:rsid w:val="00A52101"/>
    <w:rsid w:val="00A5290F"/>
    <w:rsid w:val="00A53742"/>
    <w:rsid w:val="00A53BD1"/>
    <w:rsid w:val="00A54087"/>
    <w:rsid w:val="00A54333"/>
    <w:rsid w:val="00A5441D"/>
    <w:rsid w:val="00A557A1"/>
    <w:rsid w:val="00A55ADD"/>
    <w:rsid w:val="00A609D9"/>
    <w:rsid w:val="00A60D2A"/>
    <w:rsid w:val="00A6114A"/>
    <w:rsid w:val="00A61899"/>
    <w:rsid w:val="00A63059"/>
    <w:rsid w:val="00A63AE3"/>
    <w:rsid w:val="00A63D84"/>
    <w:rsid w:val="00A651A4"/>
    <w:rsid w:val="00A66301"/>
    <w:rsid w:val="00A66473"/>
    <w:rsid w:val="00A7129D"/>
    <w:rsid w:val="00A71361"/>
    <w:rsid w:val="00A7147C"/>
    <w:rsid w:val="00A71A8D"/>
    <w:rsid w:val="00A72942"/>
    <w:rsid w:val="00A73CD7"/>
    <w:rsid w:val="00A746E2"/>
    <w:rsid w:val="00A74A1F"/>
    <w:rsid w:val="00A77649"/>
    <w:rsid w:val="00A80874"/>
    <w:rsid w:val="00A810F5"/>
    <w:rsid w:val="00A814DC"/>
    <w:rsid w:val="00A8157D"/>
    <w:rsid w:val="00A81FF2"/>
    <w:rsid w:val="00A83904"/>
    <w:rsid w:val="00A85EF6"/>
    <w:rsid w:val="00A87515"/>
    <w:rsid w:val="00A90A79"/>
    <w:rsid w:val="00A92335"/>
    <w:rsid w:val="00A924E8"/>
    <w:rsid w:val="00A93204"/>
    <w:rsid w:val="00A93411"/>
    <w:rsid w:val="00A93AA0"/>
    <w:rsid w:val="00A940A2"/>
    <w:rsid w:val="00A945F3"/>
    <w:rsid w:val="00A9491A"/>
    <w:rsid w:val="00A9555D"/>
    <w:rsid w:val="00A95A91"/>
    <w:rsid w:val="00A96B30"/>
    <w:rsid w:val="00A96C4C"/>
    <w:rsid w:val="00AA0270"/>
    <w:rsid w:val="00AA11F0"/>
    <w:rsid w:val="00AA1356"/>
    <w:rsid w:val="00AA1B69"/>
    <w:rsid w:val="00AA2561"/>
    <w:rsid w:val="00AA4184"/>
    <w:rsid w:val="00AA442D"/>
    <w:rsid w:val="00AA45C8"/>
    <w:rsid w:val="00AA4649"/>
    <w:rsid w:val="00AA4F6D"/>
    <w:rsid w:val="00AA59B5"/>
    <w:rsid w:val="00AA6C99"/>
    <w:rsid w:val="00AA7270"/>
    <w:rsid w:val="00AA7777"/>
    <w:rsid w:val="00AA7B84"/>
    <w:rsid w:val="00AB06C7"/>
    <w:rsid w:val="00AB19E6"/>
    <w:rsid w:val="00AB1F11"/>
    <w:rsid w:val="00AB3BC8"/>
    <w:rsid w:val="00AB4171"/>
    <w:rsid w:val="00AB495A"/>
    <w:rsid w:val="00AB4DD8"/>
    <w:rsid w:val="00AB4F9B"/>
    <w:rsid w:val="00AB5FEB"/>
    <w:rsid w:val="00AB7CD5"/>
    <w:rsid w:val="00AC0810"/>
    <w:rsid w:val="00AC0B4C"/>
    <w:rsid w:val="00AC0DEF"/>
    <w:rsid w:val="00AC1164"/>
    <w:rsid w:val="00AC162F"/>
    <w:rsid w:val="00AC1CEE"/>
    <w:rsid w:val="00AC2296"/>
    <w:rsid w:val="00AC24CD"/>
    <w:rsid w:val="00AC2754"/>
    <w:rsid w:val="00AC2851"/>
    <w:rsid w:val="00AC36E2"/>
    <w:rsid w:val="00AC48B0"/>
    <w:rsid w:val="00AC4ACD"/>
    <w:rsid w:val="00AC5DFB"/>
    <w:rsid w:val="00AC5FA7"/>
    <w:rsid w:val="00AC646B"/>
    <w:rsid w:val="00AC693B"/>
    <w:rsid w:val="00AC6F26"/>
    <w:rsid w:val="00AD13DC"/>
    <w:rsid w:val="00AD3AF4"/>
    <w:rsid w:val="00AD4D93"/>
    <w:rsid w:val="00AD53E7"/>
    <w:rsid w:val="00AD5FA4"/>
    <w:rsid w:val="00AD64EC"/>
    <w:rsid w:val="00AD6DE2"/>
    <w:rsid w:val="00AE0A40"/>
    <w:rsid w:val="00AE1007"/>
    <w:rsid w:val="00AE1BB3"/>
    <w:rsid w:val="00AE1ED4"/>
    <w:rsid w:val="00AE21E1"/>
    <w:rsid w:val="00AE2498"/>
    <w:rsid w:val="00AE2C40"/>
    <w:rsid w:val="00AE2F8D"/>
    <w:rsid w:val="00AE360E"/>
    <w:rsid w:val="00AE3722"/>
    <w:rsid w:val="00AE3BAE"/>
    <w:rsid w:val="00AE4688"/>
    <w:rsid w:val="00AE6548"/>
    <w:rsid w:val="00AE677B"/>
    <w:rsid w:val="00AE6A21"/>
    <w:rsid w:val="00AF1C8F"/>
    <w:rsid w:val="00AF23F2"/>
    <w:rsid w:val="00AF2866"/>
    <w:rsid w:val="00AF2B68"/>
    <w:rsid w:val="00AF2C32"/>
    <w:rsid w:val="00AF2C92"/>
    <w:rsid w:val="00AF3EC1"/>
    <w:rsid w:val="00AF5025"/>
    <w:rsid w:val="00AF519F"/>
    <w:rsid w:val="00AF5387"/>
    <w:rsid w:val="00AF553C"/>
    <w:rsid w:val="00AF55F5"/>
    <w:rsid w:val="00AF6223"/>
    <w:rsid w:val="00AF7143"/>
    <w:rsid w:val="00AF72B4"/>
    <w:rsid w:val="00AF7E86"/>
    <w:rsid w:val="00B0000D"/>
    <w:rsid w:val="00B024B9"/>
    <w:rsid w:val="00B02DB7"/>
    <w:rsid w:val="00B03306"/>
    <w:rsid w:val="00B0464C"/>
    <w:rsid w:val="00B04FCD"/>
    <w:rsid w:val="00B05921"/>
    <w:rsid w:val="00B07191"/>
    <w:rsid w:val="00B077FA"/>
    <w:rsid w:val="00B10200"/>
    <w:rsid w:val="00B10433"/>
    <w:rsid w:val="00B11C92"/>
    <w:rsid w:val="00B124EB"/>
    <w:rsid w:val="00B127D7"/>
    <w:rsid w:val="00B128F0"/>
    <w:rsid w:val="00B12D9B"/>
    <w:rsid w:val="00B13446"/>
    <w:rsid w:val="00B13B0C"/>
    <w:rsid w:val="00B1411E"/>
    <w:rsid w:val="00B14408"/>
    <w:rsid w:val="00B1453A"/>
    <w:rsid w:val="00B14BC0"/>
    <w:rsid w:val="00B14C2F"/>
    <w:rsid w:val="00B14D13"/>
    <w:rsid w:val="00B16C84"/>
    <w:rsid w:val="00B207CB"/>
    <w:rsid w:val="00B20F82"/>
    <w:rsid w:val="00B23328"/>
    <w:rsid w:val="00B23C25"/>
    <w:rsid w:val="00B25BD5"/>
    <w:rsid w:val="00B317CF"/>
    <w:rsid w:val="00B31BEB"/>
    <w:rsid w:val="00B34079"/>
    <w:rsid w:val="00B34AEA"/>
    <w:rsid w:val="00B359EC"/>
    <w:rsid w:val="00B36FB9"/>
    <w:rsid w:val="00B3793A"/>
    <w:rsid w:val="00B401BA"/>
    <w:rsid w:val="00B407E4"/>
    <w:rsid w:val="00B409A6"/>
    <w:rsid w:val="00B418F5"/>
    <w:rsid w:val="00B4239C"/>
    <w:rsid w:val="00B425B6"/>
    <w:rsid w:val="00B42A5A"/>
    <w:rsid w:val="00B42A72"/>
    <w:rsid w:val="00B43F3F"/>
    <w:rsid w:val="00B441AE"/>
    <w:rsid w:val="00B443AF"/>
    <w:rsid w:val="00B45A65"/>
    <w:rsid w:val="00B45B38"/>
    <w:rsid w:val="00B45F33"/>
    <w:rsid w:val="00B46D50"/>
    <w:rsid w:val="00B503AB"/>
    <w:rsid w:val="00B51F2E"/>
    <w:rsid w:val="00B52298"/>
    <w:rsid w:val="00B53118"/>
    <w:rsid w:val="00B53170"/>
    <w:rsid w:val="00B548B9"/>
    <w:rsid w:val="00B549C9"/>
    <w:rsid w:val="00B55138"/>
    <w:rsid w:val="00B56816"/>
    <w:rsid w:val="00B56DBE"/>
    <w:rsid w:val="00B56EEA"/>
    <w:rsid w:val="00B60103"/>
    <w:rsid w:val="00B60509"/>
    <w:rsid w:val="00B617B5"/>
    <w:rsid w:val="00B61B72"/>
    <w:rsid w:val="00B6230F"/>
    <w:rsid w:val="00B62999"/>
    <w:rsid w:val="00B634BF"/>
    <w:rsid w:val="00B63BE3"/>
    <w:rsid w:val="00B64697"/>
    <w:rsid w:val="00B647C1"/>
    <w:rsid w:val="00B64885"/>
    <w:rsid w:val="00B64FA3"/>
    <w:rsid w:val="00B65535"/>
    <w:rsid w:val="00B66810"/>
    <w:rsid w:val="00B72BE3"/>
    <w:rsid w:val="00B73B80"/>
    <w:rsid w:val="00B73CE4"/>
    <w:rsid w:val="00B74BFE"/>
    <w:rsid w:val="00B74CFB"/>
    <w:rsid w:val="00B758A6"/>
    <w:rsid w:val="00B770C7"/>
    <w:rsid w:val="00B80CE9"/>
    <w:rsid w:val="00B80F26"/>
    <w:rsid w:val="00B81C82"/>
    <w:rsid w:val="00B822BD"/>
    <w:rsid w:val="00B842F4"/>
    <w:rsid w:val="00B8448F"/>
    <w:rsid w:val="00B846D8"/>
    <w:rsid w:val="00B87145"/>
    <w:rsid w:val="00B871B0"/>
    <w:rsid w:val="00B87E5C"/>
    <w:rsid w:val="00B901B0"/>
    <w:rsid w:val="00B90889"/>
    <w:rsid w:val="00B90B1E"/>
    <w:rsid w:val="00B90E00"/>
    <w:rsid w:val="00B90ED2"/>
    <w:rsid w:val="00B91A7B"/>
    <w:rsid w:val="00B9275B"/>
    <w:rsid w:val="00B9278C"/>
    <w:rsid w:val="00B929DD"/>
    <w:rsid w:val="00B93AF6"/>
    <w:rsid w:val="00B93B54"/>
    <w:rsid w:val="00B94525"/>
    <w:rsid w:val="00B953D4"/>
    <w:rsid w:val="00B953D6"/>
    <w:rsid w:val="00B95405"/>
    <w:rsid w:val="00B963F1"/>
    <w:rsid w:val="00B97308"/>
    <w:rsid w:val="00B97CE3"/>
    <w:rsid w:val="00B97EEC"/>
    <w:rsid w:val="00BA020A"/>
    <w:rsid w:val="00BA1A2C"/>
    <w:rsid w:val="00BA20D5"/>
    <w:rsid w:val="00BA253F"/>
    <w:rsid w:val="00BA3DAF"/>
    <w:rsid w:val="00BA436D"/>
    <w:rsid w:val="00BA4806"/>
    <w:rsid w:val="00BA4AC3"/>
    <w:rsid w:val="00BA60A4"/>
    <w:rsid w:val="00BA613A"/>
    <w:rsid w:val="00BA6D0F"/>
    <w:rsid w:val="00BB025A"/>
    <w:rsid w:val="00BB02A4"/>
    <w:rsid w:val="00BB1270"/>
    <w:rsid w:val="00BB1A5B"/>
    <w:rsid w:val="00BB1E44"/>
    <w:rsid w:val="00BB267C"/>
    <w:rsid w:val="00BB2D16"/>
    <w:rsid w:val="00BB39B0"/>
    <w:rsid w:val="00BB4BD4"/>
    <w:rsid w:val="00BB504B"/>
    <w:rsid w:val="00BB5267"/>
    <w:rsid w:val="00BB52B8"/>
    <w:rsid w:val="00BB59D8"/>
    <w:rsid w:val="00BB6312"/>
    <w:rsid w:val="00BB7D14"/>
    <w:rsid w:val="00BB7E69"/>
    <w:rsid w:val="00BC04AB"/>
    <w:rsid w:val="00BC0E51"/>
    <w:rsid w:val="00BC0F25"/>
    <w:rsid w:val="00BC216B"/>
    <w:rsid w:val="00BC3C1F"/>
    <w:rsid w:val="00BC3CC3"/>
    <w:rsid w:val="00BC4E08"/>
    <w:rsid w:val="00BC6867"/>
    <w:rsid w:val="00BC7CE7"/>
    <w:rsid w:val="00BD2521"/>
    <w:rsid w:val="00BD279D"/>
    <w:rsid w:val="00BD295E"/>
    <w:rsid w:val="00BD30D7"/>
    <w:rsid w:val="00BD4664"/>
    <w:rsid w:val="00BD4B47"/>
    <w:rsid w:val="00BD4C2C"/>
    <w:rsid w:val="00BD648B"/>
    <w:rsid w:val="00BD730A"/>
    <w:rsid w:val="00BD7AF5"/>
    <w:rsid w:val="00BE1193"/>
    <w:rsid w:val="00BE1B80"/>
    <w:rsid w:val="00BE2B7F"/>
    <w:rsid w:val="00BE2BE3"/>
    <w:rsid w:val="00BE2D42"/>
    <w:rsid w:val="00BE4A71"/>
    <w:rsid w:val="00BE5B92"/>
    <w:rsid w:val="00BE617C"/>
    <w:rsid w:val="00BE6574"/>
    <w:rsid w:val="00BE7C5D"/>
    <w:rsid w:val="00BF1DF4"/>
    <w:rsid w:val="00BF1F4C"/>
    <w:rsid w:val="00BF3380"/>
    <w:rsid w:val="00BF3B6E"/>
    <w:rsid w:val="00BF4438"/>
    <w:rsid w:val="00BF4849"/>
    <w:rsid w:val="00BF4EA7"/>
    <w:rsid w:val="00BF6525"/>
    <w:rsid w:val="00BF6ED6"/>
    <w:rsid w:val="00C003B5"/>
    <w:rsid w:val="00C00EDB"/>
    <w:rsid w:val="00C01ED7"/>
    <w:rsid w:val="00C02863"/>
    <w:rsid w:val="00C0383A"/>
    <w:rsid w:val="00C06422"/>
    <w:rsid w:val="00C067FF"/>
    <w:rsid w:val="00C070E8"/>
    <w:rsid w:val="00C10451"/>
    <w:rsid w:val="00C106A4"/>
    <w:rsid w:val="00C10C0A"/>
    <w:rsid w:val="00C1170F"/>
    <w:rsid w:val="00C12862"/>
    <w:rsid w:val="00C12CB2"/>
    <w:rsid w:val="00C13D28"/>
    <w:rsid w:val="00C14585"/>
    <w:rsid w:val="00C156D9"/>
    <w:rsid w:val="00C15C05"/>
    <w:rsid w:val="00C1653E"/>
    <w:rsid w:val="00C165A0"/>
    <w:rsid w:val="00C1690C"/>
    <w:rsid w:val="00C17027"/>
    <w:rsid w:val="00C216CE"/>
    <w:rsid w:val="00C2184F"/>
    <w:rsid w:val="00C22126"/>
    <w:rsid w:val="00C22A78"/>
    <w:rsid w:val="00C23684"/>
    <w:rsid w:val="00C23B90"/>
    <w:rsid w:val="00C23C7E"/>
    <w:rsid w:val="00C246C5"/>
    <w:rsid w:val="00C24A18"/>
    <w:rsid w:val="00C24E50"/>
    <w:rsid w:val="00C254E6"/>
    <w:rsid w:val="00C25A82"/>
    <w:rsid w:val="00C25D53"/>
    <w:rsid w:val="00C26164"/>
    <w:rsid w:val="00C301F1"/>
    <w:rsid w:val="00C3076E"/>
    <w:rsid w:val="00C30982"/>
    <w:rsid w:val="00C30A2A"/>
    <w:rsid w:val="00C31676"/>
    <w:rsid w:val="00C32F6D"/>
    <w:rsid w:val="00C33993"/>
    <w:rsid w:val="00C34090"/>
    <w:rsid w:val="00C340DB"/>
    <w:rsid w:val="00C3473F"/>
    <w:rsid w:val="00C34B3F"/>
    <w:rsid w:val="00C34EF5"/>
    <w:rsid w:val="00C35C51"/>
    <w:rsid w:val="00C36241"/>
    <w:rsid w:val="00C37865"/>
    <w:rsid w:val="00C4069E"/>
    <w:rsid w:val="00C417C4"/>
    <w:rsid w:val="00C41ADC"/>
    <w:rsid w:val="00C42DC2"/>
    <w:rsid w:val="00C433A2"/>
    <w:rsid w:val="00C4366B"/>
    <w:rsid w:val="00C43913"/>
    <w:rsid w:val="00C44149"/>
    <w:rsid w:val="00C44410"/>
    <w:rsid w:val="00C44A15"/>
    <w:rsid w:val="00C45775"/>
    <w:rsid w:val="00C4630A"/>
    <w:rsid w:val="00C47299"/>
    <w:rsid w:val="00C47F47"/>
    <w:rsid w:val="00C50876"/>
    <w:rsid w:val="00C51405"/>
    <w:rsid w:val="00C521AB"/>
    <w:rsid w:val="00C523F0"/>
    <w:rsid w:val="00C526D2"/>
    <w:rsid w:val="00C53A91"/>
    <w:rsid w:val="00C56850"/>
    <w:rsid w:val="00C5794E"/>
    <w:rsid w:val="00C57AB9"/>
    <w:rsid w:val="00C60968"/>
    <w:rsid w:val="00C60971"/>
    <w:rsid w:val="00C62B1C"/>
    <w:rsid w:val="00C63B04"/>
    <w:rsid w:val="00C63D39"/>
    <w:rsid w:val="00C63EDD"/>
    <w:rsid w:val="00C6433B"/>
    <w:rsid w:val="00C6457C"/>
    <w:rsid w:val="00C651C8"/>
    <w:rsid w:val="00C65B36"/>
    <w:rsid w:val="00C67705"/>
    <w:rsid w:val="00C67CD9"/>
    <w:rsid w:val="00C70535"/>
    <w:rsid w:val="00C70919"/>
    <w:rsid w:val="00C712D8"/>
    <w:rsid w:val="00C7134F"/>
    <w:rsid w:val="00C71A48"/>
    <w:rsid w:val="00C72707"/>
    <w:rsid w:val="00C7292E"/>
    <w:rsid w:val="00C72DE7"/>
    <w:rsid w:val="00C73FE5"/>
    <w:rsid w:val="00C74309"/>
    <w:rsid w:val="00C74E88"/>
    <w:rsid w:val="00C752F6"/>
    <w:rsid w:val="00C75518"/>
    <w:rsid w:val="00C75B16"/>
    <w:rsid w:val="00C7601B"/>
    <w:rsid w:val="00C76916"/>
    <w:rsid w:val="00C76D31"/>
    <w:rsid w:val="00C77251"/>
    <w:rsid w:val="00C77524"/>
    <w:rsid w:val="00C80924"/>
    <w:rsid w:val="00C81899"/>
    <w:rsid w:val="00C8286B"/>
    <w:rsid w:val="00C829E5"/>
    <w:rsid w:val="00C82F68"/>
    <w:rsid w:val="00C83A73"/>
    <w:rsid w:val="00C86039"/>
    <w:rsid w:val="00C863C9"/>
    <w:rsid w:val="00C871D3"/>
    <w:rsid w:val="00C90823"/>
    <w:rsid w:val="00C9151D"/>
    <w:rsid w:val="00C925B6"/>
    <w:rsid w:val="00C93475"/>
    <w:rsid w:val="00C947F8"/>
    <w:rsid w:val="00C9515F"/>
    <w:rsid w:val="00C953AE"/>
    <w:rsid w:val="00C95F9B"/>
    <w:rsid w:val="00C963C5"/>
    <w:rsid w:val="00C9670A"/>
    <w:rsid w:val="00C97192"/>
    <w:rsid w:val="00C97FA3"/>
    <w:rsid w:val="00CA030C"/>
    <w:rsid w:val="00CA0778"/>
    <w:rsid w:val="00CA100F"/>
    <w:rsid w:val="00CA1170"/>
    <w:rsid w:val="00CA187B"/>
    <w:rsid w:val="00CA1F41"/>
    <w:rsid w:val="00CA3155"/>
    <w:rsid w:val="00CA32EE"/>
    <w:rsid w:val="00CA3B54"/>
    <w:rsid w:val="00CA41F7"/>
    <w:rsid w:val="00CA5771"/>
    <w:rsid w:val="00CA6A1A"/>
    <w:rsid w:val="00CB066F"/>
    <w:rsid w:val="00CB184A"/>
    <w:rsid w:val="00CB2173"/>
    <w:rsid w:val="00CB2F8A"/>
    <w:rsid w:val="00CB40E2"/>
    <w:rsid w:val="00CB5ACC"/>
    <w:rsid w:val="00CB659C"/>
    <w:rsid w:val="00CB7BF0"/>
    <w:rsid w:val="00CC0C39"/>
    <w:rsid w:val="00CC0C4F"/>
    <w:rsid w:val="00CC1E75"/>
    <w:rsid w:val="00CC2ACF"/>
    <w:rsid w:val="00CC2E0E"/>
    <w:rsid w:val="00CC3412"/>
    <w:rsid w:val="00CC361C"/>
    <w:rsid w:val="00CC4259"/>
    <w:rsid w:val="00CC474B"/>
    <w:rsid w:val="00CC511F"/>
    <w:rsid w:val="00CC654E"/>
    <w:rsid w:val="00CC658C"/>
    <w:rsid w:val="00CC67BF"/>
    <w:rsid w:val="00CC7BAE"/>
    <w:rsid w:val="00CD0843"/>
    <w:rsid w:val="00CD11FB"/>
    <w:rsid w:val="00CD135D"/>
    <w:rsid w:val="00CD30CC"/>
    <w:rsid w:val="00CD400D"/>
    <w:rsid w:val="00CD4E31"/>
    <w:rsid w:val="00CD5A78"/>
    <w:rsid w:val="00CD724F"/>
    <w:rsid w:val="00CD7345"/>
    <w:rsid w:val="00CD7CA1"/>
    <w:rsid w:val="00CE0D4B"/>
    <w:rsid w:val="00CE13D5"/>
    <w:rsid w:val="00CE2159"/>
    <w:rsid w:val="00CE2F12"/>
    <w:rsid w:val="00CE372E"/>
    <w:rsid w:val="00CE41F4"/>
    <w:rsid w:val="00CE5DE6"/>
    <w:rsid w:val="00CE6AE5"/>
    <w:rsid w:val="00CE793E"/>
    <w:rsid w:val="00CF0A1B"/>
    <w:rsid w:val="00CF19F6"/>
    <w:rsid w:val="00CF26F6"/>
    <w:rsid w:val="00CF2F4F"/>
    <w:rsid w:val="00CF3C82"/>
    <w:rsid w:val="00CF4656"/>
    <w:rsid w:val="00CF4673"/>
    <w:rsid w:val="00CF47F4"/>
    <w:rsid w:val="00CF4FB6"/>
    <w:rsid w:val="00CF536D"/>
    <w:rsid w:val="00CF5DC4"/>
    <w:rsid w:val="00CF6814"/>
    <w:rsid w:val="00D000E5"/>
    <w:rsid w:val="00D007A7"/>
    <w:rsid w:val="00D02276"/>
    <w:rsid w:val="00D02E9D"/>
    <w:rsid w:val="00D054AB"/>
    <w:rsid w:val="00D05A6B"/>
    <w:rsid w:val="00D1015F"/>
    <w:rsid w:val="00D104B4"/>
    <w:rsid w:val="00D107A3"/>
    <w:rsid w:val="00D10CB8"/>
    <w:rsid w:val="00D10CEB"/>
    <w:rsid w:val="00D12806"/>
    <w:rsid w:val="00D12D44"/>
    <w:rsid w:val="00D14873"/>
    <w:rsid w:val="00D15018"/>
    <w:rsid w:val="00D158AC"/>
    <w:rsid w:val="00D1694C"/>
    <w:rsid w:val="00D175DF"/>
    <w:rsid w:val="00D1782A"/>
    <w:rsid w:val="00D179D6"/>
    <w:rsid w:val="00D20C46"/>
    <w:rsid w:val="00D20D08"/>
    <w:rsid w:val="00D20F5E"/>
    <w:rsid w:val="00D21C80"/>
    <w:rsid w:val="00D220B1"/>
    <w:rsid w:val="00D225E4"/>
    <w:rsid w:val="00D23066"/>
    <w:rsid w:val="00D23B76"/>
    <w:rsid w:val="00D24B4A"/>
    <w:rsid w:val="00D25634"/>
    <w:rsid w:val="00D2569E"/>
    <w:rsid w:val="00D26BA0"/>
    <w:rsid w:val="00D2709A"/>
    <w:rsid w:val="00D27DF1"/>
    <w:rsid w:val="00D30ED3"/>
    <w:rsid w:val="00D312D9"/>
    <w:rsid w:val="00D325EB"/>
    <w:rsid w:val="00D32D4D"/>
    <w:rsid w:val="00D348C0"/>
    <w:rsid w:val="00D3511C"/>
    <w:rsid w:val="00D36153"/>
    <w:rsid w:val="00D3754F"/>
    <w:rsid w:val="00D379A3"/>
    <w:rsid w:val="00D42041"/>
    <w:rsid w:val="00D420FE"/>
    <w:rsid w:val="00D42390"/>
    <w:rsid w:val="00D4322E"/>
    <w:rsid w:val="00D4331B"/>
    <w:rsid w:val="00D43AEB"/>
    <w:rsid w:val="00D43B11"/>
    <w:rsid w:val="00D442AD"/>
    <w:rsid w:val="00D45FF3"/>
    <w:rsid w:val="00D5087C"/>
    <w:rsid w:val="00D512CF"/>
    <w:rsid w:val="00D51E7B"/>
    <w:rsid w:val="00D5244A"/>
    <w:rsid w:val="00D528B9"/>
    <w:rsid w:val="00D53186"/>
    <w:rsid w:val="00D5487D"/>
    <w:rsid w:val="00D553F4"/>
    <w:rsid w:val="00D56B10"/>
    <w:rsid w:val="00D56B9E"/>
    <w:rsid w:val="00D60140"/>
    <w:rsid w:val="00D6024A"/>
    <w:rsid w:val="00D608B5"/>
    <w:rsid w:val="00D60F1D"/>
    <w:rsid w:val="00D60FE0"/>
    <w:rsid w:val="00D611D5"/>
    <w:rsid w:val="00D616A6"/>
    <w:rsid w:val="00D61D89"/>
    <w:rsid w:val="00D63C13"/>
    <w:rsid w:val="00D64739"/>
    <w:rsid w:val="00D64ADE"/>
    <w:rsid w:val="00D66170"/>
    <w:rsid w:val="00D663BC"/>
    <w:rsid w:val="00D66570"/>
    <w:rsid w:val="00D66652"/>
    <w:rsid w:val="00D667B7"/>
    <w:rsid w:val="00D6718F"/>
    <w:rsid w:val="00D70F2F"/>
    <w:rsid w:val="00D71D17"/>
    <w:rsid w:val="00D71F99"/>
    <w:rsid w:val="00D729F6"/>
    <w:rsid w:val="00D72C37"/>
    <w:rsid w:val="00D7380B"/>
    <w:rsid w:val="00D73CA4"/>
    <w:rsid w:val="00D73D71"/>
    <w:rsid w:val="00D74396"/>
    <w:rsid w:val="00D74A74"/>
    <w:rsid w:val="00D753FF"/>
    <w:rsid w:val="00D75A2C"/>
    <w:rsid w:val="00D76475"/>
    <w:rsid w:val="00D77DB8"/>
    <w:rsid w:val="00D80284"/>
    <w:rsid w:val="00D8030D"/>
    <w:rsid w:val="00D81354"/>
    <w:rsid w:val="00D81F71"/>
    <w:rsid w:val="00D82022"/>
    <w:rsid w:val="00D82ACD"/>
    <w:rsid w:val="00D82B6A"/>
    <w:rsid w:val="00D83FBB"/>
    <w:rsid w:val="00D85E54"/>
    <w:rsid w:val="00D861A5"/>
    <w:rsid w:val="00D8639E"/>
    <w:rsid w:val="00D8642D"/>
    <w:rsid w:val="00D8719F"/>
    <w:rsid w:val="00D90A5E"/>
    <w:rsid w:val="00D90D7C"/>
    <w:rsid w:val="00D91A68"/>
    <w:rsid w:val="00D91BC7"/>
    <w:rsid w:val="00D92F60"/>
    <w:rsid w:val="00D95A68"/>
    <w:rsid w:val="00D96828"/>
    <w:rsid w:val="00D969C2"/>
    <w:rsid w:val="00D979D5"/>
    <w:rsid w:val="00DA17C7"/>
    <w:rsid w:val="00DA1D11"/>
    <w:rsid w:val="00DA33C7"/>
    <w:rsid w:val="00DA4AFA"/>
    <w:rsid w:val="00DA61AB"/>
    <w:rsid w:val="00DA6A9A"/>
    <w:rsid w:val="00DB0A02"/>
    <w:rsid w:val="00DB0D2B"/>
    <w:rsid w:val="00DB1A12"/>
    <w:rsid w:val="00DB1EFD"/>
    <w:rsid w:val="00DB29B1"/>
    <w:rsid w:val="00DB3EAF"/>
    <w:rsid w:val="00DB407B"/>
    <w:rsid w:val="00DB445A"/>
    <w:rsid w:val="00DB46C6"/>
    <w:rsid w:val="00DB523C"/>
    <w:rsid w:val="00DB53EA"/>
    <w:rsid w:val="00DB6CD5"/>
    <w:rsid w:val="00DC12DF"/>
    <w:rsid w:val="00DC1F90"/>
    <w:rsid w:val="00DC2DBF"/>
    <w:rsid w:val="00DC3203"/>
    <w:rsid w:val="00DC3779"/>
    <w:rsid w:val="00DC3C99"/>
    <w:rsid w:val="00DC3E3E"/>
    <w:rsid w:val="00DC5037"/>
    <w:rsid w:val="00DC52F5"/>
    <w:rsid w:val="00DC5D4B"/>
    <w:rsid w:val="00DC5FD0"/>
    <w:rsid w:val="00DD0354"/>
    <w:rsid w:val="00DD0BAE"/>
    <w:rsid w:val="00DD27D7"/>
    <w:rsid w:val="00DD280B"/>
    <w:rsid w:val="00DD2892"/>
    <w:rsid w:val="00DD3BD9"/>
    <w:rsid w:val="00DD439F"/>
    <w:rsid w:val="00DD458C"/>
    <w:rsid w:val="00DD67E0"/>
    <w:rsid w:val="00DD6C8A"/>
    <w:rsid w:val="00DD72E9"/>
    <w:rsid w:val="00DD74E4"/>
    <w:rsid w:val="00DD7605"/>
    <w:rsid w:val="00DD7BE9"/>
    <w:rsid w:val="00DD7F8D"/>
    <w:rsid w:val="00DE0195"/>
    <w:rsid w:val="00DE2020"/>
    <w:rsid w:val="00DE33F1"/>
    <w:rsid w:val="00DE3476"/>
    <w:rsid w:val="00DE4B73"/>
    <w:rsid w:val="00DE4E04"/>
    <w:rsid w:val="00DE5474"/>
    <w:rsid w:val="00DE5DC0"/>
    <w:rsid w:val="00DE6B40"/>
    <w:rsid w:val="00DE75BE"/>
    <w:rsid w:val="00DE77A6"/>
    <w:rsid w:val="00DE7BEA"/>
    <w:rsid w:val="00DF017C"/>
    <w:rsid w:val="00DF1FED"/>
    <w:rsid w:val="00DF2186"/>
    <w:rsid w:val="00DF3D0B"/>
    <w:rsid w:val="00DF5B84"/>
    <w:rsid w:val="00DF6257"/>
    <w:rsid w:val="00DF6336"/>
    <w:rsid w:val="00DF6D5B"/>
    <w:rsid w:val="00DF771B"/>
    <w:rsid w:val="00DF7829"/>
    <w:rsid w:val="00DF798E"/>
    <w:rsid w:val="00DF7EE2"/>
    <w:rsid w:val="00E01823"/>
    <w:rsid w:val="00E01BAA"/>
    <w:rsid w:val="00E02438"/>
    <w:rsid w:val="00E0282A"/>
    <w:rsid w:val="00E02F9B"/>
    <w:rsid w:val="00E02FE1"/>
    <w:rsid w:val="00E0434D"/>
    <w:rsid w:val="00E0497F"/>
    <w:rsid w:val="00E05E93"/>
    <w:rsid w:val="00E060CE"/>
    <w:rsid w:val="00E07911"/>
    <w:rsid w:val="00E07E14"/>
    <w:rsid w:val="00E10CBB"/>
    <w:rsid w:val="00E11F25"/>
    <w:rsid w:val="00E12428"/>
    <w:rsid w:val="00E14F94"/>
    <w:rsid w:val="00E1545E"/>
    <w:rsid w:val="00E170AC"/>
    <w:rsid w:val="00E17336"/>
    <w:rsid w:val="00E17D15"/>
    <w:rsid w:val="00E20ED9"/>
    <w:rsid w:val="00E21980"/>
    <w:rsid w:val="00E220C5"/>
    <w:rsid w:val="00E22212"/>
    <w:rsid w:val="00E2230D"/>
    <w:rsid w:val="00E22B95"/>
    <w:rsid w:val="00E22BC0"/>
    <w:rsid w:val="00E234B3"/>
    <w:rsid w:val="00E23587"/>
    <w:rsid w:val="00E24605"/>
    <w:rsid w:val="00E25C89"/>
    <w:rsid w:val="00E274A9"/>
    <w:rsid w:val="00E30331"/>
    <w:rsid w:val="00E30945"/>
    <w:rsid w:val="00E30BB8"/>
    <w:rsid w:val="00E31573"/>
    <w:rsid w:val="00E3176B"/>
    <w:rsid w:val="00E31F9C"/>
    <w:rsid w:val="00E32F95"/>
    <w:rsid w:val="00E33AFB"/>
    <w:rsid w:val="00E342AA"/>
    <w:rsid w:val="00E34731"/>
    <w:rsid w:val="00E3571E"/>
    <w:rsid w:val="00E359D8"/>
    <w:rsid w:val="00E3652D"/>
    <w:rsid w:val="00E36878"/>
    <w:rsid w:val="00E37796"/>
    <w:rsid w:val="00E4036C"/>
    <w:rsid w:val="00E40488"/>
    <w:rsid w:val="00E416D2"/>
    <w:rsid w:val="00E420D5"/>
    <w:rsid w:val="00E42F07"/>
    <w:rsid w:val="00E431D4"/>
    <w:rsid w:val="00E45EBA"/>
    <w:rsid w:val="00E462E3"/>
    <w:rsid w:val="00E50367"/>
    <w:rsid w:val="00E50D29"/>
    <w:rsid w:val="00E51ABA"/>
    <w:rsid w:val="00E524CB"/>
    <w:rsid w:val="00E52AE6"/>
    <w:rsid w:val="00E53AEC"/>
    <w:rsid w:val="00E55AE4"/>
    <w:rsid w:val="00E56584"/>
    <w:rsid w:val="00E57251"/>
    <w:rsid w:val="00E573CA"/>
    <w:rsid w:val="00E61DD5"/>
    <w:rsid w:val="00E63795"/>
    <w:rsid w:val="00E63869"/>
    <w:rsid w:val="00E63FF6"/>
    <w:rsid w:val="00E64471"/>
    <w:rsid w:val="00E645E3"/>
    <w:rsid w:val="00E6487B"/>
    <w:rsid w:val="00E65456"/>
    <w:rsid w:val="00E65732"/>
    <w:rsid w:val="00E659C2"/>
    <w:rsid w:val="00E65A91"/>
    <w:rsid w:val="00E66188"/>
    <w:rsid w:val="00E664FB"/>
    <w:rsid w:val="00E66950"/>
    <w:rsid w:val="00E672F0"/>
    <w:rsid w:val="00E70373"/>
    <w:rsid w:val="00E70680"/>
    <w:rsid w:val="00E70E0F"/>
    <w:rsid w:val="00E71FC3"/>
    <w:rsid w:val="00E72A22"/>
    <w:rsid w:val="00E72A31"/>
    <w:rsid w:val="00E72E40"/>
    <w:rsid w:val="00E73665"/>
    <w:rsid w:val="00E73999"/>
    <w:rsid w:val="00E73BDC"/>
    <w:rsid w:val="00E73E9E"/>
    <w:rsid w:val="00E74A0A"/>
    <w:rsid w:val="00E74BBE"/>
    <w:rsid w:val="00E74C83"/>
    <w:rsid w:val="00E75496"/>
    <w:rsid w:val="00E77068"/>
    <w:rsid w:val="00E77C68"/>
    <w:rsid w:val="00E77F9D"/>
    <w:rsid w:val="00E81660"/>
    <w:rsid w:val="00E8181C"/>
    <w:rsid w:val="00E824B4"/>
    <w:rsid w:val="00E839BB"/>
    <w:rsid w:val="00E8510C"/>
    <w:rsid w:val="00E85427"/>
    <w:rsid w:val="00E854FE"/>
    <w:rsid w:val="00E8580C"/>
    <w:rsid w:val="00E8725C"/>
    <w:rsid w:val="00E906CC"/>
    <w:rsid w:val="00E91D8F"/>
    <w:rsid w:val="00E92448"/>
    <w:rsid w:val="00E927A6"/>
    <w:rsid w:val="00E9368E"/>
    <w:rsid w:val="00E939A0"/>
    <w:rsid w:val="00E9400B"/>
    <w:rsid w:val="00E94F78"/>
    <w:rsid w:val="00E94FE1"/>
    <w:rsid w:val="00E95714"/>
    <w:rsid w:val="00E97E4E"/>
    <w:rsid w:val="00EA0185"/>
    <w:rsid w:val="00EA1CB6"/>
    <w:rsid w:val="00EA1CC2"/>
    <w:rsid w:val="00EA2BC7"/>
    <w:rsid w:val="00EA2D76"/>
    <w:rsid w:val="00EA3591"/>
    <w:rsid w:val="00EA3B09"/>
    <w:rsid w:val="00EA3B75"/>
    <w:rsid w:val="00EA3C3A"/>
    <w:rsid w:val="00EA3CE0"/>
    <w:rsid w:val="00EA4644"/>
    <w:rsid w:val="00EA522E"/>
    <w:rsid w:val="00EA56FC"/>
    <w:rsid w:val="00EA60AB"/>
    <w:rsid w:val="00EA74C7"/>
    <w:rsid w:val="00EA758A"/>
    <w:rsid w:val="00EB096F"/>
    <w:rsid w:val="00EB199F"/>
    <w:rsid w:val="00EB21A4"/>
    <w:rsid w:val="00EB27C4"/>
    <w:rsid w:val="00EB3F7B"/>
    <w:rsid w:val="00EB40F9"/>
    <w:rsid w:val="00EB5387"/>
    <w:rsid w:val="00EB549B"/>
    <w:rsid w:val="00EB5C10"/>
    <w:rsid w:val="00EB7322"/>
    <w:rsid w:val="00EC0FE9"/>
    <w:rsid w:val="00EC198B"/>
    <w:rsid w:val="00EC1CE0"/>
    <w:rsid w:val="00EC3516"/>
    <w:rsid w:val="00EC426D"/>
    <w:rsid w:val="00EC4FFB"/>
    <w:rsid w:val="00EC5210"/>
    <w:rsid w:val="00EC526F"/>
    <w:rsid w:val="00EC571B"/>
    <w:rsid w:val="00EC57A1"/>
    <w:rsid w:val="00EC57D7"/>
    <w:rsid w:val="00EC5D87"/>
    <w:rsid w:val="00EC5E0B"/>
    <w:rsid w:val="00EC6385"/>
    <w:rsid w:val="00ED1BEC"/>
    <w:rsid w:val="00ED1DE9"/>
    <w:rsid w:val="00ED22EB"/>
    <w:rsid w:val="00ED23D4"/>
    <w:rsid w:val="00ED43AB"/>
    <w:rsid w:val="00ED4997"/>
    <w:rsid w:val="00ED5C8B"/>
    <w:rsid w:val="00ED5E0B"/>
    <w:rsid w:val="00ED69D9"/>
    <w:rsid w:val="00ED6E17"/>
    <w:rsid w:val="00ED729C"/>
    <w:rsid w:val="00ED751A"/>
    <w:rsid w:val="00ED76D3"/>
    <w:rsid w:val="00EE09D9"/>
    <w:rsid w:val="00EE1639"/>
    <w:rsid w:val="00EE1CC4"/>
    <w:rsid w:val="00EE32A8"/>
    <w:rsid w:val="00EE3772"/>
    <w:rsid w:val="00EE37B6"/>
    <w:rsid w:val="00EE37F7"/>
    <w:rsid w:val="00EE4A10"/>
    <w:rsid w:val="00EE6272"/>
    <w:rsid w:val="00EE6363"/>
    <w:rsid w:val="00EE6628"/>
    <w:rsid w:val="00EF0846"/>
    <w:rsid w:val="00EF0F45"/>
    <w:rsid w:val="00EF183B"/>
    <w:rsid w:val="00EF2032"/>
    <w:rsid w:val="00EF26F3"/>
    <w:rsid w:val="00EF33D1"/>
    <w:rsid w:val="00EF36FA"/>
    <w:rsid w:val="00EF3AA3"/>
    <w:rsid w:val="00EF3F8D"/>
    <w:rsid w:val="00EF43A6"/>
    <w:rsid w:val="00EF7463"/>
    <w:rsid w:val="00EF7484"/>
    <w:rsid w:val="00EF7971"/>
    <w:rsid w:val="00F002EF"/>
    <w:rsid w:val="00F0077E"/>
    <w:rsid w:val="00F0097D"/>
    <w:rsid w:val="00F01454"/>
    <w:rsid w:val="00F01530"/>
    <w:rsid w:val="00F01D90"/>
    <w:rsid w:val="00F01EE9"/>
    <w:rsid w:val="00F03EAA"/>
    <w:rsid w:val="00F04900"/>
    <w:rsid w:val="00F04BD9"/>
    <w:rsid w:val="00F04D33"/>
    <w:rsid w:val="00F0639B"/>
    <w:rsid w:val="00F065A4"/>
    <w:rsid w:val="00F06C25"/>
    <w:rsid w:val="00F0717C"/>
    <w:rsid w:val="00F0778B"/>
    <w:rsid w:val="00F10FB3"/>
    <w:rsid w:val="00F1106F"/>
    <w:rsid w:val="00F11EE4"/>
    <w:rsid w:val="00F1202E"/>
    <w:rsid w:val="00F12089"/>
    <w:rsid w:val="00F126B9"/>
    <w:rsid w:val="00F12715"/>
    <w:rsid w:val="00F144D5"/>
    <w:rsid w:val="00F146F0"/>
    <w:rsid w:val="00F15039"/>
    <w:rsid w:val="00F16731"/>
    <w:rsid w:val="00F204E1"/>
    <w:rsid w:val="00F20C91"/>
    <w:rsid w:val="00F20CDF"/>
    <w:rsid w:val="00F20FF3"/>
    <w:rsid w:val="00F2190B"/>
    <w:rsid w:val="00F228B5"/>
    <w:rsid w:val="00F23169"/>
    <w:rsid w:val="00F2389C"/>
    <w:rsid w:val="00F247DD"/>
    <w:rsid w:val="00F25631"/>
    <w:rsid w:val="00F25C67"/>
    <w:rsid w:val="00F25F7C"/>
    <w:rsid w:val="00F26384"/>
    <w:rsid w:val="00F267CE"/>
    <w:rsid w:val="00F26AA6"/>
    <w:rsid w:val="00F26AF9"/>
    <w:rsid w:val="00F2701B"/>
    <w:rsid w:val="00F27AD9"/>
    <w:rsid w:val="00F3098C"/>
    <w:rsid w:val="00F30DFF"/>
    <w:rsid w:val="00F31E5B"/>
    <w:rsid w:val="00F32431"/>
    <w:rsid w:val="00F32B80"/>
    <w:rsid w:val="00F33930"/>
    <w:rsid w:val="00F340EB"/>
    <w:rsid w:val="00F350B2"/>
    <w:rsid w:val="00F35285"/>
    <w:rsid w:val="00F35E7B"/>
    <w:rsid w:val="00F35F63"/>
    <w:rsid w:val="00F371FB"/>
    <w:rsid w:val="00F3779C"/>
    <w:rsid w:val="00F401BC"/>
    <w:rsid w:val="00F40349"/>
    <w:rsid w:val="00F4106E"/>
    <w:rsid w:val="00F4155E"/>
    <w:rsid w:val="00F42C54"/>
    <w:rsid w:val="00F43919"/>
    <w:rsid w:val="00F43B9D"/>
    <w:rsid w:val="00F44D5E"/>
    <w:rsid w:val="00F44EB1"/>
    <w:rsid w:val="00F452DA"/>
    <w:rsid w:val="00F46FE9"/>
    <w:rsid w:val="00F509BF"/>
    <w:rsid w:val="00F51224"/>
    <w:rsid w:val="00F51F74"/>
    <w:rsid w:val="00F53A35"/>
    <w:rsid w:val="00F554AF"/>
    <w:rsid w:val="00F554E0"/>
    <w:rsid w:val="00F55A3D"/>
    <w:rsid w:val="00F55C92"/>
    <w:rsid w:val="00F5744B"/>
    <w:rsid w:val="00F5793C"/>
    <w:rsid w:val="00F604DC"/>
    <w:rsid w:val="00F61209"/>
    <w:rsid w:val="00F617F2"/>
    <w:rsid w:val="00F6259E"/>
    <w:rsid w:val="00F63546"/>
    <w:rsid w:val="00F6566C"/>
    <w:rsid w:val="00F65B93"/>
    <w:rsid w:val="00F65DD4"/>
    <w:rsid w:val="00F66B04"/>
    <w:rsid w:val="00F67116"/>
    <w:rsid w:val="00F672B2"/>
    <w:rsid w:val="00F707F6"/>
    <w:rsid w:val="00F70ECC"/>
    <w:rsid w:val="00F70F75"/>
    <w:rsid w:val="00F71E87"/>
    <w:rsid w:val="00F72FF0"/>
    <w:rsid w:val="00F73918"/>
    <w:rsid w:val="00F756A3"/>
    <w:rsid w:val="00F7706A"/>
    <w:rsid w:val="00F77235"/>
    <w:rsid w:val="00F8005E"/>
    <w:rsid w:val="00F81313"/>
    <w:rsid w:val="00F82016"/>
    <w:rsid w:val="00F8332D"/>
    <w:rsid w:val="00F83973"/>
    <w:rsid w:val="00F8427D"/>
    <w:rsid w:val="00F8575F"/>
    <w:rsid w:val="00F85DE1"/>
    <w:rsid w:val="00F864D1"/>
    <w:rsid w:val="00F8771E"/>
    <w:rsid w:val="00F87FA3"/>
    <w:rsid w:val="00F924A9"/>
    <w:rsid w:val="00F93278"/>
    <w:rsid w:val="00F937A5"/>
    <w:rsid w:val="00F93D8C"/>
    <w:rsid w:val="00F9465F"/>
    <w:rsid w:val="00F948BC"/>
    <w:rsid w:val="00F95E0C"/>
    <w:rsid w:val="00F970D5"/>
    <w:rsid w:val="00F97942"/>
    <w:rsid w:val="00FA0470"/>
    <w:rsid w:val="00FA0AD3"/>
    <w:rsid w:val="00FA0E48"/>
    <w:rsid w:val="00FA2003"/>
    <w:rsid w:val="00FA3102"/>
    <w:rsid w:val="00FA3136"/>
    <w:rsid w:val="00FA3E4B"/>
    <w:rsid w:val="00FA4660"/>
    <w:rsid w:val="00FA48D4"/>
    <w:rsid w:val="00FA54FA"/>
    <w:rsid w:val="00FA63DC"/>
    <w:rsid w:val="00FA6998"/>
    <w:rsid w:val="00FA6A6F"/>
    <w:rsid w:val="00FA6D39"/>
    <w:rsid w:val="00FA7A68"/>
    <w:rsid w:val="00FB05D0"/>
    <w:rsid w:val="00FB0D58"/>
    <w:rsid w:val="00FB227E"/>
    <w:rsid w:val="00FB27C3"/>
    <w:rsid w:val="00FB34F0"/>
    <w:rsid w:val="00FB3D61"/>
    <w:rsid w:val="00FB40EA"/>
    <w:rsid w:val="00FB430F"/>
    <w:rsid w:val="00FB44CE"/>
    <w:rsid w:val="00FB4D71"/>
    <w:rsid w:val="00FB5009"/>
    <w:rsid w:val="00FB58F0"/>
    <w:rsid w:val="00FB5DAA"/>
    <w:rsid w:val="00FB6F39"/>
    <w:rsid w:val="00FB74DD"/>
    <w:rsid w:val="00FB76AB"/>
    <w:rsid w:val="00FB7CFF"/>
    <w:rsid w:val="00FC0076"/>
    <w:rsid w:val="00FC0F7D"/>
    <w:rsid w:val="00FC1479"/>
    <w:rsid w:val="00FC3492"/>
    <w:rsid w:val="00FC370B"/>
    <w:rsid w:val="00FC375F"/>
    <w:rsid w:val="00FC396F"/>
    <w:rsid w:val="00FC48C2"/>
    <w:rsid w:val="00FC4CBE"/>
    <w:rsid w:val="00FC70A0"/>
    <w:rsid w:val="00FD03FE"/>
    <w:rsid w:val="00FD0E04"/>
    <w:rsid w:val="00FD126E"/>
    <w:rsid w:val="00FD21DD"/>
    <w:rsid w:val="00FD3C36"/>
    <w:rsid w:val="00FD4D81"/>
    <w:rsid w:val="00FD5BD9"/>
    <w:rsid w:val="00FD641D"/>
    <w:rsid w:val="00FD642C"/>
    <w:rsid w:val="00FD666C"/>
    <w:rsid w:val="00FD6AED"/>
    <w:rsid w:val="00FD7094"/>
    <w:rsid w:val="00FD70B1"/>
    <w:rsid w:val="00FD7181"/>
    <w:rsid w:val="00FD7498"/>
    <w:rsid w:val="00FD7FB3"/>
    <w:rsid w:val="00FE1E7D"/>
    <w:rsid w:val="00FE3105"/>
    <w:rsid w:val="00FE4713"/>
    <w:rsid w:val="00FE4AFF"/>
    <w:rsid w:val="00FE75DB"/>
    <w:rsid w:val="00FE7F93"/>
    <w:rsid w:val="00FF03F6"/>
    <w:rsid w:val="00FF06E5"/>
    <w:rsid w:val="00FF0EC8"/>
    <w:rsid w:val="00FF0F73"/>
    <w:rsid w:val="00FF1F44"/>
    <w:rsid w:val="00FF225E"/>
    <w:rsid w:val="00FF2742"/>
    <w:rsid w:val="00FF3F04"/>
    <w:rsid w:val="00FF4615"/>
    <w:rsid w:val="00FF5135"/>
    <w:rsid w:val="00FF672C"/>
    <w:rsid w:val="00FF6CE8"/>
    <w:rsid w:val="00FF7F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30"/>
  <w15:docId w15:val="{B14A1E9D-4A63-4472-B31D-FD100DDE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lang w:val="en-US"/>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955BEE"/>
    <w:rPr>
      <w:color w:val="0000FF" w:themeColor="hyperlink"/>
      <w:u w:val="single"/>
    </w:rPr>
  </w:style>
  <w:style w:type="paragraph" w:customStyle="1" w:styleId="PreformattedText">
    <w:name w:val="Preformatted Text"/>
    <w:basedOn w:val="Normal"/>
    <w:rsid w:val="009D548B"/>
    <w:pPr>
      <w:widowControl w:val="0"/>
      <w:suppressAutoHyphens/>
      <w:spacing w:line="240" w:lineRule="auto"/>
    </w:pPr>
    <w:rPr>
      <w:rFonts w:ascii="Liberation Mono" w:eastAsia="DejaVu Sans Mono" w:hAnsi="Liberation Mono" w:cs="Liberation Mono"/>
      <w:sz w:val="20"/>
      <w:szCs w:val="20"/>
      <w:lang w:eastAsia="zh-CN" w:bidi="hi-IN"/>
    </w:rPr>
  </w:style>
  <w:style w:type="table" w:styleId="TableGrid">
    <w:name w:val="Table Grid"/>
    <w:basedOn w:val="TableNormal"/>
    <w:uiPriority w:val="59"/>
    <w:rsid w:val="00966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ewparagraph"/>
    <w:next w:val="Normal"/>
    <w:link w:val="MTDisplayEquationChar"/>
    <w:rsid w:val="008A1DF3"/>
    <w:pPr>
      <w:tabs>
        <w:tab w:val="center" w:pos="4240"/>
        <w:tab w:val="right" w:pos="8500"/>
      </w:tabs>
      <w:ind w:firstLine="0"/>
    </w:pPr>
  </w:style>
  <w:style w:type="character" w:customStyle="1" w:styleId="NewparagraphChar">
    <w:name w:val="New paragraph Char"/>
    <w:basedOn w:val="DefaultParagraphFont"/>
    <w:link w:val="Newparagraph"/>
    <w:rsid w:val="008A1DF3"/>
    <w:rPr>
      <w:sz w:val="24"/>
      <w:szCs w:val="24"/>
    </w:rPr>
  </w:style>
  <w:style w:type="character" w:customStyle="1" w:styleId="MTDisplayEquationChar">
    <w:name w:val="MTDisplayEquation Char"/>
    <w:basedOn w:val="NewparagraphChar"/>
    <w:link w:val="MTDisplayEquation"/>
    <w:rsid w:val="008A1DF3"/>
    <w:rPr>
      <w:sz w:val="24"/>
      <w:szCs w:val="24"/>
    </w:rPr>
  </w:style>
  <w:style w:type="paragraph" w:styleId="NoSpacing">
    <w:name w:val="No Spacing"/>
    <w:link w:val="NoSpacingChar"/>
    <w:uiPriority w:val="1"/>
    <w:qFormat/>
    <w:rsid w:val="00292DAA"/>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92DAA"/>
    <w:rPr>
      <w:rFonts w:asciiTheme="minorHAnsi" w:eastAsiaTheme="minorEastAsia" w:hAnsiTheme="minorHAnsi" w:cstheme="minorBidi"/>
      <w:sz w:val="22"/>
      <w:szCs w:val="22"/>
      <w:lang w:val="en-US" w:eastAsia="en-US"/>
    </w:rPr>
  </w:style>
  <w:style w:type="paragraph" w:customStyle="1" w:styleId="CoverTitel">
    <w:name w:val="_CoverTitel"/>
    <w:basedOn w:val="Normal"/>
    <w:semiHidden/>
    <w:qFormat/>
    <w:rsid w:val="00FF4615"/>
    <w:pPr>
      <w:spacing w:line="240" w:lineRule="auto"/>
    </w:pPr>
    <w:rPr>
      <w:rFonts w:ascii="Arial" w:eastAsiaTheme="minorEastAsia" w:hAnsi="Arial" w:cstheme="minorBidi"/>
      <w:color w:val="1D8DB0"/>
      <w:sz w:val="80"/>
      <w:szCs w:val="80"/>
      <w:lang w:eastAsia="nl-BE"/>
    </w:rPr>
  </w:style>
  <w:style w:type="paragraph" w:customStyle="1" w:styleId="CoverKoptekst">
    <w:name w:val="_CoverKoptekst"/>
    <w:basedOn w:val="Normal"/>
    <w:semiHidden/>
    <w:qFormat/>
    <w:rsid w:val="00FF4615"/>
    <w:pPr>
      <w:spacing w:before="240" w:line="240" w:lineRule="auto"/>
      <w:jc w:val="right"/>
    </w:pPr>
    <w:rPr>
      <w:rFonts w:ascii="Arial" w:eastAsiaTheme="minorEastAsia" w:hAnsi="Arial" w:cstheme="minorBidi"/>
      <w:caps/>
      <w:color w:val="FFFFFF" w:themeColor="background1"/>
      <w:szCs w:val="20"/>
      <w:lang w:eastAsia="nl-BE"/>
    </w:rPr>
  </w:style>
  <w:style w:type="paragraph" w:customStyle="1" w:styleId="CoverAuteur">
    <w:name w:val="_CoverAuteur"/>
    <w:basedOn w:val="Normal"/>
    <w:semiHidden/>
    <w:qFormat/>
    <w:rsid w:val="00FF4615"/>
    <w:pPr>
      <w:spacing w:line="240" w:lineRule="auto"/>
      <w:jc w:val="right"/>
    </w:pPr>
    <w:rPr>
      <w:rFonts w:ascii="Arial" w:eastAsia="Calibri" w:hAnsi="Arial" w:cs="Arial"/>
      <w:b/>
      <w:bCs/>
      <w:sz w:val="28"/>
      <w:lang w:eastAsia="en-US"/>
    </w:rPr>
  </w:style>
  <w:style w:type="paragraph" w:customStyle="1" w:styleId="CoverSubtekst">
    <w:name w:val="_CoverSubtekst"/>
    <w:basedOn w:val="Normal"/>
    <w:semiHidden/>
    <w:qFormat/>
    <w:rsid w:val="00FF4615"/>
    <w:pPr>
      <w:spacing w:line="240" w:lineRule="auto"/>
      <w:jc w:val="right"/>
    </w:pPr>
    <w:rPr>
      <w:rFonts w:ascii="Arial" w:eastAsiaTheme="minorEastAsia" w:hAnsi="Arial" w:cstheme="minorBidi"/>
      <w:lang w:eastAsia="nl-BE"/>
    </w:rPr>
  </w:style>
  <w:style w:type="paragraph" w:customStyle="1" w:styleId="BackCoverAdres1">
    <w:name w:val="_BackCover_Adres1"/>
    <w:basedOn w:val="Normal"/>
    <w:semiHidden/>
    <w:qFormat/>
    <w:rsid w:val="005234FD"/>
    <w:pPr>
      <w:spacing w:line="150" w:lineRule="exact"/>
      <w:jc w:val="right"/>
    </w:pPr>
    <w:rPr>
      <w:rFonts w:ascii="Arial" w:eastAsiaTheme="minorEastAsia" w:hAnsi="Arial" w:cstheme="minorBidi"/>
      <w:caps/>
      <w:sz w:val="14"/>
      <w:lang w:eastAsia="nl-BE"/>
    </w:rPr>
  </w:style>
  <w:style w:type="paragraph" w:customStyle="1" w:styleId="BackcoverAdres2">
    <w:name w:val="_Backcover_Adres2"/>
    <w:basedOn w:val="BackCoverAdres1"/>
    <w:semiHidden/>
    <w:qFormat/>
    <w:rsid w:val="005234FD"/>
    <w:rPr>
      <w:caps w:val="0"/>
    </w:rPr>
  </w:style>
  <w:style w:type="character" w:styleId="PlaceholderText">
    <w:name w:val="Placeholder Text"/>
    <w:basedOn w:val="DefaultParagraphFont"/>
    <w:uiPriority w:val="99"/>
    <w:rsid w:val="00012E80"/>
    <w:rPr>
      <w:color w:val="808080"/>
    </w:rPr>
  </w:style>
  <w:style w:type="character" w:styleId="FollowedHyperlink">
    <w:name w:val="FollowedHyperlink"/>
    <w:basedOn w:val="DefaultParagraphFont"/>
    <w:semiHidden/>
    <w:unhideWhenUsed/>
    <w:rsid w:val="00012E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4.wmf"/><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oleObject" Target="embeddings/oleObject36.bin"/><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73.wmf"/><Relationship Id="rId191" Type="http://schemas.openxmlformats.org/officeDocument/2006/relationships/image" Target="media/image83.wmf"/><Relationship Id="rId205" Type="http://schemas.openxmlformats.org/officeDocument/2006/relationships/image" Target="media/image90.wmf"/><Relationship Id="rId226" Type="http://schemas.openxmlformats.org/officeDocument/2006/relationships/footer" Target="footer2.xml"/><Relationship Id="rId107" Type="http://schemas.openxmlformats.org/officeDocument/2006/relationships/image" Target="media/image45.wmf"/><Relationship Id="rId11" Type="http://schemas.openxmlformats.org/officeDocument/2006/relationships/hyperlink" Target="mailto:martina.vandebroek@kuleuven.be" TargetMode="External"/><Relationship Id="rId32" Type="http://schemas.openxmlformats.org/officeDocument/2006/relationships/oleObject" Target="embeddings/oleObject9.bin"/><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image" Target="media/image54.wmf"/><Relationship Id="rId149" Type="http://schemas.openxmlformats.org/officeDocument/2006/relationships/oleObject" Target="embeddings/oleObject73.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68.wmf"/><Relationship Id="rId181" Type="http://schemas.openxmlformats.org/officeDocument/2006/relationships/oleObject" Target="embeddings/oleObject89.bin"/><Relationship Id="rId216" Type="http://schemas.openxmlformats.org/officeDocument/2006/relationships/oleObject" Target="embeddings/oleObject107.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oleObject" Target="embeddings/oleObject52.bin"/><Relationship Id="rId118" Type="http://schemas.openxmlformats.org/officeDocument/2006/relationships/image" Target="media/image50.wmf"/><Relationship Id="rId134" Type="http://schemas.openxmlformats.org/officeDocument/2006/relationships/oleObject" Target="embeddings/oleObject65.bin"/><Relationship Id="rId139" Type="http://schemas.openxmlformats.org/officeDocument/2006/relationships/image" Target="media/image58.wmf"/><Relationship Id="rId80" Type="http://schemas.openxmlformats.org/officeDocument/2006/relationships/image" Target="media/image33.wmf"/><Relationship Id="rId85" Type="http://schemas.openxmlformats.org/officeDocument/2006/relationships/image" Target="media/image35.wmf"/><Relationship Id="rId150" Type="http://schemas.openxmlformats.org/officeDocument/2006/relationships/image" Target="media/image63.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76.wmf"/><Relationship Id="rId192" Type="http://schemas.openxmlformats.org/officeDocument/2006/relationships/oleObject" Target="embeddings/oleObject95.bin"/><Relationship Id="rId197" Type="http://schemas.openxmlformats.org/officeDocument/2006/relationships/image" Target="media/image86.wmf"/><Relationship Id="rId206" Type="http://schemas.openxmlformats.org/officeDocument/2006/relationships/oleObject" Target="embeddings/oleObject102.bin"/><Relationship Id="rId227" Type="http://schemas.openxmlformats.org/officeDocument/2006/relationships/header" Target="header3.xml"/><Relationship Id="rId201" Type="http://schemas.openxmlformats.org/officeDocument/2006/relationships/image" Target="media/image88.wmf"/><Relationship Id="rId222" Type="http://schemas.openxmlformats.org/officeDocument/2006/relationships/oleObject" Target="embeddings/oleObject111.bin"/><Relationship Id="rId12" Type="http://schemas.openxmlformats.org/officeDocument/2006/relationships/hyperlink" Target="mailto:leonard.maaya@kuleuven.be" TargetMode="External"/><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oleObject" Target="embeddings/oleObject46.bin"/><Relationship Id="rId108" Type="http://schemas.openxmlformats.org/officeDocument/2006/relationships/oleObject" Target="embeddings/oleObject49.bin"/><Relationship Id="rId124"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oleObject" Target="embeddings/oleObject20.bin"/><Relationship Id="rId70" Type="http://schemas.openxmlformats.org/officeDocument/2006/relationships/image" Target="media/image28.wmf"/><Relationship Id="rId75" Type="http://schemas.openxmlformats.org/officeDocument/2006/relationships/oleObject" Target="embeddings/oleObject31.bin"/><Relationship Id="rId91" Type="http://schemas.openxmlformats.org/officeDocument/2006/relationships/oleObject" Target="embeddings/oleObject40.bin"/><Relationship Id="rId96" Type="http://schemas.openxmlformats.org/officeDocument/2006/relationships/image" Target="media/image40.wmf"/><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1.wmf"/><Relationship Id="rId182" Type="http://schemas.openxmlformats.org/officeDocument/2006/relationships/image" Target="media/image79.wmf"/><Relationship Id="rId187" Type="http://schemas.openxmlformats.org/officeDocument/2006/relationships/image" Target="media/image81.wmf"/><Relationship Id="rId217" Type="http://schemas.openxmlformats.org/officeDocument/2006/relationships/image" Target="media/image96.wmf"/><Relationship Id="rId1" Type="http://schemas.microsoft.com/office/2006/relationships/keyMapCustomizations" Target="customizations.xml"/><Relationship Id="rId6" Type="http://schemas.openxmlformats.org/officeDocument/2006/relationships/webSettings" Target="webSettings.xml"/><Relationship Id="rId212" Type="http://schemas.openxmlformats.org/officeDocument/2006/relationships/oleObject" Target="embeddings/oleObject105.bin"/><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48.wmf"/><Relationship Id="rId119" Type="http://schemas.openxmlformats.org/officeDocument/2006/relationships/oleObject" Target="embeddings/oleObject55.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oleObject" Target="embeddings/oleObject34.bin"/><Relationship Id="rId86" Type="http://schemas.openxmlformats.org/officeDocument/2006/relationships/oleObject" Target="embeddings/oleObject37.bin"/><Relationship Id="rId130" Type="http://schemas.openxmlformats.org/officeDocument/2006/relationships/oleObject" Target="embeddings/oleObject62.bin"/><Relationship Id="rId135" Type="http://schemas.openxmlformats.org/officeDocument/2006/relationships/image" Target="media/image56.wmf"/><Relationship Id="rId151" Type="http://schemas.openxmlformats.org/officeDocument/2006/relationships/oleObject" Target="embeddings/oleObject74.bin"/><Relationship Id="rId156" Type="http://schemas.openxmlformats.org/officeDocument/2006/relationships/image" Target="media/image66.wmf"/><Relationship Id="rId177" Type="http://schemas.openxmlformats.org/officeDocument/2006/relationships/oleObject" Target="embeddings/oleObject87.bin"/><Relationship Id="rId198" Type="http://schemas.openxmlformats.org/officeDocument/2006/relationships/oleObject" Target="embeddings/oleObject98.bin"/><Relationship Id="rId172" Type="http://schemas.openxmlformats.org/officeDocument/2006/relationships/image" Target="media/image74.wmf"/><Relationship Id="rId193" Type="http://schemas.openxmlformats.org/officeDocument/2006/relationships/image" Target="media/image84.wmf"/><Relationship Id="rId202" Type="http://schemas.openxmlformats.org/officeDocument/2006/relationships/oleObject" Target="embeddings/oleObject100.bin"/><Relationship Id="rId207" Type="http://schemas.openxmlformats.org/officeDocument/2006/relationships/image" Target="media/image91.wmf"/><Relationship Id="rId223" Type="http://schemas.openxmlformats.org/officeDocument/2006/relationships/header" Target="header1.xml"/><Relationship Id="rId228" Type="http://schemas.openxmlformats.org/officeDocument/2006/relationships/footer" Target="footer3.xml"/><Relationship Id="rId13" Type="http://schemas.openxmlformats.org/officeDocument/2006/relationships/hyperlink" Target="mailto:michel.meulders@kuleuven.be" TargetMode="External"/><Relationship Id="rId18" Type="http://schemas.openxmlformats.org/officeDocument/2006/relationships/oleObject" Target="embeddings/oleObject2.bin"/><Relationship Id="rId39" Type="http://schemas.openxmlformats.org/officeDocument/2006/relationships/image" Target="media/image13.wmf"/><Relationship Id="rId109" Type="http://schemas.openxmlformats.org/officeDocument/2006/relationships/image" Target="media/image46.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3.bin"/><Relationship Id="rId104" Type="http://schemas.openxmlformats.org/officeDocument/2006/relationships/image" Target="media/image44.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image" Target="media/image59.wmf"/><Relationship Id="rId146" Type="http://schemas.openxmlformats.org/officeDocument/2006/relationships/image" Target="media/image61.wmf"/><Relationship Id="rId167" Type="http://schemas.openxmlformats.org/officeDocument/2006/relationships/oleObject" Target="embeddings/oleObject82.bin"/><Relationship Id="rId188" Type="http://schemas.openxmlformats.org/officeDocument/2006/relationships/oleObject" Target="embeddings/oleObject93.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38.wmf"/><Relationship Id="rId162" Type="http://schemas.openxmlformats.org/officeDocument/2006/relationships/image" Target="media/image69.wmf"/><Relationship Id="rId183" Type="http://schemas.openxmlformats.org/officeDocument/2006/relationships/oleObject" Target="embeddings/oleObject90.bin"/><Relationship Id="rId213" Type="http://schemas.openxmlformats.org/officeDocument/2006/relationships/image" Target="media/image94.wmf"/><Relationship Id="rId218" Type="http://schemas.openxmlformats.org/officeDocument/2006/relationships/oleObject" Target="embeddings/oleObject108.bin"/><Relationship Id="rId2" Type="http://schemas.openxmlformats.org/officeDocument/2006/relationships/customXml" Target="../customXml/item1.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6.wmf"/><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77.wmf"/><Relationship Id="rId61" Type="http://schemas.openxmlformats.org/officeDocument/2006/relationships/image" Target="media/image24.wmf"/><Relationship Id="rId82" Type="http://schemas.openxmlformats.org/officeDocument/2006/relationships/oleObject" Target="embeddings/oleObject35.bin"/><Relationship Id="rId152" Type="http://schemas.openxmlformats.org/officeDocument/2006/relationships/image" Target="media/image64.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image" Target="media/image87.wmf"/><Relationship Id="rId203" Type="http://schemas.openxmlformats.org/officeDocument/2006/relationships/image" Target="media/image89.wmf"/><Relationship Id="rId208" Type="http://schemas.openxmlformats.org/officeDocument/2006/relationships/oleObject" Target="embeddings/oleObject103.bin"/><Relationship Id="rId229" Type="http://schemas.openxmlformats.org/officeDocument/2006/relationships/fontTable" Target="fontTable.xml"/><Relationship Id="rId19" Type="http://schemas.openxmlformats.org/officeDocument/2006/relationships/image" Target="media/image3.wmf"/><Relationship Id="rId224" Type="http://schemas.openxmlformats.org/officeDocument/2006/relationships/header" Target="header2.xml"/><Relationship Id="rId14" Type="http://schemas.openxmlformats.org/officeDocument/2006/relationships/hyperlink" Target="mailto:martina.vandebroek@kuleuven.be"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2.wmf"/><Relationship Id="rId105" Type="http://schemas.openxmlformats.org/officeDocument/2006/relationships/oleObject" Target="embeddings/oleObject47.bin"/><Relationship Id="rId126" Type="http://schemas.openxmlformats.org/officeDocument/2006/relationships/image" Target="media/image53.wmf"/><Relationship Id="rId147" Type="http://schemas.openxmlformats.org/officeDocument/2006/relationships/oleObject" Target="embeddings/oleObject72.bin"/><Relationship Id="rId168" Type="http://schemas.openxmlformats.org/officeDocument/2006/relationships/image" Target="media/image7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1.bin"/><Relationship Id="rId98" Type="http://schemas.openxmlformats.org/officeDocument/2006/relationships/image" Target="media/image41.wmf"/><Relationship Id="rId121" Type="http://schemas.openxmlformats.org/officeDocument/2006/relationships/image" Target="media/image51.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0.wmf"/><Relationship Id="rId189" Type="http://schemas.openxmlformats.org/officeDocument/2006/relationships/image" Target="media/image82.wmf"/><Relationship Id="rId219" Type="http://schemas.openxmlformats.org/officeDocument/2006/relationships/oleObject" Target="embeddings/oleObject109.bin"/><Relationship Id="rId3" Type="http://schemas.openxmlformats.org/officeDocument/2006/relationships/numbering" Target="numbering.xml"/><Relationship Id="rId214" Type="http://schemas.openxmlformats.org/officeDocument/2006/relationships/oleObject" Target="embeddings/oleObject106.bin"/><Relationship Id="rId230" Type="http://schemas.openxmlformats.org/officeDocument/2006/relationships/theme" Target="theme/theme1.xml"/><Relationship Id="rId25" Type="http://schemas.openxmlformats.org/officeDocument/2006/relationships/image" Target="media/image6.wmf"/><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image" Target="media/image49.wmf"/><Relationship Id="rId137" Type="http://schemas.openxmlformats.org/officeDocument/2006/relationships/image" Target="media/image57.wmf"/><Relationship Id="rId158" Type="http://schemas.openxmlformats.org/officeDocument/2006/relationships/image" Target="media/image67.wmf"/><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4.wmf"/><Relationship Id="rId88" Type="http://schemas.openxmlformats.org/officeDocument/2006/relationships/oleObject" Target="embeddings/oleObject38.bin"/><Relationship Id="rId111" Type="http://schemas.openxmlformats.org/officeDocument/2006/relationships/image" Target="media/image47.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75.wmf"/><Relationship Id="rId179" Type="http://schemas.openxmlformats.org/officeDocument/2006/relationships/oleObject" Target="embeddings/oleObject88.bin"/><Relationship Id="rId195" Type="http://schemas.openxmlformats.org/officeDocument/2006/relationships/image" Target="media/image85.wmf"/><Relationship Id="rId209" Type="http://schemas.openxmlformats.org/officeDocument/2006/relationships/image" Target="media/image92.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10.bin"/><Relationship Id="rId225" Type="http://schemas.openxmlformats.org/officeDocument/2006/relationships/footer" Target="footer1.xml"/><Relationship Id="rId15" Type="http://schemas.openxmlformats.org/officeDocument/2006/relationships/image" Target="media/image1.wmf"/><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8.bin"/><Relationship Id="rId127" Type="http://schemas.openxmlformats.org/officeDocument/2006/relationships/oleObject" Target="embeddings/oleObject60.bin"/><Relationship Id="rId10" Type="http://schemas.openxmlformats.org/officeDocument/2006/relationships/hyperlink" Target="mailto:michel.meulders@kuleuven.be"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2.wmf"/><Relationship Id="rId94" Type="http://schemas.openxmlformats.org/officeDocument/2006/relationships/image" Target="media/image39.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7.bin"/><Relationship Id="rId143" Type="http://schemas.openxmlformats.org/officeDocument/2006/relationships/oleObject" Target="embeddings/oleObject70.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tyles" Target="styles.xml"/><Relationship Id="rId9" Type="http://schemas.openxmlformats.org/officeDocument/2006/relationships/hyperlink" Target="mailto:leonard.maaya@kuleuven.be" TargetMode="External"/><Relationship Id="rId180" Type="http://schemas.openxmlformats.org/officeDocument/2006/relationships/image" Target="media/image78.wmf"/><Relationship Id="rId210" Type="http://schemas.openxmlformats.org/officeDocument/2006/relationships/oleObject" Target="embeddings/oleObject104.bin"/><Relationship Id="rId215" Type="http://schemas.openxmlformats.org/officeDocument/2006/relationships/image" Target="media/image95.wmf"/><Relationship Id="rId26" Type="http://schemas.openxmlformats.org/officeDocument/2006/relationships/oleObject" Target="embeddings/oleObject6.bin"/><Relationship Id="rId47" Type="http://schemas.openxmlformats.org/officeDocument/2006/relationships/image" Target="media/image17.wmf"/><Relationship Id="rId68" Type="http://schemas.openxmlformats.org/officeDocument/2006/relationships/image" Target="media/image27.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55.wmf"/><Relationship Id="rId154" Type="http://schemas.openxmlformats.org/officeDocument/2006/relationships/image" Target="media/image65.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1.bin"/><Relationship Id="rId221" Type="http://schemas.openxmlformats.org/officeDocument/2006/relationships/image" Target="media/image97.wmf"/><Relationship Id="rId37" Type="http://schemas.openxmlformats.org/officeDocument/2006/relationships/image" Target="media/image12.wmf"/><Relationship Id="rId58" Type="http://schemas.openxmlformats.org/officeDocument/2006/relationships/oleObject" Target="embeddings/oleObject22.bin"/><Relationship Id="rId79" Type="http://schemas.openxmlformats.org/officeDocument/2006/relationships/oleObject" Target="embeddings/oleObject33.bin"/><Relationship Id="rId102" Type="http://schemas.openxmlformats.org/officeDocument/2006/relationships/image" Target="media/image43.wmf"/><Relationship Id="rId123" Type="http://schemas.openxmlformats.org/officeDocument/2006/relationships/oleObject" Target="embeddings/oleObject58.bin"/><Relationship Id="rId144" Type="http://schemas.openxmlformats.org/officeDocument/2006/relationships/image" Target="media/image60.wmf"/><Relationship Id="rId90" Type="http://schemas.openxmlformats.org/officeDocument/2006/relationships/image" Target="media/image37.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E007-4424-4781-ABB2-34F919FB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56</Pages>
  <Words>107085</Words>
  <Characters>610388</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Online consumers’ attribute non-attendance BEHAVIOR: effects of information provision</vt:lpstr>
    </vt:vector>
  </TitlesOfParts>
  <Company>Informa Plc</Company>
  <LinksUpToDate>false</LinksUpToDate>
  <CharactersWithSpaces>716041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consumers’ attribute non-attendance BEHAVIOR: effects of information provision</dc:title>
  <dc:creator>Taylor &amp; Francis Author Services</dc:creator>
  <cp:lastModifiedBy>Leonard Maaya</cp:lastModifiedBy>
  <cp:revision>43</cp:revision>
  <cp:lastPrinted>2020-03-30T15:37:00Z</cp:lastPrinted>
  <dcterms:created xsi:type="dcterms:W3CDTF">2020-04-22T13:45:00Z</dcterms:created>
  <dcterms:modified xsi:type="dcterms:W3CDTF">2020-04-22T14:40:00Z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http://www.zotero.org/styles/international-journal-of-electronic-commerce</vt:lpwstr>
  </property>
  <property fmtid="{D5CDD505-2E9C-101B-9397-08002B2CF9AE}" pid="4" name="Mendeley Unique User Id_1">
    <vt:lpwstr>f8511139-79be-3d41-952a-9ed8145e7011</vt:lpwstr>
  </property>
  <property fmtid="{D5CDD505-2E9C-101B-9397-08002B2CF9AE}" pid="5" name="Mendeley Recent Style Id 0_1">
    <vt:lpwstr>http://www.zotero.org/styles/elsevier-vancouver</vt:lpwstr>
  </property>
  <property fmtid="{D5CDD505-2E9C-101B-9397-08002B2CF9AE}" pid="6" name="Mendeley Recent Style Name 0_1">
    <vt:lpwstr>Elsevier - Vancouver</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(deprecated)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http://www.zotero.org/styles/international-journal-of-electronic-commerce</vt:lpwstr>
  </property>
  <property fmtid="{D5CDD505-2E9C-101B-9397-08002B2CF9AE}" pid="12" name="Mendeley Recent Style Name 3_1">
    <vt:lpwstr>International Journal of Electronic Commerce</vt:lpwstr>
  </property>
  <property fmtid="{D5CDD505-2E9C-101B-9397-08002B2CF9AE}" pid="13" name="Mendeley Recent Style Id 4_1">
    <vt:lpwstr>http://www.zotero.org/styles/taylor-and-francis-acs</vt:lpwstr>
  </property>
  <property fmtid="{D5CDD505-2E9C-101B-9397-08002B2CF9AE}" pid="14" name="Mendeley Recent Style Name 4_1">
    <vt:lpwstr>Taylor &amp; Francis - American Chemical Society</vt:lpwstr>
  </property>
  <property fmtid="{D5CDD505-2E9C-101B-9397-08002B2CF9AE}" pid="15" name="Mendeley Recent Style Id 5_1">
    <vt:lpwstr>http://www.zotero.org/styles/taylor-and-francis-chicago-f</vt:lpwstr>
  </property>
  <property fmtid="{D5CDD505-2E9C-101B-9397-08002B2CF9AE}" pid="16" name="Mendeley Recent Style Name 5_1">
    <vt:lpwstr>Taylor &amp; Francis - Chicago F</vt:lpwstr>
  </property>
  <property fmtid="{D5CDD505-2E9C-101B-9397-08002B2CF9AE}" pid="17" name="Mendeley Recent Style Id 6_1">
    <vt:lpwstr>http://www.zotero.org/styles/taylor-and-francis-chicago-author-date</vt:lpwstr>
  </property>
  <property fmtid="{D5CDD505-2E9C-101B-9397-08002B2CF9AE}" pid="18" name="Mendeley Recent Style Name 6_1">
    <vt:lpwstr>Taylor &amp; Francis - Chicago Manual of Style (author-date)</vt:lpwstr>
  </property>
  <property fmtid="{D5CDD505-2E9C-101B-9397-08002B2CF9AE}" pid="19" name="Mendeley Recent Style Id 7_1">
    <vt:lpwstr>http://www.zotero.org/styles/taylor-and-francis-harvard-v</vt:lpwstr>
  </property>
  <property fmtid="{D5CDD505-2E9C-101B-9397-08002B2CF9AE}" pid="20" name="Mendeley Recent Style Name 7_1">
    <vt:lpwstr>Taylor &amp; Francis - Harvard V</vt:lpwstr>
  </property>
  <property fmtid="{D5CDD505-2E9C-101B-9397-08002B2CF9AE}" pid="21" name="Mendeley Recent Style Id 8_1">
    <vt:lpwstr>http://www.zotero.org/styles/taylor-and-francis-national-library-of-medicine</vt:lpwstr>
  </property>
  <property fmtid="{D5CDD505-2E9C-101B-9397-08002B2CF9AE}" pid="22" name="Mendeley Recent Style Name 8_1">
    <vt:lpwstr>Taylor &amp; Francis - National Library of Medicine</vt:lpwstr>
  </property>
  <property fmtid="{D5CDD505-2E9C-101B-9397-08002B2CF9AE}" pid="23" name="Mendeley Recent Style Id 9_1">
    <vt:lpwstr>http://www.zotero.org/styles/taylor-and-francis-numeric-q</vt:lpwstr>
  </property>
  <property fmtid="{D5CDD505-2E9C-101B-9397-08002B2CF9AE}" pid="24" name="Mendeley Recent Style Name 9_1">
    <vt:lpwstr>Taylor &amp; Francis - Numeric Q</vt:lpwstr>
  </property>
  <property fmtid="{D5CDD505-2E9C-101B-9397-08002B2CF9AE}" pid="25" name="MTEquationNumber2">
    <vt:lpwstr>(#S1.#E1)</vt:lpwstr>
  </property>
  <property fmtid="{D5CDD505-2E9C-101B-9397-08002B2CF9AE}" pid="26" name="MTEquationSection">
    <vt:lpwstr>1</vt:lpwstr>
  </property>
</Properties>
</file>