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4C" w:rsidRPr="0065214C" w:rsidRDefault="0065214C" w:rsidP="0065214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BIOL</w:t>
      </w:r>
      <w:r w:rsidRPr="0065214C">
        <w:rPr>
          <w:rFonts w:ascii="Times New Roman" w:hAnsi="Times New Roman" w:cs="Times New Roman"/>
          <w:b/>
          <w:sz w:val="24"/>
        </w:rPr>
        <w:t>6930/Fall 2018</w:t>
      </w:r>
    </w:p>
    <w:p w:rsidR="0065214C" w:rsidRPr="0065214C" w:rsidRDefault="0065214C" w:rsidP="0065214C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5214C">
        <w:rPr>
          <w:rFonts w:ascii="Times New Roman" w:hAnsi="Times New Roman" w:cs="Times New Roman"/>
          <w:b/>
          <w:sz w:val="24"/>
        </w:rPr>
        <w:t>Ling Wang</w:t>
      </w:r>
    </w:p>
    <w:p w:rsidR="00C76FD3" w:rsidRDefault="0065214C" w:rsidP="0065214C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5214C">
        <w:rPr>
          <w:rFonts w:ascii="Times New Roman" w:hAnsi="Times New Roman" w:cs="Times New Roman"/>
          <w:b/>
          <w:sz w:val="24"/>
        </w:rPr>
        <w:t>Assignment: Project title and Abstract</w:t>
      </w:r>
    </w:p>
    <w:p w:rsidR="0065214C" w:rsidRDefault="0065214C" w:rsidP="0065214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5214C" w:rsidRDefault="0065214C" w:rsidP="0065214C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>
        <w:rPr>
          <w:rFonts w:ascii="Times New Roman" w:hAnsi="Times New Roman" w:cs="Times New Roman"/>
          <w:sz w:val="24"/>
        </w:rPr>
        <w:t xml:space="preserve"> Identify the differential gene expression in cephalic glia cells of </w:t>
      </w:r>
      <w:r w:rsidR="00330AC7"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Pr="0065214C">
        <w:rPr>
          <w:rFonts w:ascii="Times New Roman" w:hAnsi="Times New Roman" w:cs="Times New Roman"/>
          <w:i/>
          <w:sz w:val="24"/>
        </w:rPr>
        <w:t>hlh-17</w:t>
      </w:r>
      <w:r>
        <w:rPr>
          <w:rFonts w:ascii="Times New Roman" w:hAnsi="Times New Roman" w:cs="Times New Roman"/>
          <w:sz w:val="24"/>
        </w:rPr>
        <w:t xml:space="preserve"> mutant in </w:t>
      </w:r>
      <w:r w:rsidRPr="0065214C">
        <w:rPr>
          <w:rFonts w:ascii="Times New Roman" w:hAnsi="Times New Roman" w:cs="Times New Roman"/>
          <w:i/>
          <w:sz w:val="24"/>
        </w:rPr>
        <w:t xml:space="preserve">Caenorhabditis </w:t>
      </w:r>
      <w:proofErr w:type="spellStart"/>
      <w:r w:rsidRPr="0065214C">
        <w:rPr>
          <w:rFonts w:ascii="Times New Roman" w:hAnsi="Times New Roman" w:cs="Times New Roman"/>
          <w:i/>
          <w:sz w:val="24"/>
        </w:rPr>
        <w:t>elegans</w:t>
      </w:r>
      <w:proofErr w:type="spellEnd"/>
    </w:p>
    <w:p w:rsidR="0065214C" w:rsidRPr="0065214C" w:rsidRDefault="0065214C" w:rsidP="0065214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Abstract: </w:t>
      </w:r>
      <w:r w:rsidRPr="0065214C">
        <w:rPr>
          <w:rFonts w:ascii="Times New Roman" w:hAnsi="Times New Roman" w:cs="Times New Roman"/>
          <w:sz w:val="24"/>
        </w:rPr>
        <w:t xml:space="preserve">In </w:t>
      </w:r>
      <w:r w:rsidRPr="0065214C">
        <w:rPr>
          <w:rFonts w:ascii="Times New Roman" w:hAnsi="Times New Roman" w:cs="Times New Roman"/>
          <w:i/>
          <w:sz w:val="24"/>
        </w:rPr>
        <w:t xml:space="preserve">Caenorhabditis </w:t>
      </w:r>
      <w:proofErr w:type="spellStart"/>
      <w:r w:rsidRPr="0065214C">
        <w:rPr>
          <w:rFonts w:ascii="Times New Roman" w:hAnsi="Times New Roman" w:cs="Times New Roman"/>
          <w:i/>
          <w:sz w:val="24"/>
        </w:rPr>
        <w:t>elegans</w:t>
      </w:r>
      <w:proofErr w:type="spellEnd"/>
      <w:r w:rsidRPr="0065214C">
        <w:rPr>
          <w:rFonts w:ascii="Times New Roman" w:hAnsi="Times New Roman" w:cs="Times New Roman"/>
          <w:sz w:val="24"/>
        </w:rPr>
        <w:t xml:space="preserve">, the </w:t>
      </w:r>
      <w:proofErr w:type="spellStart"/>
      <w:r w:rsidRPr="0065214C">
        <w:rPr>
          <w:rFonts w:ascii="Times New Roman" w:hAnsi="Times New Roman" w:cs="Times New Roman"/>
          <w:sz w:val="24"/>
        </w:rPr>
        <w:t>Olig</w:t>
      </w:r>
      <w:proofErr w:type="spellEnd"/>
      <w:r w:rsidRPr="0065214C">
        <w:rPr>
          <w:rFonts w:ascii="Times New Roman" w:hAnsi="Times New Roman" w:cs="Times New Roman"/>
          <w:sz w:val="24"/>
        </w:rPr>
        <w:t xml:space="preserve"> ortholog HLH-17 strongly and predominantly expressed in the astrocyte-like cells of the cephalic sheath that protect</w:t>
      </w:r>
      <w:r w:rsidR="005E07F6">
        <w:rPr>
          <w:rFonts w:ascii="Times New Roman" w:hAnsi="Times New Roman" w:cs="Times New Roman"/>
          <w:sz w:val="24"/>
        </w:rPr>
        <w:t>s</w:t>
      </w:r>
      <w:r w:rsidRPr="0065214C">
        <w:rPr>
          <w:rFonts w:ascii="Times New Roman" w:hAnsi="Times New Roman" w:cs="Times New Roman"/>
          <w:sz w:val="24"/>
        </w:rPr>
        <w:t xml:space="preserve"> and support</w:t>
      </w:r>
      <w:r w:rsidR="005E07F6">
        <w:rPr>
          <w:rFonts w:ascii="Times New Roman" w:hAnsi="Times New Roman" w:cs="Times New Roman"/>
          <w:sz w:val="24"/>
        </w:rPr>
        <w:t>s</w:t>
      </w:r>
      <w:r w:rsidRPr="0065214C">
        <w:rPr>
          <w:rFonts w:ascii="Times New Roman" w:hAnsi="Times New Roman" w:cs="Times New Roman"/>
          <w:sz w:val="24"/>
        </w:rPr>
        <w:t xml:space="preserve"> the dopaminergic neurons in hermaphrodites and males</w:t>
      </w:r>
      <w:r>
        <w:rPr>
          <w:rFonts w:ascii="Times New Roman" w:hAnsi="Times New Roman" w:cs="Times New Roman"/>
          <w:sz w:val="24"/>
        </w:rPr>
        <w:t xml:space="preserve">. </w:t>
      </w:r>
      <w:r w:rsidR="005E07F6" w:rsidRPr="005E07F6">
        <w:rPr>
          <w:rFonts w:ascii="Times New Roman" w:hAnsi="Times New Roman" w:cs="Times New Roman"/>
          <w:sz w:val="24"/>
        </w:rPr>
        <w:t>Dissecting the glia cell identity and the regulation of glia cells helps to design effective treatments for glia-associated diseases</w:t>
      </w:r>
      <w:r w:rsidR="005E07F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RNA-seq</w:t>
      </w:r>
      <w:r w:rsidR="005E07F6">
        <w:rPr>
          <w:rFonts w:ascii="Times New Roman" w:hAnsi="Times New Roman" w:cs="Times New Roman"/>
          <w:sz w:val="24"/>
        </w:rPr>
        <w:t>uencing</w:t>
      </w:r>
      <w:r>
        <w:rPr>
          <w:rFonts w:ascii="Times New Roman" w:hAnsi="Times New Roman" w:cs="Times New Roman"/>
          <w:sz w:val="24"/>
        </w:rPr>
        <w:t xml:space="preserve"> will conduct to determine the unique transcriptomes of </w:t>
      </w:r>
      <w:proofErr w:type="spellStart"/>
      <w:r>
        <w:rPr>
          <w:rFonts w:ascii="Times New Roman" w:hAnsi="Times New Roman" w:cs="Times New Roman"/>
          <w:sz w:val="24"/>
        </w:rPr>
        <w:t>CEPglia</w:t>
      </w:r>
      <w:proofErr w:type="spellEnd"/>
      <w:r>
        <w:rPr>
          <w:rFonts w:ascii="Times New Roman" w:hAnsi="Times New Roman" w:cs="Times New Roman"/>
          <w:sz w:val="24"/>
        </w:rPr>
        <w:t xml:space="preserve"> cells, and further to dissect the role of </w:t>
      </w:r>
      <w:r w:rsidRPr="0065214C">
        <w:rPr>
          <w:rFonts w:ascii="Times New Roman" w:hAnsi="Times New Roman" w:cs="Times New Roman"/>
          <w:i/>
          <w:sz w:val="24"/>
        </w:rPr>
        <w:t>hlh-17</w:t>
      </w:r>
      <w:r>
        <w:rPr>
          <w:rFonts w:ascii="Times New Roman" w:hAnsi="Times New Roman" w:cs="Times New Roman"/>
          <w:sz w:val="24"/>
        </w:rPr>
        <w:t xml:space="preserve"> on glia type determination and maintenance.  </w:t>
      </w:r>
    </w:p>
    <w:sectPr w:rsidR="0065214C" w:rsidRPr="0065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4C"/>
    <w:rsid w:val="00330AC7"/>
    <w:rsid w:val="005E07F6"/>
    <w:rsid w:val="0065214C"/>
    <w:rsid w:val="00DE0625"/>
    <w:rsid w:val="00D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B7B"/>
  <w15:chartTrackingRefBased/>
  <w15:docId w15:val="{68148C7A-EBBB-4C81-A375-DACC61C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DB31-F2F3-4B90-8BC7-FCEB45B2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Lijiang</dc:creator>
  <cp:keywords/>
  <dc:description/>
  <cp:lastModifiedBy>Long Lijiang</cp:lastModifiedBy>
  <cp:revision>4</cp:revision>
  <dcterms:created xsi:type="dcterms:W3CDTF">2018-10-27T00:23:00Z</dcterms:created>
  <dcterms:modified xsi:type="dcterms:W3CDTF">2018-10-27T00:39:00Z</dcterms:modified>
</cp:coreProperties>
</file>