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200"/>
      </w:pPr>
      <w:r>
        <w:rPr>
          <w:b/>
          <w:bCs/>
          <w:caps/>
          <w:color w:val="C4602D"/>
          <w:sz w:val="22"/>
          <w:szCs w:val="22"/>
        </w:rPr>
        <w:t xml:space="preserve">PhD ROADMAP</w:t>
      </w:r>
    </w:p>
    <w:p>
      <w:pPr>
        <w:spacing w:after="120"/>
      </w:pPr>
      <w:r>
        <w:rPr>
          <w:b/>
          <w:bCs/>
          <w:color w:val="1F3A5F"/>
          <w:sz w:val="56"/>
          <w:szCs w:val="56"/>
        </w:rPr>
        <w:t xml:space="preserve">Exercise 1: A Working Plan</w:t>
      </w:r>
    </w:p>
    <w:p>
      <w:pPr>
        <w:spacing w:after="300"/>
      </w:pPr>
      <w:r>
        <w:rPr>
          <w:i/>
          <w:iCs/>
          <w:color w:val="1F3A5F"/>
          <w:sz w:val="30"/>
          <w:szCs w:val="30"/>
        </w:rPr>
        <w:t xml:space="preserve">Evolutionary annotation of Alzheimer’s disease risk loci</w:t>
      </w:r>
    </w:p>
    <w:p>
      <w:pPr>
        <w:pBdr>
          <w:top w:val="single" w:color="C4602D" w:sz="12" w:space="4"/>
        </w:pBdr>
        <w:spacing w:after="200"/>
      </w:pPr>
      <w:r>
        <w:t xml:space="preserve"/>
      </w:r>
    </w:p>
    <w:p>
      <w:pPr>
        <w:spacing w:after="120" w:line="276"/>
      </w:pPr>
      <w:r>
        <w:rPr>
          <w:b/>
          <w:bCs/>
        </w:rPr>
        <w:t xml:space="preserve">What this is. </w:t>
      </w:r>
      <w:r>
        <w:t xml:space="preserve">A day-by-day plan for your first two weeks, a thematic plan for the next two months, and milestone goals for the next two years — built directly from your two documents: the population-genetics primer and the </w:t>
      </w:r>
      <w:r>
        <w:rPr>
          <w:i/>
          <w:iCs/>
        </w:rPr>
        <w:t xml:space="preserve">Lucas Exercise 1</w:t>
      </w:r>
      <w:r>
        <w:t xml:space="preserve"> protocol (v3.1).</w:t>
      </w:r>
    </w:p>
    <w:p>
      <w:pPr>
        <w:spacing w:after="120" w:line="276"/>
      </w:pPr>
      <w:r>
        <w:rPr>
          <w:b/>
          <w:bCs/>
        </w:rPr>
        <w:t xml:space="preserve">Assumptions. </w:t>
      </w:r>
      <w:r>
        <w:t xml:space="preserve">You are working on this roughly full-time on weekdays; weekends are light/catch-up. Adjust freely — the </w:t>
      </w:r>
      <w:r>
        <w:rPr>
          <w:i/>
          <w:iCs/>
        </w:rPr>
        <w:t xml:space="preserve">sequence</w:t>
      </w:r>
      <w:r>
        <w:t xml:space="preserve"> matters more than the exact calendar. Confirm scope and the locus source with your PI in week one.</w:t>
      </w:r>
    </w:p>
    <w:p>
      <w:pPr>
        <w:spacing w:after="120" w:line="276"/>
      </w:pPr>
      <w:r>
        <w:rPr>
          <w:b/>
          <w:bCs/>
        </w:rPr>
        <w:t xml:space="preserve">Note. </w:t>
      </w:r>
      <w:r>
        <w:t xml:space="preserve">This version assumes you have </w:t>
      </w:r>
      <w:r>
        <w:rPr>
          <w:i/>
          <w:iCs/>
        </w:rPr>
        <w:t xml:space="preserve">already read the population-genetics primer</w:t>
      </w:r>
      <w:r>
        <w:t xml:space="preserve">, so the concept ramp is removed and hands-on work starts in week one — putting you roughly a week ahead of a cold start.</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Standing habits (all two years)</w:t>
      </w:r>
    </w:p>
    <w:p>
      <w:pPr>
        <w:spacing w:after="120" w:line="276"/>
      </w:pPr>
      <w:r>
        <w:t xml:space="preserve">Four disciplines the protocol keeps returning to. Build them now; they are what make the work defensible.</w:t>
      </w:r>
    </w:p>
    <w:p>
      <w:pPr>
        <w:pStyle w:val="ListParagraph"/>
        <w:numPr>
          <w:ilvl w:val="0"/>
          <w:numId w:val="2"/>
        </w:numPr>
        <w:spacing w:after="60" w:line="264"/>
      </w:pPr>
      <w:r>
        <w:rPr>
          <w:b/>
          <w:bCs/>
        </w:rPr>
        <w:t xml:space="preserve">Keep a lab notebook / project README. </w:t>
      </w:r>
      <w:r>
        <w:t xml:space="preserve">Every decision, every allele correction, every threshold, dated. “A caveat with containment is a strength.”</w:t>
      </w:r>
    </w:p>
    <w:p>
      <w:pPr>
        <w:pStyle w:val="ListParagraph"/>
        <w:numPr>
          <w:ilvl w:val="0"/>
          <w:numId w:val="2"/>
        </w:numPr>
        <w:spacing w:after="60" w:line="264"/>
      </w:pPr>
      <w:r>
        <w:rPr>
          <w:b/>
          <w:bCs/>
        </w:rPr>
        <w:t xml:space="preserve">Work reproducibly. </w:t>
      </w:r>
      <w:r>
        <w:t xml:space="preserve">Scripts, not manual copy-paste from web tools. Version your master table. Anyone should be able to re-run your pipeline.</w:t>
      </w:r>
    </w:p>
    <w:p>
      <w:pPr>
        <w:pStyle w:val="ListParagraph"/>
        <w:numPr>
          <w:ilvl w:val="0"/>
          <w:numId w:val="2"/>
        </w:numPr>
        <w:spacing w:after="60" w:line="264"/>
      </w:pPr>
      <w:r>
        <w:rPr>
          <w:b/>
          <w:bCs/>
        </w:rPr>
        <w:t xml:space="preserve">Separate the four layers of interpretation. </w:t>
      </w:r>
      <w:r>
        <w:t xml:space="preserve">Observation → robust observation → evolutionary model → biological hypothesis. Never let them blur in your notes or figures.</w:t>
      </w:r>
    </w:p>
    <w:p>
      <w:pPr>
        <w:pStyle w:val="ListParagraph"/>
        <w:numPr>
          <w:ilvl w:val="0"/>
          <w:numId w:val="2"/>
        </w:numPr>
        <w:spacing w:after="60" w:line="264"/>
      </w:pPr>
      <w:r>
        <w:rPr>
          <w:b/>
          <w:bCs/>
        </w:rPr>
        <w:t xml:space="preserve">Run the reviewer reflex. </w:t>
      </w:r>
      <w:r>
        <w:t xml:space="preserve">Every time you see a signal, ask first: “what non-selective process — demography, drift, ascertainment, or an allele error could have produced this?” A clean negative beats an over-interpreted positive.</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F0F6" w:sz="1"/>
              <w:left w:val="single" w:color="1F3A5F" w:sz="18"/>
              <w:bottom w:val="single" w:color="EAF0F6" w:sz="1"/>
              <w:right w:val="single" w:color="EAF0F6" w:sz="1"/>
            </w:tcBorders>
            <w:shd w:fill="EAF0F6" w:val="clear"/>
            <w:tcMar>
              <w:top w:type="dxa" w:w="120"/>
              <w:left w:type="dxa" w:w="160"/>
              <w:bottom w:type="dxa" w:w="120"/>
              <w:right w:type="dxa" w:w="160"/>
            </w:tcMar>
          </w:tcPr>
          <w:p>
            <w:pPr>
              <w:spacing w:after="60"/>
            </w:pPr>
            <w:r>
              <w:rPr>
                <w:b/>
                <w:bCs/>
                <w:color w:val="1F3A5F"/>
                <w:sz w:val="20"/>
                <w:szCs w:val="20"/>
              </w:rPr>
              <w:t xml:space="preserve">The one idea under everything</w:t>
            </w:r>
          </w:p>
          <w:p>
            <w:pPr>
              <w:spacing w:after="0"/>
            </w:pPr>
            <w:r>
              <w:t xml:space="preserve">Selection is never observed directly. It is </w:t>
            </w:r>
            <w:r>
              <w:rPr>
                <w:b/>
                <w:bCs/>
              </w:rPr>
              <w:t xml:space="preserve">inferred as a deviation</w:t>
            </w:r>
            <w:r>
              <w:t xml:space="preserve"> from what drift and population history alone would produce. Every method you learn is either a way to measure that deviation, or a way to prove it isn’t an artifact.</w:t>
            </w:r>
          </w:p>
        </w:tc>
      </w:tr>
    </w:tbl>
    <w:p>
      <w:r>
        <w:br w:type="page"/>
      </w:r>
    </w:p>
    <w:p>
      <w:pPr>
        <w:pStyle w:val="Heading1"/>
      </w:pPr>
      <w:r>
        <w:t xml:space="preserve">The next two weeks — day by day</w:t>
      </w:r>
    </w:p>
    <w:p>
      <w:pPr>
        <w:spacing w:after="120" w:line="276"/>
      </w:pPr>
      <w:r>
        <w:rPr>
          <w:b/>
          <w:bCs/>
        </w:rPr>
        <w:t xml:space="preserve">Goal: </w:t>
      </w:r>
      <w:r>
        <w:t xml:space="preserve">you’ve already read the primer, so skip the concept ramp. Go straight to the three core papers, stand up your tools, harmonize the 10 pilot loci, and end the fortnight with real 1000 Genomes allele frequencies in hand — roughly a week ahead of a cold 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6EEE6" w:sz="1"/>
              <w:left w:val="single" w:color="C4602D" w:sz="18"/>
              <w:bottom w:val="single" w:color="F6EEE6" w:sz="1"/>
              <w:right w:val="single" w:color="F6EEE6" w:sz="1"/>
            </w:tcBorders>
            <w:shd w:fill="F6EEE6" w:val="clear"/>
            <w:tcMar>
              <w:top w:type="dxa" w:w="120"/>
              <w:left w:type="dxa" w:w="160"/>
              <w:bottom w:type="dxa" w:w="120"/>
              <w:right w:type="dxa" w:w="160"/>
            </w:tcMar>
          </w:tcPr>
          <w:p>
            <w:pPr>
              <w:spacing w:after="60"/>
            </w:pPr>
            <w:r>
              <w:rPr>
                <w:b/>
                <w:bCs/>
                <w:color w:val="C4602D"/>
                <w:sz w:val="20"/>
                <w:szCs w:val="20"/>
              </w:rPr>
              <w:t xml:space="preserve">Do this on Day 1, before anything else</w:t>
            </w:r>
          </w:p>
          <w:p>
            <w:pPr>
              <w:spacing w:after="0"/>
            </w:pPr>
            <w:r>
              <w:rPr>
                <w:b/>
                <w:bCs/>
              </w:rPr>
              <w:t xml:space="preserve">Start the data-access paperwork. </w:t>
            </w:r>
            <w:r>
              <w:t xml:space="preserve">For this project the resource to apply for is ADSP via NIAGADS DSS (the GRCh38 build) — talk to your PI and sponsored-programs office about an eRA Commons account and the data-use request, and ask whether the lab already holds ADSP/NIAGADS access. Approvals are the rate-limiting step of year one. You need none of it to start: 1000 Genomes is open, so the whole pilot proceeds in parallel while the queue moves.</w:t>
            </w:r>
          </w:p>
        </w:tc>
      </w:tr>
    </w:tbl>
    <w:p>
      <w:pPr>
        <w:spacing w:after="40"/>
      </w:pPr>
      <w:r>
        <w:t xml:space="preserve"/>
      </w:r>
    </w:p>
    <w:p>
      <w:pPr>
        <w:pStyle w:val="Heading2"/>
      </w:pPr>
      <w:r>
        <w:t xml:space="preserve">Week 1 — Papers, tooling, and starting the build</w:t>
      </w:r>
    </w:p>
    <w:p>
      <w:pPr>
        <w:spacing w:after="60" w:before="160"/>
      </w:pPr>
      <w:r>
        <w:rPr>
          <w:b/>
          <w:bCs/>
          <w:color w:val="1F3A5F"/>
          <w:sz w:val="24"/>
          <w:szCs w:val="24"/>
        </w:rPr>
        <w:t xml:space="preserve">Day 1 (Mon)</w:t>
      </w:r>
      <w:r>
        <w:rPr>
          <w:b/>
          <w:bCs/>
          <w:color w:val="C4602D"/>
          <w:sz w:val="22"/>
          <w:szCs w:val="22"/>
        </w:rPr>
        <w:t xml:space="preserve">  —  Data access + environment live</w:t>
      </w:r>
    </w:p>
    <w:p>
      <w:pPr>
        <w:pStyle w:val="ListParagraph"/>
        <w:numPr>
          <w:ilvl w:val="0"/>
          <w:numId w:val="2"/>
        </w:numPr>
        <w:spacing w:after="60" w:line="264"/>
      </w:pPr>
      <w:r>
        <w:rPr>
          <w:b/>
          <w:bCs/>
        </w:rPr>
        <w:t xml:space="preserve">Start the ADSP/NIAGADS paperwork </w:t>
      </w:r>
      <w:r>
        <w:t xml:space="preserve">(see box above) — the AD-specific resource; 1000 Genomes itself needs no application.</w:t>
      </w:r>
    </w:p>
    <w:p>
      <w:pPr>
        <w:pStyle w:val="ListParagraph"/>
        <w:numPr>
          <w:ilvl w:val="0"/>
          <w:numId w:val="2"/>
        </w:numPr>
        <w:spacing w:after="60" w:line="264"/>
      </w:pPr>
      <w:r>
        <w:rPr>
          <w:b/>
          <w:bCs/>
        </w:rPr>
        <w:t xml:space="preserve">Create the conda environment </w:t>
      </w:r>
      <w:r>
        <w:t xml:space="preserve">(environment.yml) and smoke-test the pipeline: run scripts/00_get_1000g.sh to pull the APOE region. First real data on Day 1.</w:t>
      </w:r>
    </w:p>
    <w:p>
      <w:pPr>
        <w:pStyle w:val="ListParagraph"/>
        <w:numPr>
          <w:ilvl w:val="0"/>
          <w:numId w:val="2"/>
        </w:numPr>
        <w:spacing w:after="60" w:line="264"/>
      </w:pPr>
      <w:r>
        <w:rPr>
          <w:b/>
          <w:bCs/>
        </w:rPr>
        <w:t xml:space="preserve">Refresh, don’t re-read: </w:t>
      </w:r>
      <w:r>
        <w:t xml:space="preserve">rebuild the primer’s statistic → footprint → timescale table from memory — it becomes your working reference.</w:t>
      </w:r>
    </w:p>
    <w:p>
      <w:pPr>
        <w:spacing w:after="60" w:before="160"/>
      </w:pPr>
      <w:r>
        <w:rPr>
          <w:b/>
          <w:bCs/>
          <w:color w:val="1F3A5F"/>
          <w:sz w:val="24"/>
          <w:szCs w:val="24"/>
        </w:rPr>
        <w:t xml:space="preserve">Day 2 (Tue)</w:t>
      </w:r>
      <w:r>
        <w:rPr>
          <w:b/>
          <w:bCs/>
          <w:color w:val="C4602D"/>
          <w:sz w:val="22"/>
          <w:szCs w:val="22"/>
        </w:rPr>
        <w:t xml:space="preserve">  —  Paper 1 — Vitti, Grossman &amp; Sabeti (2013)</w:t>
      </w:r>
    </w:p>
    <w:p>
      <w:pPr>
        <w:pStyle w:val="ListParagraph"/>
        <w:numPr>
          <w:ilvl w:val="0"/>
          <w:numId w:val="2"/>
        </w:numPr>
        <w:spacing w:after="60" w:line="264"/>
      </w:pPr>
      <w:r>
        <w:rPr>
          <w:b/>
          <w:bCs/>
        </w:rPr>
        <w:t xml:space="preserve">Read fast, for the map not the algebra. </w:t>
      </w:r>
      <w:r>
        <w:t xml:space="preserve">You know the concepts; mine it for the catalogue of footprints and statistics.</w:t>
      </w:r>
    </w:p>
    <w:p>
      <w:pPr>
        <w:pStyle w:val="ListParagraph"/>
        <w:numPr>
          <w:ilvl w:val="0"/>
          <w:numId w:val="2"/>
        </w:numPr>
        <w:spacing w:after="60" w:line="264"/>
      </w:pPr>
      <w:r>
        <w:rPr>
          <w:b/>
          <w:bCs/>
        </w:rPr>
        <w:t xml:space="preserve">Finalize your statistic → footprint → timescale table </w:t>
      </w:r>
      <w:r>
        <w:t xml:space="preserve">against the paper — your reference for the whole project.</w:t>
      </w:r>
    </w:p>
    <w:p>
      <w:pPr>
        <w:spacing w:after="60" w:before="160"/>
      </w:pPr>
      <w:r>
        <w:rPr>
          <w:b/>
          <w:bCs/>
          <w:color w:val="1F3A5F"/>
          <w:sz w:val="24"/>
          <w:szCs w:val="24"/>
        </w:rPr>
        <w:t xml:space="preserve">Day 3 (Wed)</w:t>
      </w:r>
      <w:r>
        <w:rPr>
          <w:b/>
          <w:bCs/>
          <w:color w:val="C4602D"/>
          <w:sz w:val="22"/>
          <w:szCs w:val="22"/>
        </w:rPr>
        <w:t xml:space="preserve">  —  Paper 2 — Cheng &amp; Steinrücken (2024)</w:t>
      </w:r>
    </w:p>
    <w:p>
      <w:pPr>
        <w:pStyle w:val="ListParagraph"/>
        <w:numPr>
          <w:ilvl w:val="0"/>
          <w:numId w:val="2"/>
        </w:numPr>
        <w:spacing w:after="60" w:line="264"/>
      </w:pPr>
      <w:r>
        <w:rPr>
          <w:b/>
          <w:bCs/>
        </w:rPr>
        <w:t xml:space="preserve">One focused pass. </w:t>
      </w:r>
      <w:r>
        <w:t xml:space="preserve">The coalescent and demography-vs-selection logic you already have, so read for the modern methods and the tool names you’ll use: Relate, tsinfer/tsdate, dadi, PSMC/MSMC, S/HIC.</w:t>
      </w:r>
    </w:p>
    <w:p>
      <w:pPr>
        <w:pStyle w:val="ListParagraph"/>
        <w:numPr>
          <w:ilvl w:val="0"/>
          <w:numId w:val="2"/>
        </w:numPr>
        <w:spacing w:after="60" w:line="264"/>
      </w:pPr>
      <w:r>
        <w:rPr>
          <w:b/>
          <w:bCs/>
        </w:rPr>
        <w:t xml:space="preserve">Note which tool maps to which stage </w:t>
      </w:r>
      <w:r>
        <w:t xml:space="preserve">of your project, in your README.</w:t>
      </w:r>
    </w:p>
    <w:p>
      <w:pPr>
        <w:spacing w:after="60" w:before="160"/>
      </w:pPr>
      <w:r>
        <w:rPr>
          <w:b/>
          <w:bCs/>
          <w:color w:val="1F3A5F"/>
          <w:sz w:val="24"/>
          <w:szCs w:val="24"/>
        </w:rPr>
        <w:t xml:space="preserve">Day 4 (Thu)</w:t>
      </w:r>
      <w:r>
        <w:rPr>
          <w:b/>
          <w:bCs/>
          <w:color w:val="C4602D"/>
          <w:sz w:val="22"/>
          <w:szCs w:val="22"/>
        </w:rPr>
        <w:t xml:space="preserve">  —  Paper 3 — Mills &amp; Mathieson (2022) + PI check-in</w:t>
      </w:r>
    </w:p>
    <w:p>
      <w:pPr>
        <w:pStyle w:val="ListParagraph"/>
        <w:numPr>
          <w:ilvl w:val="0"/>
          <w:numId w:val="2"/>
        </w:numPr>
        <w:spacing w:after="60" w:line="264"/>
      </w:pPr>
      <w:r>
        <w:rPr>
          <w:b/>
          <w:bCs/>
        </w:rPr>
        <w:t xml:space="preserve">Read for failure modes: </w:t>
      </w:r>
      <w:r>
        <w:t xml:space="preserve">the height-selection retraction, polygenic selection, stratification, ancient DNA. Lock in the reviewer reflex.</w:t>
      </w:r>
    </w:p>
    <w:p>
      <w:pPr>
        <w:pStyle w:val="ListParagraph"/>
        <w:numPr>
          <w:ilvl w:val="0"/>
          <w:numId w:val="2"/>
        </w:numPr>
        <w:spacing w:after="60" w:line="264"/>
      </w:pPr>
      <w:r>
        <w:rPr>
          <w:b/>
          <w:bCs/>
        </w:rPr>
        <w:t xml:space="preserve">Meet your PI: </w:t>
      </w:r>
      <w:r>
        <w:t xml:space="preserve">confirm the locus source (Bellenguez 2026 supplement), the pilot scope, and whether the lab already holds ADSP/NIAGADS access.</w:t>
      </w:r>
    </w:p>
    <w:p>
      <w:pPr>
        <w:spacing w:after="60" w:before="160"/>
      </w:pPr>
      <w:r>
        <w:rPr>
          <w:b/>
          <w:bCs/>
          <w:color w:val="1F3A5F"/>
          <w:sz w:val="24"/>
          <w:szCs w:val="24"/>
        </w:rPr>
        <w:t xml:space="preserve">Day 5 (Fri)</w:t>
      </w:r>
      <w:r>
        <w:rPr>
          <w:b/>
          <w:bCs/>
          <w:color w:val="C4602D"/>
          <w:sz w:val="22"/>
          <w:szCs w:val="22"/>
        </w:rPr>
        <w:t xml:space="preserve">  —  Master table schema + extract pilot loci</w:t>
      </w:r>
    </w:p>
    <w:p>
      <w:pPr>
        <w:pStyle w:val="ListParagraph"/>
        <w:numPr>
          <w:ilvl w:val="0"/>
          <w:numId w:val="2"/>
        </w:numPr>
        <w:spacing w:after="60" w:line="264"/>
      </w:pPr>
      <w:r>
        <w:rPr>
          <w:b/>
          <w:bCs/>
        </w:rPr>
        <w:t xml:space="preserve">Pull the Bellenguez 2026 supplementary tables </w:t>
      </w:r>
      <w:r>
        <w:t xml:space="preserve">into data/raw/.</w:t>
      </w:r>
    </w:p>
    <w:p>
      <w:pPr>
        <w:pStyle w:val="ListParagraph"/>
        <w:numPr>
          <w:ilvl w:val="0"/>
          <w:numId w:val="2"/>
        </w:numPr>
        <w:spacing w:after="60" w:line="264"/>
      </w:pPr>
      <w:r>
        <w:rPr>
          <w:b/>
          <w:bCs/>
        </w:rPr>
        <w:t xml:space="preserve">Build the master table schema </w:t>
      </w:r>
      <w:r>
        <w:t xml:space="preserve">(protocol §18) and extract the 10 pilot lead SNPs (APOE/TOMM40, BIN1, CLU, ABCA7, TREM2, CR1, MS4A, SORL1, INPP5D, HLA) into it.</w:t>
      </w:r>
    </w:p>
    <w:p>
      <w:pPr>
        <w:spacing w:after="120" w:line="276"/>
      </w:pPr>
      <w:r>
        <w:rPr>
          <w:i/>
          <w:iCs/>
        </w:rPr>
        <w:t xml:space="preserve">Weekend (light): </w:t>
      </w:r>
      <w:r>
        <w:t xml:space="preserve">optional — Shi &amp; Holtzman (2018) on innate immunity and Alzheimer’s (APOE, TREM2); skim Williams (1957) on pleiotropy and senescence if you haven’t.</w:t>
      </w:r>
    </w:p>
    <w:p>
      <w:pPr>
        <w:pStyle w:val="Heading2"/>
      </w:pPr>
      <w:r>
        <w:t xml:space="preserve">Week 2 — Hands-on: harmonize and get real frequencies</w:t>
      </w:r>
    </w:p>
    <w:p>
      <w:pPr>
        <w:spacing w:after="60" w:before="160"/>
      </w:pPr>
      <w:r>
        <w:rPr>
          <w:b/>
          <w:bCs/>
          <w:color w:val="1F3A5F"/>
          <w:sz w:val="24"/>
          <w:szCs w:val="24"/>
        </w:rPr>
        <w:t xml:space="preserve">Day 6 (Mon)</w:t>
      </w:r>
      <w:r>
        <w:rPr>
          <w:b/>
          <w:bCs/>
          <w:color w:val="C4602D"/>
          <w:sz w:val="22"/>
          <w:szCs w:val="22"/>
        </w:rPr>
        <w:t xml:space="preserve">  —  Allele harmonization</w:t>
      </w:r>
    </w:p>
    <w:p>
      <w:pPr>
        <w:pStyle w:val="ListParagraph"/>
        <w:numPr>
          <w:ilvl w:val="0"/>
          <w:numId w:val="2"/>
        </w:numPr>
        <w:spacing w:after="60" w:line="264"/>
      </w:pPr>
      <w:r>
        <w:rPr>
          <w:b/>
          <w:bCs/>
        </w:rPr>
        <w:t xml:space="preserve">Harmonize each pilot locus: </w:t>
      </w:r>
      <w:r>
        <w:t xml:space="preserve">rsID → chr:pos:REF:ALT in GRCh38 via Ensembl/VEP; record effect allele and risk allele from the source.</w:t>
      </w:r>
    </w:p>
    <w:p>
      <w:pPr>
        <w:pStyle w:val="ListParagraph"/>
        <w:numPr>
          <w:ilvl w:val="0"/>
          <w:numId w:val="2"/>
        </w:numPr>
        <w:spacing w:after="60" w:line="264"/>
      </w:pPr>
      <w:r>
        <w:rPr>
          <w:b/>
          <w:bCs/>
        </w:rPr>
        <w:t xml:space="preserve">Flag the traps: </w:t>
      </w:r>
      <w:r>
        <w:t xml:space="preserve">palindromic (A/T, C/G) SNPs, multi-allelic sites, indels, merged/split rsIDs. Flag rather than guess.</w:t>
      </w:r>
    </w:p>
    <w:p>
      <w:pPr>
        <w:spacing w:after="60" w:before="160"/>
      </w:pPr>
      <w:r>
        <w:rPr>
          <w:b/>
          <w:bCs/>
          <w:color w:val="1F3A5F"/>
          <w:sz w:val="24"/>
          <w:szCs w:val="24"/>
        </w:rPr>
        <w:t xml:space="preserve">Day 7 (Tue)</w:t>
      </w:r>
      <w:r>
        <w:rPr>
          <w:b/>
          <w:bCs/>
          <w:color w:val="C4602D"/>
          <w:sz w:val="22"/>
          <w:szCs w:val="22"/>
        </w:rPr>
        <w:t xml:space="preserve">  —  Audit, freeze v1, populate regions</w:t>
      </w:r>
    </w:p>
    <w:p>
      <w:pPr>
        <w:pStyle w:val="ListParagraph"/>
        <w:numPr>
          <w:ilvl w:val="0"/>
          <w:numId w:val="2"/>
        </w:numPr>
        <w:spacing w:after="60" w:line="264"/>
      </w:pPr>
      <w:r>
        <w:rPr>
          <w:b/>
          <w:bCs/>
        </w:rPr>
        <w:t xml:space="preserve">Audit the harmonization twice; </w:t>
      </w:r>
      <w:r>
        <w:t xml:space="preserve">compare reported effect-allele frequency against 1000G EUR.</w:t>
      </w:r>
    </w:p>
    <w:p>
      <w:pPr>
        <w:pStyle w:val="ListParagraph"/>
        <w:numPr>
          <w:ilvl w:val="0"/>
          <w:numId w:val="2"/>
        </w:numPr>
        <w:spacing w:after="60" w:line="264"/>
      </w:pPr>
      <w:r>
        <w:rPr>
          <w:b/>
          <w:bCs/>
        </w:rPr>
        <w:t xml:space="preserve">Freeze master_table_v1 </w:t>
      </w:r>
      <w:r>
        <w:t xml:space="preserve">in results/, and populate refs/pilot_regions.tsv with each locus’s coordinates.</w:t>
      </w:r>
    </w:p>
    <w:p>
      <w:pPr>
        <w:spacing w:after="60" w:before="160"/>
      </w:pPr>
      <w:r>
        <w:rPr>
          <w:b/>
          <w:bCs/>
          <w:color w:val="1F3A5F"/>
          <w:sz w:val="24"/>
          <w:szCs w:val="24"/>
        </w:rPr>
        <w:t xml:space="preserve">Day 8 (Wed)</w:t>
      </w:r>
      <w:r>
        <w:rPr>
          <w:b/>
          <w:bCs/>
          <w:color w:val="C4602D"/>
          <w:sz w:val="22"/>
          <w:szCs w:val="22"/>
        </w:rPr>
        <w:t xml:space="preserve">  —  Pull 1000G data for all pilot loci</w:t>
      </w:r>
    </w:p>
    <w:p>
      <w:pPr>
        <w:pStyle w:val="ListParagraph"/>
        <w:numPr>
          <w:ilvl w:val="0"/>
          <w:numId w:val="2"/>
        </w:numPr>
        <w:spacing w:after="60" w:line="264"/>
      </w:pPr>
      <w:r>
        <w:rPr>
          <w:b/>
          <w:bCs/>
        </w:rPr>
        <w:t xml:space="preserve">Run scripts/00_get_1000g.sh </w:t>
      </w:r>
      <w:r>
        <w:t xml:space="preserve">across the full pilot_regions.tsv; verify each region VCF and the sample → population panel.</w:t>
      </w:r>
    </w:p>
    <w:p>
      <w:pPr>
        <w:spacing w:after="60" w:before="160"/>
      </w:pPr>
      <w:r>
        <w:rPr>
          <w:b/>
          <w:bCs/>
          <w:color w:val="1F3A5F"/>
          <w:sz w:val="24"/>
          <w:szCs w:val="24"/>
        </w:rPr>
        <w:t xml:space="preserve">Day 9 (Thu)</w:t>
      </w:r>
      <w:r>
        <w:rPr>
          <w:b/>
          <w:bCs/>
          <w:color w:val="C4602D"/>
          <w:sz w:val="22"/>
          <w:szCs w:val="22"/>
        </w:rPr>
        <w:t xml:space="preserve">  —  First allele-frequency analysis</w:t>
      </w:r>
    </w:p>
    <w:p>
      <w:pPr>
        <w:pStyle w:val="ListParagraph"/>
        <w:numPr>
          <w:ilvl w:val="0"/>
          <w:numId w:val="2"/>
        </w:numPr>
        <w:spacing w:after="60" w:line="264"/>
      </w:pPr>
      <w:r>
        <w:rPr>
          <w:b/>
          <w:bCs/>
        </w:rPr>
        <w:t xml:space="preserve">Write scripts/02_allele_frequencies.py: </w:t>
      </w:r>
      <w:r>
        <w:t xml:space="preserve">risk-allele AF per super-population (AFR/EUR/EAS/SAS/AMR), ΔAF, and rare/missingness flags.</w:t>
      </w:r>
    </w:p>
    <w:p>
      <w:pPr>
        <w:pStyle w:val="ListParagraph"/>
        <w:numPr>
          <w:ilvl w:val="0"/>
          <w:numId w:val="2"/>
        </w:numPr>
        <w:spacing w:after="60" w:line="264"/>
      </w:pPr>
      <w:r>
        <w:rPr>
          <w:b/>
          <w:bCs/>
        </w:rPr>
        <w:t xml:space="preserve">Treat ΔAF as a descriptive flag, </w:t>
      </w:r>
      <w:r>
        <w:t xml:space="preserve">not a test of selection.</w:t>
      </w:r>
    </w:p>
    <w:p>
      <w:pPr>
        <w:spacing w:after="60" w:before="160"/>
      </w:pPr>
      <w:r>
        <w:rPr>
          <w:b/>
          <w:bCs/>
          <w:color w:val="1F3A5F"/>
          <w:sz w:val="24"/>
          <w:szCs w:val="24"/>
        </w:rPr>
        <w:t xml:space="preserve">Day 10 (Fri)</w:t>
      </w:r>
      <w:r>
        <w:rPr>
          <w:b/>
          <w:bCs/>
          <w:color w:val="C4602D"/>
          <w:sz w:val="22"/>
          <w:szCs w:val="22"/>
        </w:rPr>
        <w:t xml:space="preserve">  —  First plots + checkpoint</w:t>
      </w:r>
    </w:p>
    <w:p>
      <w:pPr>
        <w:pStyle w:val="ListParagraph"/>
        <w:numPr>
          <w:ilvl w:val="0"/>
          <w:numId w:val="2"/>
        </w:numPr>
        <w:spacing w:after="60" w:line="264"/>
      </w:pPr>
      <w:r>
        <w:rPr>
          <w:b/>
          <w:bCs/>
        </w:rPr>
        <w:t xml:space="preserve">Plot per-population frequencies </w:t>
      </w:r>
      <w:r>
        <w:t xml:space="preserve">for the 10 loci; write a dated notebook entry.</w:t>
      </w:r>
    </w:p>
    <w:p>
      <w:pPr>
        <w:pStyle w:val="ListParagraph"/>
        <w:numPr>
          <w:ilvl w:val="0"/>
          <w:numId w:val="2"/>
        </w:numPr>
        <w:spacing w:after="60" w:line="264"/>
      </w:pPr>
      <w:r>
        <w:rPr>
          <w:b/>
          <w:bCs/>
        </w:rPr>
        <w:t xml:space="preserve">Two-week checkpoint: </w:t>
      </w:r>
      <w:r>
        <w:t xml:space="preserve">papers read, environment live, master_table_v1 frozen, and real 1000G frequencies computed for all pilot loci — about a week ahead of the original plan. Send your PI a short progress note.</w:t>
      </w:r>
    </w:p>
    <w:p>
      <w:pPr>
        <w:spacing w:after="120" w:line="276"/>
      </w:pPr>
      <w:r>
        <w:rPr>
          <w:i/>
          <w:iCs/>
        </w:rPr>
        <w:t xml:space="preserve">Weekend: </w:t>
      </w:r>
      <w:r>
        <w:t xml:space="preserve">rest.</w:t>
      </w:r>
    </w:p>
    <w:p>
      <w:r>
        <w:br w:type="page"/>
      </w:r>
    </w:p>
    <w:p>
      <w:pPr>
        <w:pStyle w:val="Heading1"/>
      </w:pPr>
      <w:r>
        <w:t xml:space="preserve">The next two months — mid-term goals</w:t>
      </w:r>
    </w:p>
    <w:p>
      <w:pPr>
        <w:spacing w:after="120" w:line="276"/>
      </w:pPr>
      <w:r>
        <w:rPr>
          <w:b/>
          <w:bCs/>
        </w:rPr>
        <w:t xml:space="preserve">Goal: </w:t>
      </w:r>
      <w:r>
        <w:t xml:space="preserve">with pilot frequencies already done in week 2, use the head start to move through LD, selection annotation, functional annotation, and sensitivity analyses, scale to all 91 loci, and begin the modern (ARG / demographic) toolkit earlier than a cold start would allow.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400"/>
        <w:gridCol w:w="4060"/>
      </w:tblGrid>
      <w:tr>
        <w:trPr>
          <w:tblHeader/>
        </w:trPr>
        <w:tc>
          <w:tcPr>
            <w:tcW w:type="dxa" w:w="90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pPr>
              <w:spacing w:after="0"/>
            </w:pPr>
            <w:r>
              <w:rPr>
                <w:b/>
                <w:bCs/>
                <w:color w:val="FFFFFF"/>
                <w:sz w:val="19"/>
                <w:szCs w:val="19"/>
              </w:rPr>
              <w:t xml:space="preserve">Weeks</w:t>
            </w:r>
          </w:p>
        </w:tc>
        <w:tc>
          <w:tcPr>
            <w:tcW w:type="dxa" w:w="440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pPr>
              <w:spacing w:after="0"/>
            </w:pPr>
            <w:r>
              <w:rPr>
                <w:b/>
                <w:bCs/>
                <w:color w:val="FFFFFF"/>
                <w:sz w:val="19"/>
                <w:szCs w:val="19"/>
              </w:rPr>
              <w:t xml:space="preserve">Focus</w:t>
            </w:r>
          </w:p>
        </w:tc>
        <w:tc>
          <w:tcPr>
            <w:tcW w:type="dxa" w:w="406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pPr>
              <w:spacing w:after="0"/>
            </w:pPr>
            <w:r>
              <w:rPr>
                <w:b/>
                <w:bCs/>
                <w:color w:val="FFFFFF"/>
                <w:sz w:val="19"/>
                <w:szCs w:val="19"/>
              </w:rPr>
              <w:t xml:space="preserve">Deliverable</w:t>
            </w:r>
          </w:p>
        </w:tc>
      </w:tr>
      <w:tr>
        <w:trPr>
          <w:tblHeader w:val="false"/>
        </w:trPr>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spacing w:after="0"/>
            </w:pPr>
            <w:r>
              <w:rPr>
                <w:b w:val="false"/>
                <w:bCs w:val="false"/>
                <w:color w:val="000000"/>
                <w:sz w:val="19"/>
                <w:szCs w:val="19"/>
              </w:rPr>
              <w:t xml:space="preserve">3</w:t>
            </w:r>
          </w:p>
        </w:tc>
        <w:tc>
          <w:tcPr>
            <w:tcW w:type="dxa" w:w="4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spacing w:after="0"/>
            </w:pPr>
            <w:r>
              <w:rPr>
                <w:b w:val="false"/>
                <w:bCs w:val="false"/>
                <w:color w:val="000000"/>
                <w:sz w:val="19"/>
                <w:szCs w:val="19"/>
              </w:rPr>
              <w:t xml:space="preserve">Ancestry-specific LD and portability for the pilot loci: retrieve proxies (r²≥0.8 and ≥0.6) across EUR/AFR/EAS/SAS/AMR and classify portable / partial / non-portable. In parallel, scale the frequency step to all 91 loci.</w:t>
            </w:r>
          </w:p>
        </w:tc>
        <w:tc>
          <w:tcPr>
            <w:tcW w:type="dxa" w:w="40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spacing w:after="0"/>
            </w:pPr>
            <w:r>
              <w:rPr>
                <w:b w:val="false"/>
                <w:bCs w:val="false"/>
                <w:color w:val="000000"/>
                <w:sz w:val="19"/>
                <w:szCs w:val="19"/>
              </w:rPr>
              <w:t xml:space="preserve">LD portability summary; frequencies for all 91.</w:t>
            </w:r>
          </w:p>
        </w:tc>
      </w:tr>
      <w:tr>
        <w:trPr>
          <w:tblHeader w:val="false"/>
        </w:trPr>
        <w:tc>
          <w:tcPr>
            <w:tcW w:type="dxa" w:w="900"/>
            <w:tcBorders>
              <w:top w:val="single" w:color="CCCCCC" w:sz="1"/>
              <w:left w:val="single" w:color="CCCCCC" w:sz="1"/>
              <w:bottom w:val="single" w:color="CCCCCC" w:sz="1"/>
              <w:right w:val="single" w:color="CCCCCC" w:sz="1"/>
            </w:tcBorders>
            <w:shd w:fill="F4F7FA" w:val="clear"/>
            <w:tcMar>
              <w:top w:type="dxa" w:w="70"/>
              <w:left w:type="dxa" w:w="110"/>
              <w:bottom w:type="dxa" w:w="70"/>
              <w:right w:type="dxa" w:w="110"/>
            </w:tcMar>
          </w:tcPr>
          <w:p>
            <w:pPr>
              <w:spacing w:after="0"/>
            </w:pPr>
            <w:r>
              <w:rPr>
                <w:b w:val="false"/>
                <w:bCs w:val="false"/>
                <w:color w:val="000000"/>
                <w:sz w:val="19"/>
                <w:szCs w:val="19"/>
              </w:rPr>
              <w:t xml:space="preserve">4</w:t>
            </w:r>
          </w:p>
        </w:tc>
        <w:tc>
          <w:tcPr>
            <w:tcW w:type="dxa" w:w="4400"/>
            <w:tcBorders>
              <w:top w:val="single" w:color="CCCCCC" w:sz="1"/>
              <w:left w:val="single" w:color="CCCCCC" w:sz="1"/>
              <w:bottom w:val="single" w:color="CCCCCC" w:sz="1"/>
              <w:right w:val="single" w:color="CCCCCC" w:sz="1"/>
            </w:tcBorders>
            <w:shd w:fill="F4F7FA" w:val="clear"/>
            <w:tcMar>
              <w:top w:type="dxa" w:w="70"/>
              <w:left w:type="dxa" w:w="110"/>
              <w:bottom w:type="dxa" w:w="70"/>
              <w:right w:type="dxa" w:w="110"/>
            </w:tcMar>
          </w:tcPr>
          <w:p>
            <w:pPr>
              <w:spacing w:after="0"/>
            </w:pPr>
            <w:r>
              <w:rPr>
                <w:b w:val="false"/>
                <w:bCs w:val="false"/>
                <w:color w:val="000000"/>
                <w:sz w:val="19"/>
                <w:szCs w:val="19"/>
              </w:rPr>
              <w:t xml:space="preserve">Precomputed selection annotation (1000G Selection Browser, PopHumanScan). Windows ±50/100/250/500 kb. Run positive controls (LCT, EDAR, SLC24A5, DARC) to prove the pipeline recovers known signals.</w:t>
            </w:r>
          </w:p>
        </w:tc>
        <w:tc>
          <w:tcPr>
            <w:tcW w:type="dxa" w:w="4060"/>
            <w:tcBorders>
              <w:top w:val="single" w:color="CCCCCC" w:sz="1"/>
              <w:left w:val="single" w:color="CCCCCC" w:sz="1"/>
              <w:bottom w:val="single" w:color="CCCCCC" w:sz="1"/>
              <w:right w:val="single" w:color="CCCCCC" w:sz="1"/>
            </w:tcBorders>
            <w:shd w:fill="F4F7FA" w:val="clear"/>
            <w:tcMar>
              <w:top w:type="dxa" w:w="70"/>
              <w:left w:type="dxa" w:w="110"/>
              <w:bottom w:type="dxa" w:w="70"/>
              <w:right w:type="dxa" w:w="110"/>
            </w:tcMar>
          </w:tcPr>
          <w:p>
            <w:pPr>
              <w:spacing w:after="0"/>
            </w:pPr>
            <w:r>
              <w:rPr>
                <w:b w:val="false"/>
                <w:bCs w:val="false"/>
                <w:color w:val="000000"/>
                <w:sz w:val="19"/>
                <w:szCs w:val="19"/>
              </w:rPr>
              <w:t xml:space="preserve">Selection-evidence table with caveat flags; controls recovered.</w:t>
            </w:r>
          </w:p>
        </w:tc>
      </w:tr>
      <w:tr>
        <w:trPr>
          <w:tblHeader w:val="false"/>
        </w:trPr>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spacing w:after="0"/>
            </w:pPr>
            <w:r>
              <w:rPr>
                <w:b w:val="false"/>
                <w:bCs w:val="false"/>
                <w:color w:val="000000"/>
                <w:sz w:val="19"/>
                <w:szCs w:val="19"/>
              </w:rPr>
              <w:t xml:space="preserve">5</w:t>
            </w:r>
          </w:p>
        </w:tc>
        <w:tc>
          <w:tcPr>
            <w:tcW w:type="dxa" w:w="4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spacing w:after="0"/>
            </w:pPr>
            <w:r>
              <w:rPr>
                <w:b w:val="false"/>
                <w:bCs w:val="false"/>
                <w:color w:val="000000"/>
                <w:sz w:val="19"/>
                <w:szCs w:val="19"/>
              </w:rPr>
              <w:t xml:space="preserve">Functional / disease-biology annotation (VEP, GWAS Catalog, Open Targets, eQTL). Evidence grading with the graded matrix + red-flag penalties.</w:t>
            </w:r>
          </w:p>
        </w:tc>
        <w:tc>
          <w:tcPr>
            <w:tcW w:type="dxa" w:w="40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spacing w:after="0"/>
            </w:pPr>
            <w:r>
              <w:rPr>
                <w:b w:val="false"/>
                <w:bCs w:val="false"/>
                <w:color w:val="000000"/>
                <w:sz w:val="19"/>
                <w:szCs w:val="19"/>
              </w:rPr>
              <w:t xml:space="preserve">One-page reports for the 10 pilot loci; preliminary ranking.</w:t>
            </w:r>
          </w:p>
        </w:tc>
      </w:tr>
      <w:tr>
        <w:trPr>
          <w:tblHeader w:val="false"/>
        </w:trPr>
        <w:tc>
          <w:tcPr>
            <w:tcW w:type="dxa" w:w="900"/>
            <w:tcBorders>
              <w:top w:val="single" w:color="CCCCCC" w:sz="1"/>
              <w:left w:val="single" w:color="CCCCCC" w:sz="1"/>
              <w:bottom w:val="single" w:color="CCCCCC" w:sz="1"/>
              <w:right w:val="single" w:color="CCCCCC" w:sz="1"/>
            </w:tcBorders>
            <w:shd w:fill="F4F7FA" w:val="clear"/>
            <w:tcMar>
              <w:top w:type="dxa" w:w="70"/>
              <w:left w:type="dxa" w:w="110"/>
              <w:bottom w:type="dxa" w:w="70"/>
              <w:right w:type="dxa" w:w="110"/>
            </w:tcMar>
          </w:tcPr>
          <w:p>
            <w:pPr>
              <w:spacing w:after="0"/>
            </w:pPr>
            <w:r>
              <w:rPr>
                <w:b w:val="false"/>
                <w:bCs w:val="false"/>
                <w:color w:val="000000"/>
                <w:sz w:val="19"/>
                <w:szCs w:val="19"/>
              </w:rPr>
              <w:t xml:space="preserve">6</w:t>
            </w:r>
          </w:p>
        </w:tc>
        <w:tc>
          <w:tcPr>
            <w:tcW w:type="dxa" w:w="4400"/>
            <w:tcBorders>
              <w:top w:val="single" w:color="CCCCCC" w:sz="1"/>
              <w:left w:val="single" w:color="CCCCCC" w:sz="1"/>
              <w:bottom w:val="single" w:color="CCCCCC" w:sz="1"/>
              <w:right w:val="single" w:color="CCCCCC" w:sz="1"/>
            </w:tcBorders>
            <w:shd w:fill="F4F7FA" w:val="clear"/>
            <w:tcMar>
              <w:top w:type="dxa" w:w="70"/>
              <w:left w:type="dxa" w:w="110"/>
              <w:bottom w:type="dxa" w:w="70"/>
              <w:right w:type="dxa" w:w="110"/>
            </w:tcMar>
          </w:tcPr>
          <w:p>
            <w:pPr>
              <w:spacing w:after="0"/>
            </w:pPr>
            <w:r>
              <w:rPr>
                <w:b w:val="false"/>
                <w:bCs w:val="false"/>
                <w:color w:val="000000"/>
                <w:sz w:val="19"/>
                <w:szCs w:val="19"/>
              </w:rPr>
              <w:t xml:space="preserve">Sensitivity analyses (window size, APOE/HLA exclusion, MAF bins, leave-one-resource-out) and the matched-null background prototype.</w:t>
            </w:r>
          </w:p>
        </w:tc>
        <w:tc>
          <w:tcPr>
            <w:tcW w:type="dxa" w:w="4060"/>
            <w:tcBorders>
              <w:top w:val="single" w:color="CCCCCC" w:sz="1"/>
              <w:left w:val="single" w:color="CCCCCC" w:sz="1"/>
              <w:bottom w:val="single" w:color="CCCCCC" w:sz="1"/>
              <w:right w:val="single" w:color="CCCCCC" w:sz="1"/>
            </w:tcBorders>
            <w:shd w:fill="F4F7FA" w:val="clear"/>
            <w:tcMar>
              <w:top w:type="dxa" w:w="70"/>
              <w:left w:type="dxa" w:w="110"/>
              <w:bottom w:type="dxa" w:w="70"/>
              <w:right w:type="dxa" w:w="110"/>
            </w:tcMar>
          </w:tcPr>
          <w:p>
            <w:pPr>
              <w:spacing w:after="0"/>
            </w:pPr>
            <w:r>
              <w:rPr>
                <w:b w:val="false"/>
                <w:bCs w:val="false"/>
                <w:color w:val="000000"/>
                <w:sz w:val="19"/>
                <w:szCs w:val="19"/>
              </w:rPr>
              <w:t xml:space="preserve">Sensitivity table; matched-null prototype.</w:t>
            </w:r>
          </w:p>
        </w:tc>
      </w:tr>
      <w:tr>
        <w:trPr>
          <w:tblHeader w:val="false"/>
        </w:trPr>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spacing w:after="0"/>
            </w:pPr>
            <w:r>
              <w:rPr>
                <w:b w:val="false"/>
                <w:bCs w:val="false"/>
                <w:color w:val="000000"/>
                <w:sz w:val="19"/>
                <w:szCs w:val="19"/>
              </w:rPr>
              <w:t xml:space="preserve">7</w:t>
            </w:r>
          </w:p>
        </w:tc>
        <w:tc>
          <w:tcPr>
            <w:tcW w:type="dxa" w:w="4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spacing w:after="0"/>
            </w:pPr>
            <w:r>
              <w:rPr>
                <w:b w:val="false"/>
                <w:bCs w:val="false"/>
                <w:color w:val="000000"/>
                <w:sz w:val="19"/>
                <w:szCs w:val="19"/>
              </w:rPr>
              <w:t xml:space="preserve">Scale the full pipeline to all 91 loci; run matched-null enrichment (1,000–10,000 matched sets for stable empirical p-values).</w:t>
            </w:r>
          </w:p>
        </w:tc>
        <w:tc>
          <w:tcPr>
            <w:tcW w:type="dxa" w:w="40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spacing w:after="0"/>
            </w:pPr>
            <w:r>
              <w:rPr>
                <w:b w:val="false"/>
                <w:bCs w:val="false"/>
                <w:color w:val="000000"/>
                <w:sz w:val="19"/>
                <w:szCs w:val="19"/>
              </w:rPr>
              <w:t xml:space="preserve">Genome-wide enrichment (or locus-prioritization) result.</w:t>
            </w:r>
          </w:p>
        </w:tc>
      </w:tr>
      <w:tr>
        <w:trPr>
          <w:tblHeader w:val="false"/>
        </w:trPr>
        <w:tc>
          <w:tcPr>
            <w:tcW w:type="dxa" w:w="900"/>
            <w:tcBorders>
              <w:top w:val="single" w:color="CCCCCC" w:sz="1"/>
              <w:left w:val="single" w:color="CCCCCC" w:sz="1"/>
              <w:bottom w:val="single" w:color="CCCCCC" w:sz="1"/>
              <w:right w:val="single" w:color="CCCCCC" w:sz="1"/>
            </w:tcBorders>
            <w:shd w:fill="F4F7FA" w:val="clear"/>
            <w:tcMar>
              <w:top w:type="dxa" w:w="70"/>
              <w:left w:type="dxa" w:w="110"/>
              <w:bottom w:type="dxa" w:w="70"/>
              <w:right w:type="dxa" w:w="110"/>
            </w:tcMar>
          </w:tcPr>
          <w:p>
            <w:pPr>
              <w:spacing w:after="0"/>
            </w:pPr>
            <w:r>
              <w:rPr>
                <w:b w:val="false"/>
                <w:bCs w:val="false"/>
                <w:color w:val="000000"/>
                <w:sz w:val="19"/>
                <w:szCs w:val="19"/>
              </w:rPr>
              <w:t xml:space="preserve">8</w:t>
            </w:r>
          </w:p>
        </w:tc>
        <w:tc>
          <w:tcPr>
            <w:tcW w:type="dxa" w:w="4400"/>
            <w:tcBorders>
              <w:top w:val="single" w:color="CCCCCC" w:sz="1"/>
              <w:left w:val="single" w:color="CCCCCC" w:sz="1"/>
              <w:bottom w:val="single" w:color="CCCCCC" w:sz="1"/>
              <w:right w:val="single" w:color="CCCCCC" w:sz="1"/>
            </w:tcBorders>
            <w:shd w:fill="F4F7FA" w:val="clear"/>
            <w:tcMar>
              <w:top w:type="dxa" w:w="70"/>
              <w:left w:type="dxa" w:w="110"/>
              <w:bottom w:type="dxa" w:w="70"/>
              <w:right w:type="dxa" w:w="110"/>
            </w:tcMar>
          </w:tcPr>
          <w:p>
            <w:pPr>
              <w:spacing w:after="0"/>
            </w:pPr>
            <w:r>
              <w:rPr>
                <w:b w:val="false"/>
                <w:bCs w:val="false"/>
                <w:color w:val="000000"/>
                <w:sz w:val="19"/>
                <w:szCs w:val="19"/>
              </w:rPr>
              <w:t xml:space="preserve">Write the pilot + scaled report and slides; rank 5–10 loci for follow-up; begin TOPMed/BRAVO validation for rare-variant loci (TREM2, SORL1, ABCA7).</w:t>
            </w:r>
          </w:p>
        </w:tc>
        <w:tc>
          <w:tcPr>
            <w:tcW w:type="dxa" w:w="4060"/>
            <w:tcBorders>
              <w:top w:val="single" w:color="CCCCCC" w:sz="1"/>
              <w:left w:val="single" w:color="CCCCCC" w:sz="1"/>
              <w:bottom w:val="single" w:color="CCCCCC" w:sz="1"/>
              <w:right w:val="single" w:color="CCCCCC" w:sz="1"/>
            </w:tcBorders>
            <w:shd w:fill="F4F7FA" w:val="clear"/>
            <w:tcMar>
              <w:top w:type="dxa" w:w="70"/>
              <w:left w:type="dxa" w:w="110"/>
              <w:bottom w:type="dxa" w:w="70"/>
              <w:right w:type="dxa" w:w="110"/>
            </w:tcMar>
          </w:tcPr>
          <w:p>
            <w:pPr>
              <w:spacing w:after="0"/>
            </w:pPr>
            <w:r>
              <w:rPr>
                <w:b w:val="false"/>
                <w:bCs w:val="false"/>
                <w:color w:val="000000"/>
                <w:sz w:val="19"/>
                <w:szCs w:val="19"/>
              </w:rPr>
              <w:t xml:space="preserve">Report, ranked candidates, validation started.</w:t>
            </w:r>
          </w:p>
        </w:tc>
      </w:tr>
    </w:tbl>
    <w:p>
      <w:pPr>
        <w:spacing w:after="40"/>
      </w:pPr>
      <w:r>
        <w:t xml:space="preserve"/>
      </w:r>
    </w:p>
    <w:p>
      <w:pPr>
        <w:pStyle w:val="Heading2"/>
      </w:pPr>
      <w:r>
        <w:t xml:space="preserve">Weeks 9–10 (into month two): start the modern toolkit early</w:t>
      </w:r>
    </w:p>
    <w:p>
      <w:pPr>
        <w:pStyle w:val="ListParagraph"/>
        <w:numPr>
          <w:ilvl w:val="0"/>
          <w:numId w:val="2"/>
        </w:numPr>
        <w:spacing w:after="60" w:line="264"/>
      </w:pPr>
      <w:r>
        <w:rPr>
          <w:b/>
          <w:bCs/>
        </w:rPr>
        <w:t xml:space="preserve">Because you’re ahead, begin hands-on ARG / coalescent tools </w:t>
      </w:r>
      <w:r>
        <w:t xml:space="preserve">(Relate, tsinfer/tsdate) and a first demographic-inference run (dadi or PSMC/MSMC) on your data — normally a months-3–6 task.</w:t>
      </w:r>
    </w:p>
    <w:p>
      <w:pPr>
        <w:pStyle w:val="ListParagraph"/>
        <w:numPr>
          <w:ilvl w:val="0"/>
          <w:numId w:val="2"/>
        </w:numPr>
        <w:spacing w:after="60" w:line="264"/>
      </w:pPr>
      <w:r>
        <w:rPr>
          <w:b/>
          <w:bCs/>
        </w:rPr>
        <w:t xml:space="preserve">Deepen TOPMed/BRAVO validation </w:t>
      </w:r>
      <w:r>
        <w:t xml:space="preserve">for the rare-variant loci and finalize the ranked candidate list.</w:t>
      </w:r>
    </w:p>
    <w:p>
      <w:pPr>
        <w:pStyle w:val="ListParagraph"/>
        <w:numPr>
          <w:ilvl w:val="0"/>
          <w:numId w:val="2"/>
        </w:numPr>
        <w:spacing w:after="60" w:line="264"/>
      </w:pPr>
      <w:r>
        <w:rPr>
          <w:b/>
          <w:bCs/>
        </w:rPr>
        <w:t xml:space="preserve">Present the pilot to your lab </w:t>
      </w:r>
      <w:r>
        <w:t xml:space="preserve">and fold feedback into the next-stage plan.</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F0F6" w:sz="1"/>
              <w:left w:val="single" w:color="1F3A5F" w:sz="18"/>
              <w:bottom w:val="single" w:color="EAF0F6" w:sz="1"/>
              <w:right w:val="single" w:color="EAF0F6" w:sz="1"/>
            </w:tcBorders>
            <w:shd w:fill="EAF0F6" w:val="clear"/>
            <w:tcMar>
              <w:top w:type="dxa" w:w="120"/>
              <w:left w:type="dxa" w:w="160"/>
              <w:bottom w:type="dxa" w:w="120"/>
              <w:right w:type="dxa" w:w="160"/>
            </w:tcMar>
          </w:tcPr>
          <w:p>
            <w:pPr>
              <w:spacing w:after="60"/>
            </w:pPr>
            <w:r>
              <w:rPr>
                <w:b/>
                <w:bCs/>
                <w:color w:val="1F3A5F"/>
                <w:sz w:val="20"/>
                <w:szCs w:val="20"/>
              </w:rPr>
              <w:t xml:space="preserve">Mid-term success looks like</w:t>
            </w:r>
          </w:p>
          <w:p>
            <w:pPr>
              <w:spacing w:after="0"/>
            </w:pPr>
            <w:r>
              <w:t xml:space="preserve">A reproducible pipeline; the pilot complete and scaled to all 91; genuine fluency with the core statistics and tools; data-access approvals moving; your first lab presentation delivered; and the modern ARG / demographic toolkit already underway.</w:t>
            </w:r>
          </w:p>
        </w:tc>
      </w:tr>
    </w:tbl>
    <w:p>
      <w:r>
        <w:br w:type="page"/>
      </w:r>
    </w:p>
    <w:p>
      <w:pPr>
        <w:pStyle w:val="Heading1"/>
      </w:pPr>
      <w:r>
        <w:t xml:space="preserve">The next two years — long-term goals</w:t>
      </w:r>
    </w:p>
    <w:p>
      <w:pPr>
        <w:spacing w:after="120" w:line="276"/>
      </w:pPr>
      <w:r>
        <w:rPr>
          <w:b/>
          <w:bCs/>
        </w:rPr>
        <w:t xml:space="preserve">Goal: </w:t>
      </w:r>
      <w:r>
        <w:t xml:space="preserve">grow Exercise 1 into real, publishable work and become genuinely expert in detecting selection. These are milestones to shape with your PI, not fixed dates — program requirements (rotations, coursework, quals) will interleave.</w:t>
      </w:r>
    </w:p>
    <w:p>
      <w:pPr>
        <w:pStyle w:val="Heading2"/>
      </w:pPr>
      <w:r>
        <w:t xml:space="preserve">Months 3–6 — From exercise to real analysis</w:t>
      </w:r>
    </w:p>
    <w:p>
      <w:pPr>
        <w:pStyle w:val="ListParagraph"/>
        <w:numPr>
          <w:ilvl w:val="0"/>
          <w:numId w:val="2"/>
        </w:numPr>
        <w:spacing w:after="60" w:line="264"/>
      </w:pPr>
      <w:r>
        <w:rPr>
          <w:b/>
          <w:bCs/>
        </w:rPr>
        <w:t xml:space="preserve">Finish the full 91-locus analysis </w:t>
      </w:r>
      <w:r>
        <w:t xml:space="preserve">with matched-null enrichment and TOPMed/BRAVO validation.</w:t>
      </w:r>
    </w:p>
    <w:p>
      <w:pPr>
        <w:pStyle w:val="ListParagraph"/>
        <w:numPr>
          <w:ilvl w:val="0"/>
          <w:numId w:val="2"/>
        </w:numPr>
        <w:spacing w:after="60" w:line="264"/>
      </w:pPr>
      <w:r>
        <w:rPr>
          <w:b/>
          <w:bCs/>
        </w:rPr>
        <w:t xml:space="preserve">Learn the modern toolkit hands-on: </w:t>
      </w:r>
      <w:r>
        <w:t xml:space="preserve">coalescent / ARG methods (Relate, tsinfer/tsdate, allele-age inference) and demographic inference (dadi, PSMC/MSMC).</w:t>
      </w:r>
    </w:p>
    <w:p>
      <w:pPr>
        <w:pStyle w:val="ListParagraph"/>
        <w:numPr>
          <w:ilvl w:val="0"/>
          <w:numId w:val="2"/>
        </w:numPr>
        <w:spacing w:after="60" w:line="264"/>
      </w:pPr>
      <w:r>
        <w:rPr>
          <w:b/>
          <w:bCs/>
        </w:rPr>
        <w:t xml:space="preserve">Draft a first write-up </w:t>
      </w:r>
      <w:r>
        <w:t xml:space="preserve">— the exercise’s ranked-hypothesis table is the seed of a methods/annotation manuscript or preprint.</w:t>
      </w:r>
    </w:p>
    <w:p>
      <w:pPr>
        <w:pStyle w:val="Heading2"/>
      </w:pPr>
      <w:r>
        <w:t xml:space="preserve">Months 6–12 — Depth and independence</w:t>
      </w:r>
    </w:p>
    <w:p>
      <w:pPr>
        <w:pStyle w:val="ListParagraph"/>
        <w:numPr>
          <w:ilvl w:val="0"/>
          <w:numId w:val="2"/>
        </w:numPr>
        <w:spacing w:after="60" w:line="264"/>
      </w:pPr>
      <w:r>
        <w:rPr>
          <w:b/>
          <w:bCs/>
        </w:rPr>
        <w:t xml:space="preserve">All of Us follow-up: </w:t>
      </w:r>
      <w:r>
        <w:t xml:space="preserve">phenotype links (lipid, immune, vascular, longevity traits) and local-ancestry analyses in admixed participants (RFMix-style methods).</w:t>
      </w:r>
    </w:p>
    <w:p>
      <w:pPr>
        <w:pStyle w:val="ListParagraph"/>
        <w:numPr>
          <w:ilvl w:val="0"/>
          <w:numId w:val="2"/>
        </w:numPr>
        <w:spacing w:after="60" w:line="264"/>
      </w:pPr>
      <w:r>
        <w:rPr>
          <w:b/>
          <w:bCs/>
        </w:rPr>
        <w:t xml:space="preserve">Learn the harder methods: </w:t>
      </w:r>
      <w:r>
        <w:t xml:space="preserve">machine-learning scans (S/HIC), polygenic-selection tests, and fine-mapping / colocalization.</w:t>
      </w:r>
    </w:p>
    <w:p>
      <w:pPr>
        <w:pStyle w:val="ListParagraph"/>
        <w:numPr>
          <w:ilvl w:val="0"/>
          <w:numId w:val="2"/>
        </w:numPr>
        <w:spacing w:after="60" w:line="264"/>
      </w:pPr>
      <w:r>
        <w:rPr>
          <w:b/>
          <w:bCs/>
        </w:rPr>
        <w:t xml:space="preserve">Prepare for your qualifying / candidacy exam </w:t>
      </w:r>
      <w:r>
        <w:t xml:space="preserve">using Exercise 1 as the worked backbone.</w:t>
      </w:r>
    </w:p>
    <w:p>
      <w:pPr>
        <w:pStyle w:val="Heading2"/>
      </w:pPr>
      <w:r>
        <w:t xml:space="preserve">Year 1–2 — Toward a thesis</w:t>
      </w:r>
    </w:p>
    <w:p>
      <w:pPr>
        <w:pStyle w:val="ListParagraph"/>
        <w:numPr>
          <w:ilvl w:val="0"/>
          <w:numId w:val="2"/>
        </w:numPr>
        <w:spacing w:after="60" w:line="264"/>
      </w:pPr>
      <w:r>
        <w:rPr>
          <w:b/>
          <w:bCs/>
        </w:rPr>
        <w:t xml:space="preserve">Add ancient DNA </w:t>
      </w:r>
      <w:r>
        <w:t xml:space="preserve">as the cleaner test of recent selection — the constructive message of Mills &amp; Mathieson.</w:t>
      </w:r>
    </w:p>
    <w:p>
      <w:pPr>
        <w:pStyle w:val="ListParagraph"/>
        <w:numPr>
          <w:ilvl w:val="0"/>
          <w:numId w:val="2"/>
        </w:numPr>
        <w:spacing w:after="60" w:line="264"/>
      </w:pPr>
      <w:r>
        <w:rPr>
          <w:b/>
          <w:bCs/>
        </w:rPr>
        <w:t xml:space="preserve">Define an independent thesis question </w:t>
      </w:r>
      <w:r>
        <w:t xml:space="preserve">that grows out of Exercise 1 (the name implies more exercises to come). Present at a conference.</w:t>
      </w:r>
    </w:p>
    <w:p>
      <w:pPr>
        <w:pStyle w:val="ListParagraph"/>
        <w:numPr>
          <w:ilvl w:val="0"/>
          <w:numId w:val="2"/>
        </w:numPr>
        <w:spacing w:after="60" w:line="264"/>
      </w:pPr>
      <w:r>
        <w:rPr>
          <w:b/>
          <w:bCs/>
        </w:rPr>
        <w:t xml:space="preserve">Submit / publish </w:t>
      </w:r>
      <w:r>
        <w:t xml:space="preserve">your first-author paper and start a second project.</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F0F6" w:sz="1"/>
              <w:left w:val="single" w:color="1F3A5F" w:sz="18"/>
              <w:bottom w:val="single" w:color="EAF0F6" w:sz="1"/>
              <w:right w:val="single" w:color="EAF0F6" w:sz="1"/>
            </w:tcBorders>
            <w:shd w:fill="EAF0F6" w:val="clear"/>
            <w:tcMar>
              <w:top w:type="dxa" w:w="120"/>
              <w:left w:type="dxa" w:w="160"/>
              <w:bottom w:type="dxa" w:w="120"/>
              <w:right w:type="dxa" w:w="160"/>
            </w:tcMar>
          </w:tcPr>
          <w:p>
            <w:pPr>
              <w:spacing w:after="60"/>
            </w:pPr>
            <w:r>
              <w:rPr>
                <w:b/>
                <w:bCs/>
                <w:color w:val="1F3A5F"/>
                <w:sz w:val="20"/>
                <w:szCs w:val="20"/>
              </w:rPr>
              <w:t xml:space="preserve">Two-year success looks like</w:t>
            </w:r>
          </w:p>
          <w:p>
            <w:pPr>
              <w:spacing w:after="0"/>
            </w:pPr>
            <w:r>
              <w:t xml:space="preserve">Expert-level command of selection-detection methods and their confounders; a submitted or published first-author paper; a defined thesis direction; and your qualifying exam passed.</w:t>
            </w:r>
          </w:p>
        </w:tc>
      </w:tr>
    </w:tbl>
    <w:p>
      <w:r>
        <w:br w:type="page"/>
      </w:r>
    </w:p>
    <w:p>
      <w:pPr>
        <w:pStyle w:val="Heading1"/>
      </w:pPr>
      <w:r>
        <w:t xml:space="preserve">Skills &amp; tools checklist</w:t>
      </w:r>
    </w:p>
    <w:p>
      <w:pPr>
        <w:pStyle w:val="Heading2"/>
      </w:pPr>
      <w:r>
        <w:t xml:space="preserve">Computational</w:t>
      </w:r>
    </w:p>
    <w:p>
      <w:pPr>
        <w:pStyle w:val="ListParagraph"/>
        <w:numPr>
          <w:ilvl w:val="0"/>
          <w:numId w:val="2"/>
        </w:numPr>
        <w:spacing w:after="60" w:line="264"/>
      </w:pPr>
      <w:r>
        <w:t xml:space="preserve">bcftools — filtering and querying 1000G VCFs</w:t>
      </w:r>
    </w:p>
    <w:p>
      <w:pPr>
        <w:pStyle w:val="ListParagraph"/>
        <w:numPr>
          <w:ilvl w:val="0"/>
          <w:numId w:val="2"/>
        </w:numPr>
        <w:spacing w:after="60" w:line="264"/>
      </w:pPr>
      <w:r>
        <w:t xml:space="preserve">PLINK2 — allele frequencies, LD, large-scale genotype handling</w:t>
      </w:r>
    </w:p>
    <w:p>
      <w:pPr>
        <w:pStyle w:val="ListParagraph"/>
        <w:numPr>
          <w:ilvl w:val="0"/>
          <w:numId w:val="2"/>
        </w:numPr>
        <w:spacing w:after="60" w:line="264"/>
      </w:pPr>
      <w:r>
        <w:t xml:space="preserve">scikit-allel (Python) — SFS, diversity, custom population-genetic stats</w:t>
      </w:r>
    </w:p>
    <w:p>
      <w:pPr>
        <w:pStyle w:val="ListParagraph"/>
        <w:numPr>
          <w:ilvl w:val="0"/>
          <w:numId w:val="2"/>
        </w:numPr>
        <w:spacing w:after="60" w:line="264"/>
      </w:pPr>
      <w:r>
        <w:t xml:space="preserve">R + LDlinkR — population-specific LD proxies and portability</w:t>
      </w:r>
    </w:p>
    <w:p>
      <w:pPr>
        <w:pStyle w:val="ListParagraph"/>
        <w:numPr>
          <w:ilvl w:val="0"/>
          <w:numId w:val="2"/>
        </w:numPr>
        <w:spacing w:after="60" w:line="264"/>
      </w:pPr>
      <w:r>
        <w:t xml:space="preserve">VEP / Ensembl — variant annotation and rsID → coordinate mapping</w:t>
      </w:r>
    </w:p>
    <w:p>
      <w:pPr>
        <w:pStyle w:val="ListParagraph"/>
        <w:numPr>
          <w:ilvl w:val="0"/>
          <w:numId w:val="2"/>
        </w:numPr>
        <w:spacing w:after="60" w:line="264"/>
      </w:pPr>
      <w:r>
        <w:t xml:space="preserve">Reproducible pipeline discipline — scripts, version control, a frozen master table</w:t>
      </w:r>
    </w:p>
    <w:p>
      <w:pPr>
        <w:pStyle w:val="Heading2"/>
      </w:pPr>
      <w:r>
        <w:t xml:space="preserve">Conceptual (in the order to learn them)</w:t>
      </w:r>
    </w:p>
    <w:p>
      <w:pPr>
        <w:pStyle w:val="ListParagraph"/>
        <w:numPr>
          <w:ilvl w:val="0"/>
          <w:numId w:val="3"/>
        </w:numPr>
        <w:spacing w:after="60" w:line="264"/>
      </w:pPr>
      <w:r>
        <w:t xml:space="preserve">Population-genetics logic: allele frequency, drift, Ne, Hardy–Weinberg, neutral theory</w:t>
      </w:r>
    </w:p>
    <w:p>
      <w:pPr>
        <w:pStyle w:val="ListParagraph"/>
        <w:numPr>
          <w:ilvl w:val="0"/>
          <w:numId w:val="3"/>
        </w:numPr>
        <w:spacing w:after="60" w:line="264"/>
      </w:pPr>
      <w:r>
        <w:t xml:space="preserve">Selection footprints: sweeps, LD, hitchhiking, hard vs. soft sweeps</w:t>
      </w:r>
    </w:p>
    <w:p>
      <w:pPr>
        <w:pStyle w:val="ListParagraph"/>
        <w:numPr>
          <w:ilvl w:val="0"/>
          <w:numId w:val="3"/>
        </w:numPr>
        <w:spacing w:after="60" w:line="264"/>
      </w:pPr>
      <w:r>
        <w:t xml:space="preserve">The two data views: site frequency spectrum and haplotype structure / LD decay</w:t>
      </w:r>
    </w:p>
    <w:p>
      <w:pPr>
        <w:pStyle w:val="ListParagraph"/>
        <w:numPr>
          <w:ilvl w:val="0"/>
          <w:numId w:val="3"/>
        </w:numPr>
        <w:spacing w:after="60" w:line="264"/>
      </w:pPr>
      <w:r>
        <w:t xml:space="preserve">The statistics by footprint: Tajima’s D, Fay &amp; Wu’s H, iHS, XP-EHH, FST, PBS, XP-CLR, MK/HKA</w:t>
      </w:r>
    </w:p>
    <w:p>
      <w:pPr>
        <w:pStyle w:val="ListParagraph"/>
        <w:numPr>
          <w:ilvl w:val="0"/>
          <w:numId w:val="3"/>
        </w:numPr>
        <w:spacing w:after="60" w:line="264"/>
      </w:pPr>
      <w:r>
        <w:t xml:space="preserve">Demography as confounder; the coalescent; matched backgrounds and demographic modelling</w:t>
      </w:r>
    </w:p>
    <w:p>
      <w:pPr>
        <w:pStyle w:val="ListParagraph"/>
        <w:numPr>
          <w:ilvl w:val="0"/>
          <w:numId w:val="3"/>
        </w:numPr>
        <w:spacing w:after="60" w:line="264"/>
      </w:pPr>
      <w:r>
        <w:t xml:space="preserve">Recent and polygenic selection; stratification; ancient DNA</w:t>
      </w:r>
    </w:p>
    <w:p>
      <w:pPr>
        <w:pStyle w:val="ListParagraph"/>
        <w:numPr>
          <w:ilvl w:val="0"/>
          <w:numId w:val="3"/>
        </w:numPr>
        <w:spacing w:after="60" w:line="264"/>
      </w:pPr>
      <w:r>
        <w:t xml:space="preserve">Applied: GWAS interpretation, allele harmonization, LD portability, matched-null controls, evidence grading</w:t>
      </w:r>
    </w:p>
    <w:p>
      <w:pPr>
        <w:pStyle w:val="ListParagraph"/>
        <w:numPr>
          <w:ilvl w:val="0"/>
          <w:numId w:val="3"/>
        </w:numPr>
        <w:spacing w:after="60" w:line="264"/>
      </w:pPr>
      <w:r>
        <w:t xml:space="preserve">Advanced (for expertise): ARGs (Relate, tsinfer), demographic inference (dadi, PSMC/MSMC), ML scans (S/HIC), fine-mapping/colocalization, ancient DNA</w:t>
      </w:r>
    </w:p>
    <w:p>
      <w:r>
        <w:br w:type="page"/>
      </w:r>
    </w:p>
    <w:p>
      <w:pPr>
        <w:pStyle w:val="Heading1"/>
      </w:pPr>
      <w:r>
        <w:t xml:space="preserve">Reading list quick reference</w:t>
      </w:r>
    </w:p>
    <w:p>
      <w:pPr>
        <w:spacing w:after="120" w:line="276"/>
      </w:pPr>
      <w:r>
        <w:rPr>
          <w:b/>
          <w:bCs/>
        </w:rPr>
        <w:t xml:space="preserve">You’ve completed the population-genetics primer</w:t>
      </w:r>
      <w:r>
        <w:t xml:space="preserve">, so the three core papers below are your priority. The foundational items are optional reference — reach for them only to shore up a specific gap.</w:t>
      </w:r>
    </w:p>
    <w:p>
      <w:pPr>
        <w:pStyle w:val="Heading2"/>
      </w:pPr>
      <w:r>
        <w:t xml:space="preserve">Read first — the three core papers</w:t>
      </w:r>
    </w:p>
    <w:p>
      <w:pPr>
        <w:pStyle w:val="ListParagraph"/>
        <w:numPr>
          <w:ilvl w:val="0"/>
          <w:numId w:val="2"/>
        </w:numPr>
        <w:spacing w:after="60" w:line="264"/>
      </w:pPr>
      <w:r>
        <w:rPr>
          <w:b/>
          <w:bCs/>
        </w:rPr>
        <w:t xml:space="preserve">Vitti, Grossman &amp; Sabeti (2013), </w:t>
      </w:r>
      <w:r>
        <w:rPr>
          <w:i/>
          <w:iCs/>
        </w:rPr>
        <w:t xml:space="preserve">Detecting Natural Selection in Genomic Data</w:t>
      </w:r>
      <w:r>
        <w:t xml:space="preserve"> — catalogue of footprints and statistics.</w:t>
      </w:r>
    </w:p>
    <w:p>
      <w:pPr>
        <w:pStyle w:val="ListParagraph"/>
        <w:numPr>
          <w:ilvl w:val="0"/>
          <w:numId w:val="2"/>
        </w:numPr>
        <w:spacing w:after="60" w:line="264"/>
      </w:pPr>
      <w:r>
        <w:rPr>
          <w:b/>
          <w:bCs/>
        </w:rPr>
        <w:t xml:space="preserve">Cheng &amp; Steinrücken (2024), </w:t>
      </w:r>
      <w:r>
        <w:rPr>
          <w:i/>
          <w:iCs/>
        </w:rPr>
        <w:t xml:space="preserve">Population Genomic Scans for Natural Selection and Demography</w:t>
      </w:r>
      <w:r>
        <w:t xml:space="preserve"> — modern methods; read twice.</w:t>
      </w:r>
    </w:p>
    <w:p>
      <w:pPr>
        <w:pStyle w:val="ListParagraph"/>
        <w:numPr>
          <w:ilvl w:val="0"/>
          <w:numId w:val="2"/>
        </w:numPr>
        <w:spacing w:after="60" w:line="264"/>
      </w:pPr>
      <w:r>
        <w:rPr>
          <w:b/>
          <w:bCs/>
        </w:rPr>
        <w:t xml:space="preserve">Mills &amp; Mathieson (2022), </w:t>
      </w:r>
      <w:r>
        <w:rPr>
          <w:i/>
          <w:iCs/>
        </w:rPr>
        <w:t xml:space="preserve">The challenge of detecting recent natural selection in human populations</w:t>
      </w:r>
      <w:r>
        <w:t xml:space="preserve"> — failure modes and the reviewer reflex.</w:t>
      </w:r>
    </w:p>
    <w:p>
      <w:pPr>
        <w:pStyle w:val="Heading2"/>
      </w:pPr>
      <w:r>
        <w:t xml:space="preserve">Foundational</w:t>
      </w:r>
    </w:p>
    <w:p>
      <w:pPr>
        <w:pStyle w:val="ListParagraph"/>
        <w:numPr>
          <w:ilvl w:val="0"/>
          <w:numId w:val="2"/>
        </w:numPr>
        <w:spacing w:after="60" w:line="264"/>
      </w:pPr>
      <w:r>
        <w:rPr>
          <w:b/>
          <w:bCs/>
        </w:rPr>
        <w:t xml:space="preserve">Coop, </w:t>
      </w:r>
      <w:r>
        <w:rPr>
          <w:i/>
          <w:iCs/>
        </w:rPr>
        <w:t xml:space="preserve">Population and Quantitative Genetics</w:t>
      </w:r>
      <w:r>
        <w:t xml:space="preserve"> (free lecture notes) — best entry point for a newcomer.</w:t>
      </w:r>
    </w:p>
    <w:p>
      <w:pPr>
        <w:pStyle w:val="ListParagraph"/>
        <w:numPr>
          <w:ilvl w:val="0"/>
          <w:numId w:val="2"/>
        </w:numPr>
        <w:spacing w:after="60" w:line="264"/>
      </w:pPr>
      <w:r>
        <w:rPr>
          <w:b/>
          <w:bCs/>
        </w:rPr>
        <w:t xml:space="preserve">Kimura (1968) </w:t>
      </w:r>
      <w:r>
        <w:t xml:space="preserve">— the original neutral-theory paper.</w:t>
      </w:r>
    </w:p>
    <w:p>
      <w:pPr>
        <w:pStyle w:val="ListParagraph"/>
        <w:numPr>
          <w:ilvl w:val="0"/>
          <w:numId w:val="2"/>
        </w:numPr>
        <w:spacing w:after="60" w:line="264"/>
      </w:pPr>
      <w:r>
        <w:rPr>
          <w:b/>
          <w:bCs/>
        </w:rPr>
        <w:t xml:space="preserve">Hartl &amp; Clark, </w:t>
      </w:r>
      <w:r>
        <w:rPr>
          <w:i/>
          <w:iCs/>
        </w:rPr>
        <w:t xml:space="preserve">Principles of Population Genetics</w:t>
      </w:r>
      <w:r>
        <w:t xml:space="preserve"> — reference textbook.</w:t>
      </w:r>
    </w:p>
    <w:p>
      <w:pPr>
        <w:pStyle w:val="ListParagraph"/>
        <w:numPr>
          <w:ilvl w:val="0"/>
          <w:numId w:val="2"/>
        </w:numPr>
        <w:spacing w:after="60" w:line="264"/>
      </w:pPr>
      <w:r>
        <w:rPr>
          <w:b/>
          <w:bCs/>
        </w:rPr>
        <w:t xml:space="preserve">Nielsen (2005), </w:t>
      </w:r>
      <w:r>
        <w:rPr>
          <w:i/>
          <w:iCs/>
        </w:rPr>
        <w:t xml:space="preserve">Molecular signatures of natural selection</w:t>
      </w:r>
      <w:r>
        <w:t xml:space="preserve">.</w:t>
      </w:r>
    </w:p>
    <w:p>
      <w:pPr>
        <w:pStyle w:val="Heading2"/>
      </w:pPr>
      <w:r>
        <w:t xml:space="preserve">Project-specific</w:t>
      </w:r>
    </w:p>
    <w:p>
      <w:pPr>
        <w:pStyle w:val="ListParagraph"/>
        <w:numPr>
          <w:ilvl w:val="0"/>
          <w:numId w:val="2"/>
        </w:numPr>
        <w:spacing w:after="60" w:line="264"/>
      </w:pPr>
      <w:r>
        <w:rPr>
          <w:b/>
          <w:bCs/>
        </w:rPr>
        <w:t xml:space="preserve">Bellenguez et al. (2026, Nature Genetics) </w:t>
      </w:r>
      <w:r>
        <w:t xml:space="preserve">— your locus list; the paper the whole exercise depends on.</w:t>
      </w:r>
    </w:p>
    <w:p>
      <w:pPr>
        <w:pStyle w:val="ListParagraph"/>
        <w:numPr>
          <w:ilvl w:val="0"/>
          <w:numId w:val="2"/>
        </w:numPr>
        <w:spacing w:after="60" w:line="264"/>
      </w:pPr>
      <w:r>
        <w:rPr>
          <w:b/>
          <w:bCs/>
        </w:rPr>
        <w:t xml:space="preserve">Williams (1957), </w:t>
      </w:r>
      <w:r>
        <w:rPr>
          <w:i/>
          <w:iCs/>
        </w:rPr>
        <w:t xml:space="preserve">Pleiotropy, natural selection and the evolution of senescence</w:t>
      </w:r>
      <w:r>
        <w:t xml:space="preserve"> — essential for your antagonistic-pleiotropy framing.</w:t>
      </w:r>
    </w:p>
    <w:p>
      <w:pPr>
        <w:pStyle w:val="ListParagraph"/>
        <w:numPr>
          <w:ilvl w:val="0"/>
          <w:numId w:val="2"/>
        </w:numPr>
        <w:spacing w:after="60" w:line="264"/>
      </w:pPr>
      <w:r>
        <w:rPr>
          <w:b/>
          <w:bCs/>
        </w:rPr>
        <w:t xml:space="preserve">Shi &amp; Holtzman (2018) </w:t>
      </w:r>
      <w:r>
        <w:t xml:space="preserve">— innate immunity and Alzheimer’s (APOE, TREM2).</w:t>
      </w:r>
    </w:p>
    <w:p>
      <w:pPr>
        <w:pStyle w:val="ListParagraph"/>
        <w:numPr>
          <w:ilvl w:val="0"/>
          <w:numId w:val="2"/>
        </w:numPr>
        <w:spacing w:after="60" w:line="264"/>
      </w:pPr>
      <w:r>
        <w:rPr>
          <w:b/>
          <w:bCs/>
        </w:rPr>
        <w:t xml:space="preserve">1000 Genomes papers </w:t>
      </w:r>
      <w:r>
        <w:t xml:space="preserve">(2015; Byrska-Bishop et al. 2022, high-coverage).</w:t>
      </w:r>
    </w:p>
    <w:p>
      <w:pPr>
        <w:pStyle w:val="Heading2"/>
      </w:pPr>
      <w:r>
        <w:t xml:space="preserve">Method classics (skim for intuition) + two caveat papers</w:t>
      </w:r>
    </w:p>
    <w:p>
      <w:pPr>
        <w:pStyle w:val="ListParagraph"/>
        <w:numPr>
          <w:ilvl w:val="0"/>
          <w:numId w:val="2"/>
        </w:numPr>
        <w:spacing w:after="60" w:line="264"/>
      </w:pPr>
      <w:r>
        <w:t xml:space="preserve">Tajima (1989), Fay &amp; Wu (2000), Voight (2006, iHS), Sabeti (2007, XP-EHH), Weir &amp; Cockerham (1984, FST), Chen (2010, XP-CLR/PBS).</w:t>
      </w:r>
    </w:p>
    <w:p>
      <w:pPr>
        <w:pStyle w:val="ListParagraph"/>
        <w:numPr>
          <w:ilvl w:val="0"/>
          <w:numId w:val="2"/>
        </w:numPr>
        <w:spacing w:after="60" w:line="264"/>
      </w:pPr>
      <w:r>
        <w:rPr>
          <w:b/>
          <w:bCs/>
        </w:rPr>
        <w:t xml:space="preserve">Give real attention to: </w:t>
      </w:r>
      <w:r>
        <w:t xml:space="preserve">Hernandez (2007) on ancestral-allele misidentification, and Price (2006) on population stratification — both are traps the protocol warns about.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Exercise 1 Roadmap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80" w:hanging="260"/>
      </w:pPr>
    </w:lvl>
  </w:abstractNum>
  <w:abstractNum w:abstractNumId="3" w15:restartNumberingAfterBreak="0">
    <w:multiLevelType w:val="hybridMultilevel"/>
    <w:lvl w:ilvl="0" w15:tentative="1">
      <w:start w:val="1"/>
      <w:numFmt w:val="decimal"/>
      <w:lvlText w:val="%1."/>
      <w:lvlJc w:val="left"/>
      <w:pPr>
        <w:ind w:left="5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8" w:space="4"/>
      </w:pBdr>
      <w:spacing w:after="160" w:before="320"/>
      <w:outlineLvl w:val="0"/>
    </w:pPr>
    <w:rPr>
      <w:rFonts w:ascii="Arial" w:cs="Arial" w:eastAsia="Arial" w:hAnsi="Arial"/>
      <w:b/>
      <w:bCs/>
      <w:color w:val="1F3A5F"/>
      <w:sz w:val="34"/>
      <w:szCs w:val="34"/>
    </w:rPr>
  </w:style>
  <w:style w:type="paragraph" w:styleId="Heading2">
    <w:name w:val="Heading 2"/>
    <w:basedOn w:val="Normal"/>
    <w:next w:val="Normal"/>
    <w:qFormat/>
    <w:pPr>
      <w:spacing w:after="100" w:before="220"/>
      <w:outlineLvl w:val="1"/>
    </w:pPr>
    <w:rPr>
      <w:rFonts w:ascii="Arial" w:cs="Arial" w:eastAsia="Arial" w:hAnsi="Arial"/>
      <w:b/>
      <w:bCs/>
      <w:color w:val="C4602D"/>
      <w:sz w:val="26"/>
      <w:szCs w:val="26"/>
    </w:rPr>
  </w:style>
  <w:style w:type="paragraph" w:styleId="Heading3">
    <w:name w:val="Heading 3"/>
    <w:basedOn w:val="Normal"/>
    <w:next w:val="Normal"/>
    <w:qFormat/>
    <w:pPr>
      <w:spacing w:after="80" w:before="160"/>
      <w:outlineLvl w:val="2"/>
    </w:pPr>
    <w:rPr>
      <w:rFonts w:ascii="Arial" w:cs="Arial" w:eastAsia="Arial" w:hAnsi="Arial"/>
      <w:b/>
      <w:bCs/>
      <w:color w:val="1F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PhD Roadmap — Exercise 1</dc:title>
  <dc:creator>Cowork</dc:creator>
  <cp:lastModifiedBy>Un-named</cp:lastModifiedBy>
  <cp:revision>1</cp:revision>
  <dcterms:created xsi:type="dcterms:W3CDTF">2026-07-09T20:05:25.806Z</dcterms:created>
  <dcterms:modified xsi:type="dcterms:W3CDTF">2026-07-09T20:05:25.806Z</dcterms:modified>
</cp:coreProperties>
</file>

<file path=docProps/custom.xml><?xml version="1.0" encoding="utf-8"?>
<Properties xmlns="http://schemas.openxmlformats.org/officeDocument/2006/custom-properties" xmlns:vt="http://schemas.openxmlformats.org/officeDocument/2006/docPropsVTypes"/>
</file>