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0"/>
      </w:pPr>
      <w:r>
        <w:rPr>
          <w:b/>
          <w:bCs/>
          <w:caps/>
          <w:color w:val="C4602D"/>
          <w:sz w:val="22"/>
          <w:szCs w:val="22"/>
        </w:rPr>
        <w:t xml:space="preserve">PhD ROADMAP</w:t>
      </w:r>
    </w:p>
    <w:p>
      <w:pPr>
        <w:spacing w:after="120"/>
      </w:pPr>
      <w:r>
        <w:rPr>
          <w:b/>
          <w:bCs/>
          <w:color w:val="1F3A5F"/>
          <w:sz w:val="56"/>
          <w:szCs w:val="56"/>
        </w:rPr>
        <w:t xml:space="preserve">Exercise 1: A Working Plan</w:t>
      </w:r>
    </w:p>
    <w:p>
      <w:pPr>
        <w:spacing w:after="300"/>
      </w:pPr>
      <w:r>
        <w:rPr>
          <w:i/>
          <w:iCs/>
          <w:color w:val="1F3A5F"/>
          <w:sz w:val="30"/>
          <w:szCs w:val="30"/>
        </w:rPr>
        <w:t xml:space="preserve">Evolutionary annotation of Alzheimer’s disease risk loci</w:t>
      </w:r>
    </w:p>
    <w:p>
      <w:pPr>
        <w:pBdr>
          <w:top w:val="single" w:color="C4602D" w:sz="12" w:space="4"/>
        </w:pBdr>
        <w:spacing w:after="20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What this is. </w:t>
      </w:r>
      <w:r>
        <w:t xml:space="preserve">A day-by-day plan for your first two weeks, a thematic plan for the next two months, and milestone goals for the next two years — built directly from your two documents: the population-genetics primer and the </w:t>
      </w:r>
      <w:r>
        <w:rPr>
          <w:i/>
          <w:iCs/>
        </w:rPr>
        <w:t xml:space="preserve">Lucas Exercise 1</w:t>
      </w:r>
      <w:r>
        <w:t xml:space="preserve"> protocol (v3.1).</w:t>
      </w:r>
    </w:p>
    <w:p>
      <w:pPr>
        <w:spacing w:after="120" w:line="276"/>
      </w:pPr>
      <w:r>
        <w:rPr>
          <w:b/>
          <w:bCs/>
        </w:rPr>
        <w:t xml:space="preserve">Assumptions. </w:t>
      </w:r>
      <w:r>
        <w:t xml:space="preserve">You are working on this roughly full-time on weekdays; weekends are light/catch-up. Adjust freely — the </w:t>
      </w:r>
      <w:r>
        <w:rPr>
          <w:i/>
          <w:iCs/>
        </w:rPr>
        <w:t xml:space="preserve">sequence</w:t>
      </w:r>
      <w:r>
        <w:t xml:space="preserve"> matters more than the exact calendar. Confirm scope and the locus source with your PI in week one.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Standing habits (all two years)</w:t>
      </w:r>
    </w:p>
    <w:p>
      <w:pPr>
        <w:spacing w:after="120" w:line="276"/>
      </w:pPr>
      <w:r>
        <w:t xml:space="preserve">Four disciplines the protocol keeps returning to. Build them now; they are what make the work defensible.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Keep a lab notebook / project README. </w:t>
      </w:r>
      <w:r>
        <w:t xml:space="preserve">Every decision, every allele correction, every threshold, dated. “A caveat with containment is a strength.”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Work reproducibly. </w:t>
      </w:r>
      <w:r>
        <w:t xml:space="preserve">Scripts, not manual copy-paste from web tools. Version your master table. Anyone should be able to re-run your pipeline.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Separate the four layers of interpretation. </w:t>
      </w:r>
      <w:r>
        <w:t xml:space="preserve">Observation → robust observation → evolutionary model → biological hypothesis. Never let them blur in your notes or figures.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Run the reviewer reflex. </w:t>
      </w:r>
      <w:r>
        <w:t xml:space="preserve">Every time you see a signal, ask first: “what non-selective process — demography, drift, ascertainment, or an allele error could have produced this?” A clean negative beats an over-interpreted positive.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0F6" w:sz="1"/>
              <w:left w:val="single" w:color="1F3A5F" w:sz="18"/>
              <w:bottom w:val="single" w:color="EAF0F6" w:sz="1"/>
              <w:right w:val="single" w:color="EAF0F6" w:sz="1"/>
            </w:tcBorders>
            <w:shd w:fill="EAF0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The one idea under everything</w:t>
            </w:r>
          </w:p>
          <w:p>
            <w:pPr>
              <w:spacing w:after="0"/>
            </w:pPr>
            <w:r>
              <w:t xml:space="preserve">Selection is never observed directly. It is </w:t>
            </w:r>
            <w:r>
              <w:rPr>
                <w:b/>
                <w:bCs/>
              </w:rPr>
              <w:t xml:space="preserve">inferred as a deviation</w:t>
            </w:r>
            <w:r>
              <w:t xml:space="preserve"> from what drift and population history alone would produce. Every method you learn is either a way to measure that deviation, or a way to prove it isn’t an artifact.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next two weeks — day by day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get the conceptual scaffolding in place, read the three core papers, install your tools, and produce a clean, versioned master table for the 10 pilot loci. This mirrors weeks 1–2 of the protocol timeline.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6EEE6" w:sz="1"/>
              <w:left w:val="single" w:color="C4602D" w:sz="18"/>
              <w:bottom w:val="single" w:color="F6EEE6" w:sz="1"/>
              <w:right w:val="single" w:color="F6EEE6" w:sz="1"/>
            </w:tcBorders>
            <w:shd w:fill="F6EE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4602D"/>
                <w:sz w:val="20"/>
                <w:szCs w:val="20"/>
              </w:rPr>
              <w:t xml:space="preserve">Do this on Day 1, before anything else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Start the data-access paperwork. </w:t>
            </w:r>
            <w:r>
              <w:t xml:space="preserve">Talk to your PI and sponsored-programs office about an eRA Commons account and a dbGaP Data Access Request, and register interest in the All of Us Researcher Workbench. Approvals — not analysis — are the rate-limiting step of year one. Everything else this week can proceed in parallel while the queue moves.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Week 1 — Foundations and orientation</w:t>
      </w:r>
    </w:p>
    <w:p>
      <w:pPr>
        <w:spacing w:after="60" w:before="160"/>
      </w:pPr>
      <w:r>
        <w:rPr>
          <w:b/>
          <w:bCs/>
          <w:color w:val="1F3A5F"/>
          <w:sz w:val="24"/>
          <w:szCs w:val="24"/>
        </w:rPr>
        <w:t xml:space="preserve">Day 1 (Mon)</w:t>
      </w:r>
      <w:r>
        <w:rPr>
          <w:b/>
          <w:bCs/>
          <w:color w:val="C4602D"/>
          <w:sz w:val="22"/>
          <w:szCs w:val="22"/>
        </w:rPr>
        <w:t xml:space="preserve">  —  Setup + kick off data access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Start the data-access paperwork</w:t>
      </w:r>
      <w:r>
        <w:t xml:space="preserve"> (see box above) — eRA Commons, dbGaP, All of 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Set up your workspace: </w:t>
      </w:r>
      <w:r>
        <w:t xml:space="preserve">reference manager (Zotero), a versioned project folder, and a lab notebook / README 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Read primer Ch. 1–2 </w:t>
      </w:r>
      <w:r>
        <w:t xml:space="preserve">(Logic of Population Genetics; How Selection Leaves Footprints). Do the check-your-understanding questions.</w:t>
      </w:r>
    </w:p>
    <w:p>
      <w:pPr>
        <w:spacing w:after="60" w:before="160"/>
      </w:pPr>
      <w:r>
        <w:rPr>
          <w:b/>
          <w:bCs/>
          <w:color w:val="1F3A5F"/>
          <w:sz w:val="24"/>
          <w:szCs w:val="24"/>
        </w:rPr>
        <w:t xml:space="preserve">Day 2 (Tue)</w:t>
      </w:r>
      <w:r>
        <w:rPr>
          <w:b/>
          <w:bCs/>
          <w:color w:val="C4602D"/>
          <w:sz w:val="22"/>
          <w:szCs w:val="22"/>
        </w:rPr>
        <w:t xml:space="preserve">  —  The data views and the statistics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Read primer Ch. 3–4 </w:t>
      </w:r>
      <w:r>
        <w:t xml:space="preserve">(Two Views of the Data; The Statistics, Decoded).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Build the reference table the protocol asks for: </w:t>
      </w:r>
      <w:r>
        <w:t xml:space="preserve">statistic → footprint it reads → timescale it detects. Keep it one page.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Install your toolkit: </w:t>
      </w:r>
      <w:r>
        <w:t xml:space="preserve">bcftools, PLINK2, a Python env with scikit-allel, and R with LDlinkR.</w:t>
      </w:r>
    </w:p>
    <w:p>
      <w:pPr>
        <w:spacing w:after="60" w:before="160"/>
      </w:pPr>
      <w:r>
        <w:rPr>
          <w:b/>
          <w:bCs/>
          <w:color w:val="1F3A5F"/>
          <w:sz w:val="24"/>
          <w:szCs w:val="24"/>
        </w:rPr>
        <w:t xml:space="preserve">Day 3 (Wed)</w:t>
      </w:r>
      <w:r>
        <w:rPr>
          <w:b/>
          <w:bCs/>
          <w:color w:val="C4602D"/>
          <w:sz w:val="22"/>
          <w:szCs w:val="22"/>
        </w:rPr>
        <w:t xml:space="preserve">  —  Demography and the hard cases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Read primer Ch. 5–6 </w:t>
      </w:r>
      <w:r>
        <w:t xml:space="preserve">(Demography: the great impostor; Recent and polygenic selection) plus Ch. 7 and the glossary.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Write a half-page in your own words: </w:t>
      </w:r>
      <w:r>
        <w:t xml:space="preserve">why demography mimics selection, and the two escape routes (matched genome-wide background; explicit demographic modelling).</w:t>
      </w:r>
    </w:p>
    <w:p>
      <w:pPr>
        <w:spacing w:after="60" w:before="160"/>
      </w:pPr>
      <w:r>
        <w:rPr>
          <w:b/>
          <w:bCs/>
          <w:color w:val="1F3A5F"/>
          <w:sz w:val="24"/>
          <w:szCs w:val="24"/>
        </w:rPr>
        <w:t xml:space="preserve">Day 4 (Thu)</w:t>
      </w:r>
      <w:r>
        <w:rPr>
          <w:b/>
          <w:bCs/>
          <w:color w:val="C4602D"/>
          <w:sz w:val="22"/>
          <w:szCs w:val="22"/>
        </w:rPr>
        <w:t xml:space="preserve">  —  Paper 1 — Vitti, Grossman &amp; Sabeti (2013)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Read for the map, not the algebra. </w:t>
      </w:r>
      <w:r>
        <w:t xml:space="preserve">This is your catalogue of footprints and statistics.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Extend your statistic → footprint → timescale table </w:t>
      </w:r>
      <w:r>
        <w:t xml:space="preserve">as you go. When it’s complete, it’s your working reference for the whole project.</w:t>
      </w:r>
    </w:p>
    <w:p>
      <w:pPr>
        <w:spacing w:after="60" w:before="160"/>
      </w:pPr>
      <w:r>
        <w:rPr>
          <w:b/>
          <w:bCs/>
          <w:color w:val="1F3A5F"/>
          <w:sz w:val="24"/>
          <w:szCs w:val="24"/>
        </w:rPr>
        <w:t xml:space="preserve">Day 5 (Fri)</w:t>
      </w:r>
      <w:r>
        <w:rPr>
          <w:b/>
          <w:bCs/>
          <w:color w:val="C4602D"/>
          <w:sz w:val="22"/>
          <w:szCs w:val="22"/>
        </w:rPr>
        <w:t xml:space="preserve">  —  Finish Vitti + first PI check-in + test the data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Finish Vitti. </w:t>
      </w:r>
      <w:r>
        <w:t xml:space="preserve">Meet your PI/mentor: confirm the locus source (Bellenguez 2026 supplement) and the pilot scope.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Locate the 1000 Genomes high-coverage data </w:t>
      </w:r>
      <w:r>
        <w:t xml:space="preserve">and run bcftools on one chromosome as a smoke test (chr19 is a good choice — it carries APOE).</w:t>
      </w:r>
    </w:p>
    <w:p>
      <w:pPr>
        <w:spacing w:after="120" w:line="276"/>
      </w:pPr>
      <w:r>
        <w:rPr>
          <w:i/>
          <w:iCs/>
        </w:rPr>
        <w:t xml:space="preserve">Weekend (light): </w:t>
      </w:r>
      <w:r>
        <w:t xml:space="preserve">skim Coop’s open-access lecture notes for any shaky concept (drift, LD, coalescent). Read Williams (1957) on pleiotropy and senescence — short, and central to your framing.</w:t>
      </w:r>
    </w:p>
    <w:p>
      <w:pPr>
        <w:pStyle w:val="Heading2"/>
      </w:pPr>
      <w:r>
        <w:t xml:space="preserve">Week 2 — The methods papers and your first master table</w:t>
      </w:r>
    </w:p>
    <w:p>
      <w:pPr>
        <w:spacing w:after="60" w:before="160"/>
      </w:pPr>
      <w:r>
        <w:rPr>
          <w:b/>
          <w:bCs/>
          <w:color w:val="1F3A5F"/>
          <w:sz w:val="24"/>
          <w:szCs w:val="24"/>
        </w:rPr>
        <w:t xml:space="preserve">Day 6 (Mon)</w:t>
      </w:r>
      <w:r>
        <w:rPr>
          <w:b/>
          <w:bCs/>
          <w:color w:val="C4602D"/>
          <w:sz w:val="22"/>
          <w:szCs w:val="22"/>
        </w:rPr>
        <w:t xml:space="preserve">  —  Paper 2 — Cheng &amp; Steinrücken (2024), pass 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Read for concepts: </w:t>
      </w:r>
      <w:r>
        <w:t xml:space="preserve">the coalescent, the demography-vs-selection problem, and why a selection scan needs a demographic null.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Pull the Bellenguez 2026 supplementary tables </w:t>
      </w:r>
      <w:r>
        <w:t xml:space="preserve">and get familiar with their columns.</w:t>
      </w:r>
    </w:p>
    <w:p>
      <w:pPr>
        <w:spacing w:after="60" w:before="160"/>
      </w:pPr>
      <w:r>
        <w:rPr>
          <w:b/>
          <w:bCs/>
          <w:color w:val="1F3A5F"/>
          <w:sz w:val="24"/>
          <w:szCs w:val="24"/>
        </w:rPr>
        <w:t xml:space="preserve">Day 7 (Tue)</w:t>
      </w:r>
      <w:r>
        <w:rPr>
          <w:b/>
          <w:bCs/>
          <w:color w:val="C4602D"/>
          <w:sz w:val="22"/>
          <w:szCs w:val="22"/>
        </w:rPr>
        <w:t xml:space="preserve">  —  Cheng &amp; Steinrücken pass 2 + build the table schema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Second pass for tool names </w:t>
      </w:r>
      <w:r>
        <w:t xml:space="preserve">you’ll actually use: Relate, tsinfer/tsdate, dadi, PSMC/MSMC, S/HIC.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Set up your master locus table schema </w:t>
      </w:r>
      <w:r>
        <w:t xml:space="preserve">from protocol Section 18 (locus_id, lead_snp, variant_id_GRCh38, risk_allele_harmonized, source_GWAS, phenotype_class, candidate_gene, consequence, qc_flags).</w:t>
      </w:r>
    </w:p>
    <w:p>
      <w:pPr>
        <w:spacing w:after="60" w:before="160"/>
      </w:pPr>
      <w:r>
        <w:rPr>
          <w:b/>
          <w:bCs/>
          <w:color w:val="1F3A5F"/>
          <w:sz w:val="24"/>
          <w:szCs w:val="24"/>
        </w:rPr>
        <w:t xml:space="preserve">Day 8 (Wed)</w:t>
      </w:r>
      <w:r>
        <w:rPr>
          <w:b/>
          <w:bCs/>
          <w:color w:val="C4602D"/>
          <w:sz w:val="22"/>
          <w:szCs w:val="22"/>
        </w:rPr>
        <w:t xml:space="preserve">  —  Paper 3 — Mills &amp; Mathieson (2022) + extract pilot loci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Read for failure modes: </w:t>
      </w:r>
      <w:r>
        <w:t xml:space="preserve">the height-selection retraction, polygenic selection, stratification, why ancient DNA matters.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Extract the 10 pilot loci </w:t>
      </w:r>
      <w:r>
        <w:t xml:space="preserve">(APOE/TOMM40, BIN1, CLU, ABCA7, TREM2, CR1, MS4A, SORL1, INPP5D, HLA) into the master table.</w:t>
      </w:r>
    </w:p>
    <w:p>
      <w:pPr>
        <w:spacing w:after="60" w:before="160"/>
      </w:pPr>
      <w:r>
        <w:rPr>
          <w:b/>
          <w:bCs/>
          <w:color w:val="1F3A5F"/>
          <w:sz w:val="24"/>
          <w:szCs w:val="24"/>
        </w:rPr>
        <w:t xml:space="preserve">Day 9 (Thu)</w:t>
      </w:r>
      <w:r>
        <w:rPr>
          <w:b/>
          <w:bCs/>
          <w:color w:val="C4602D"/>
          <w:sz w:val="22"/>
          <w:szCs w:val="22"/>
        </w:rPr>
        <w:t xml:space="preserve">  —  Allele harmonization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Harmonize each pilot locus: </w:t>
      </w:r>
      <w:r>
        <w:t xml:space="preserve">rsID → chr:pos:REF:ALT in GRCh38 via Ensembl/VEP; record effect allele and risk allele from the source.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Flag the traps: </w:t>
      </w:r>
      <w:r>
        <w:t xml:space="preserve">palindromic (A/T, C/G) SNPs, multi-allelic sites, indels, merged/split rsIDs. Flag rather than guess.</w:t>
      </w:r>
    </w:p>
    <w:p>
      <w:pPr>
        <w:spacing w:after="60" w:before="160"/>
      </w:pPr>
      <w:r>
        <w:rPr>
          <w:b/>
          <w:bCs/>
          <w:color w:val="1F3A5F"/>
          <w:sz w:val="24"/>
          <w:szCs w:val="24"/>
        </w:rPr>
        <w:t xml:space="preserve">Day 10 (Fri)</w:t>
      </w:r>
      <w:r>
        <w:rPr>
          <w:b/>
          <w:bCs/>
          <w:color w:val="C4602D"/>
          <w:sz w:val="22"/>
          <w:szCs w:val="22"/>
        </w:rPr>
        <w:t xml:space="preserve">  —  Audit, freeze v1, checkpoint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Finish and audit </w:t>
      </w:r>
      <w:r>
        <w:t xml:space="preserve">the 10-locus harmonization twice; compare reported effect-allele frequency against 1000G EUR.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Freeze master table v1 </w:t>
      </w:r>
      <w:r>
        <w:t xml:space="preserve">with a version number and an audit note.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Two-week checkpoint: </w:t>
      </w:r>
      <w:r>
        <w:t xml:space="preserve">core reading done, toolkit working, clean pilot master table in hand. Write a short progress note for your PI.</w:t>
      </w:r>
    </w:p>
    <w:p>
      <w:pPr>
        <w:spacing w:after="120" w:line="276"/>
      </w:pPr>
      <w:r>
        <w:rPr>
          <w:i/>
          <w:iCs/>
        </w:rPr>
        <w:t xml:space="preserve">Weekend (light): </w:t>
      </w:r>
      <w:r>
        <w:t xml:space="preserve">rest. Optional: Shi &amp; Holtzman (2018) on innate immunity and Alzheimer’s (APOE, TREM2) — good bridge to your disease-biology side.</w:t>
      </w:r>
    </w:p>
    <w:p>
      <w:r>
        <w:br w:type="page"/>
      </w:r>
    </w:p>
    <w:p>
      <w:pPr>
        <w:pStyle w:val="Heading1"/>
      </w:pPr>
      <w:r>
        <w:t xml:space="preserve">The next two months — mid-term goals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turn the pilot into a working, reproducible pipeline, complete all analyses on the 10 pilot loci, then scale to all 91. This is weeks 3–8 of the protocol timeline, plus a scale-up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1000 Genomes allele frequencies for pilot loci (then all 91 if the pipeline holds). Compute risk-allele AF per super-population, ΔAF, rare/missingness flags.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Frequency table with ΔAF columns; first plots.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Ancestry-specific LD and portability. For each lead SNP, retrieve proxies (r²≥0.8 and ≥0.6) across EUR/AFR/EAS/SAS/AMR; classify portable / partially / non-portable.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LD portability summary by population.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Precomputed selection annotation (1000G Selection Browser, PopHumanScan). Windows ±50/100/250/500 kb. Run positive controls (LCT, EDAR, SLC24A5, DARC) to prove the pipeline recovers known signals.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Selection-evidence table with windows and caveat flags.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Functional / disease-biology annotation (VEP, GWAS Catalog, Open Targets, eQTL). Evidence grading with the graded matrix + red-flag penalties.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One-page reports for the 10 pilot loci; preliminary ranking.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Sensitivity analyses (window size, APOE/HLA exclusion, MAF bins, leave-one-resource-out) and the matched-null background prototype.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Sensitivity table; matched-null enrichment prototype.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Write the short pilot report + slides; produce a ranked list of 5–10 loci for follow-up.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Pilot report and ranked candidate list.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Weeks 9–10 (into month two): scale and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Scale the pipeline from 10 pilot loci to all 91 </w:t>
      </w:r>
      <w:r>
        <w:t xml:space="preserve">AD/ADRD loci once the workflow is proven.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Run the matched-null enrichment across all 91 </w:t>
      </w:r>
      <w:r>
        <w:t xml:space="preserve">(aim for 1,000–10,000 matched sets for stable empirical p-values).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Present the pilot to your lab </w:t>
      </w:r>
      <w:r>
        <w:t xml:space="preserve">and begin TOPMed/BRAVO validation for the rare-variant loci (TREM2, SORL1, ABCA7).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0F6" w:sz="1"/>
              <w:left w:val="single" w:color="1F3A5F" w:sz="18"/>
              <w:bottom w:val="single" w:color="EAF0F6" w:sz="1"/>
              <w:right w:val="single" w:color="EAF0F6" w:sz="1"/>
            </w:tcBorders>
            <w:shd w:fill="EAF0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Mid-term success looks like</w:t>
            </w:r>
          </w:p>
          <w:p>
            <w:pPr>
              <w:spacing w:after="0"/>
            </w:pPr>
            <w:r>
              <w:t xml:space="preserve">A reproducible pipeline; the pilot complete and scaled to 91; genuine fluency with the core statistics and tools; data-access approvals moving; and your first lab presentation delivered.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next two years — long-term goals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grow Exercise 1 into real, publishable work and become genuinely expert in detecting selection. These are milestones to shape with your PI, not fixed dates — program requirements (rotations, coursework, quals) will interleave.</w:t>
      </w:r>
    </w:p>
    <w:p>
      <w:pPr>
        <w:pStyle w:val="Heading2"/>
      </w:pPr>
      <w:r>
        <w:t xml:space="preserve">Months 3–6 — From exercise to real analysis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Finish the full 91-locus analysis </w:t>
      </w:r>
      <w:r>
        <w:t xml:space="preserve">with matched-null enrichment and TOPMed/BRAVO validation.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Learn the modern toolkit hands-on: </w:t>
      </w:r>
      <w:r>
        <w:t xml:space="preserve">coalescent / ARG methods (Relate, tsinfer/tsdate, allele-age inference) and demographic inference (dadi, PSMC/MSMC).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Draft a first write-up </w:t>
      </w:r>
      <w:r>
        <w:t xml:space="preserve">— the exercise’s ranked-hypothesis table is the seed of a methods/annotation manuscript or preprint.</w:t>
      </w:r>
    </w:p>
    <w:p>
      <w:pPr>
        <w:pStyle w:val="Heading2"/>
      </w:pPr>
      <w:r>
        <w:t xml:space="preserve">Months 6–12 — Depth and independence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All of Us follow-up: </w:t>
      </w:r>
      <w:r>
        <w:t xml:space="preserve">phenotype links (lipid, immune, vascular, longevity traits) and local-ancestry analyses in admixed participants (RFMix-style methods).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Learn the harder methods: </w:t>
      </w:r>
      <w:r>
        <w:t xml:space="preserve">machine-learning scans (S/HIC), polygenic-selection tests, and fine-mapping / colocalization.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Prepare for your qualifying / candidacy exam </w:t>
      </w:r>
      <w:r>
        <w:t xml:space="preserve">using Exercise 1 as the worked backbone.</w:t>
      </w:r>
    </w:p>
    <w:p>
      <w:pPr>
        <w:pStyle w:val="Heading2"/>
      </w:pPr>
      <w:r>
        <w:t xml:space="preserve">Year 1–2 — Toward a thesis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Add ancient DNA </w:t>
      </w:r>
      <w:r>
        <w:t xml:space="preserve">as the cleaner test of recent selection — the constructive message of Mills &amp; Mathieson.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Define an independent thesis question </w:t>
      </w:r>
      <w:r>
        <w:t xml:space="preserve">that grows out of Exercise 1 (the name implies more exercises to come). Present at a conference.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Submit / publish </w:t>
      </w:r>
      <w:r>
        <w:t xml:space="preserve">your first-author paper and start a second project.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0F6" w:sz="1"/>
              <w:left w:val="single" w:color="1F3A5F" w:sz="18"/>
              <w:bottom w:val="single" w:color="EAF0F6" w:sz="1"/>
              <w:right w:val="single" w:color="EAF0F6" w:sz="1"/>
            </w:tcBorders>
            <w:shd w:fill="EAF0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Two-year success looks like</w:t>
            </w:r>
          </w:p>
          <w:p>
            <w:pPr>
              <w:spacing w:after="0"/>
            </w:pPr>
            <w:r>
              <w:t xml:space="preserve">Expert-level command of selection-detection methods and their confounders; a submitted or published first-author paper; a defined thesis direction; and your qualifying exam passed.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Skills &amp; tools checklist</w:t>
      </w:r>
    </w:p>
    <w:p>
      <w:pPr>
        <w:pStyle w:val="Heading2"/>
      </w:pPr>
      <w:r>
        <w:t xml:space="preserve">Computational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bcftools — filtering and querying 1000G VCFs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PLINK2 — allele frequencies, LD, large-scale genotype handling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scikit-allel (Python) — SFS, diversity, custom population-genetic stats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 + LDlinkR — population-specific LD proxies and portability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VEP / Ensembl — variant annotation and rsID → coordinate mapping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Reproducible pipeline discipline — scripts, version control, a frozen master table</w:t>
      </w:r>
    </w:p>
    <w:p>
      <w:pPr>
        <w:pStyle w:val="Heading2"/>
      </w:pPr>
      <w:r>
        <w:t xml:space="preserve">Conceptual (in the order to learn them)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Population-genetics logic: allele frequency, drift, Ne, Hardy–Weinberg, neutral theory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Selection footprints: sweeps, LD, hitchhiking, hard vs. soft sweeps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two data views: site frequency spectrum and haplotype structure / LD decay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statistics by footprint: Tajima’s D, Fay &amp; Wu’s H, iHS, XP-EHH, FST, PBS, XP-CLR, MK/HKA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Demography as confounder; the coalescent; matched backgrounds and demographic modelling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Recent and polygenic selection; stratification; ancient DNA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Applied: GWAS interpretation, allele harmonization, LD portability, matched-null controls, evidence grading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Advanced (for expertise): ARGs (Relate, tsinfer), demographic inference (dadi, PSMC/MSMC), ML scans (S/HIC), fine-mapping/colocalization, ancient DNA</w:t>
      </w:r>
    </w:p>
    <w:p>
      <w:r>
        <w:br w:type="page"/>
      </w:r>
    </w:p>
    <w:p>
      <w:pPr>
        <w:pStyle w:val="Heading1"/>
      </w:pPr>
      <w:r>
        <w:t xml:space="preserve">Reading list quick reference</w:t>
      </w:r>
    </w:p>
    <w:p>
      <w:pPr>
        <w:pStyle w:val="Heading2"/>
      </w:pPr>
      <w:r>
        <w:t xml:space="preserve">Read first — the three core papers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Vitti, Grossman &amp; Sabeti (2013), </w:t>
      </w:r>
      <w:r>
        <w:rPr>
          <w:i/>
          <w:iCs/>
        </w:rPr>
        <w:t xml:space="preserve">Detecting Natural Selection in Genomic Data</w:t>
      </w:r>
      <w:r>
        <w:t xml:space="preserve"> — catalogue of footprints and statistics.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Cheng &amp; Steinrücken (2024), </w:t>
      </w:r>
      <w:r>
        <w:rPr>
          <w:i/>
          <w:iCs/>
        </w:rPr>
        <w:t xml:space="preserve">Population Genomic Scans for Natural Selection and Demography</w:t>
      </w:r>
      <w:r>
        <w:t xml:space="preserve"> — modern methods; read twice.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Mills &amp; Mathieson (2022), </w:t>
      </w:r>
      <w:r>
        <w:rPr>
          <w:i/>
          <w:iCs/>
        </w:rPr>
        <w:t xml:space="preserve">The challenge of detecting recent natural selection in human populations</w:t>
      </w:r>
      <w:r>
        <w:t xml:space="preserve"> — failure modes and the reviewer reflex.</w:t>
      </w:r>
    </w:p>
    <w:p>
      <w:pPr>
        <w:pStyle w:val="Heading2"/>
      </w:pPr>
      <w:r>
        <w:t xml:space="preserve">Foundational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Coop, </w:t>
      </w:r>
      <w:r>
        <w:rPr>
          <w:i/>
          <w:iCs/>
        </w:rPr>
        <w:t xml:space="preserve">Population and Quantitative Genetics</w:t>
      </w:r>
      <w:r>
        <w:t xml:space="preserve"> (free lecture notes) — best entry point for a newcomer.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Kimura (1968) </w:t>
      </w:r>
      <w:r>
        <w:t xml:space="preserve">— the original neutral-theory paper.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Hartl &amp; Clark, </w:t>
      </w:r>
      <w:r>
        <w:rPr>
          <w:i/>
          <w:iCs/>
        </w:rPr>
        <w:t xml:space="preserve">Principles of Population Genetics</w:t>
      </w:r>
      <w:r>
        <w:t xml:space="preserve"> — reference textbook.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Nielsen (2005), </w:t>
      </w:r>
      <w:r>
        <w:rPr>
          <w:i/>
          <w:iCs/>
        </w:rPr>
        <w:t xml:space="preserve">Molecular signatures of natural selection</w:t>
      </w:r>
      <w:r>
        <w:t xml:space="preserve">.</w:t>
      </w:r>
    </w:p>
    <w:p>
      <w:pPr>
        <w:pStyle w:val="Heading2"/>
      </w:pPr>
      <w:r>
        <w:t xml:space="preserve">Project-specific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Bellenguez et al. (2026, Nature Genetics) </w:t>
      </w:r>
      <w:r>
        <w:t xml:space="preserve">— your locus list; the paper the whole exercise depends 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Williams (1957), </w:t>
      </w:r>
      <w:r>
        <w:rPr>
          <w:i/>
          <w:iCs/>
        </w:rPr>
        <w:t xml:space="preserve">Pleiotropy, natural selection and the evolution of senescence</w:t>
      </w:r>
      <w:r>
        <w:t xml:space="preserve"> — essential for your antagonistic-pleiotropy framing.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Shi &amp; Holtzman (2018) </w:t>
      </w:r>
      <w:r>
        <w:t xml:space="preserve">— innate immunity and Alzheimer’s (APOE, TREM2).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1000 Genomes papers </w:t>
      </w:r>
      <w:r>
        <w:t xml:space="preserve">(2015; Byrska-Bishop et al. 2022, high-coverage).</w:t>
      </w:r>
    </w:p>
    <w:p>
      <w:pPr>
        <w:pStyle w:val="Heading2"/>
      </w:pPr>
      <w:r>
        <w:t xml:space="preserve">Method classics (skim for intuition) + two caveat papers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Tajima (1989), Fay &amp; Wu (2000), Voight (2006, iHS), Sabeti (2007, XP-EHH), Weir &amp; Cockerham (1984, FST), Chen (2010, XP-CLR/PBS).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Give real attention to: </w:t>
      </w:r>
      <w:r>
        <w:t xml:space="preserve">Hernandez (2007) on ancestral-allele misidentification, and Price (2006) on population stratification — both are traps the protocol warns about.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Exercise 1 Roadmap  ·  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4602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PhD Roadmap — Exercise 1</dc:title>
  <dc:creator>Cowork</dc:creator>
  <cp:lastModifiedBy>Un-named</cp:lastModifiedBy>
  <cp:revision>1</cp:revision>
  <dcterms:created xsi:type="dcterms:W3CDTF">2026-07-09T19:30:47.737Z</dcterms:created>
  <dcterms:modified xsi:type="dcterms:W3CDTF">2026-07-09T19:30:47.738Z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