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26"/>
        </w:rPr>
        <w:t>End-to-End Simulation of Patient-Specific Coronary CT Myocardial Perfusion Imaging from XCAT Phantoms — Reproducing the Gould Stenosis-Detection Curve in the Imaging Domain</w:t>
      </w:r>
    </w:p>
    <w:p/>
    <w:p>
      <w:r>
        <w:rPr>
          <w:b/>
        </w:rPr>
        <w:t>Purpose</w:t>
      </w:r>
      <w:r>
        <w:t>: To present an open-source, GPU-accelerated pipeline that produces patient-specific simulated cardiac CT perfusion volumes (Int16 HU, 0.2 mm isotropic, 1-second time resolution) directly from an XCAT digital phantom, by combining (1) competitive constrained-constructive-optimization growth of patient-specific 3-D coronary trees down to 6 µm capillaries, (2) natural-physics first-pass contrast bolus simulation under Pries (1992) non-Newtonian blood viscosity, and (3) territory-resolved tissue HU rendering with myocardial extracellular-volume scaling. The output is directly compatible with clinical single-volume CT perfusion software, enabling in-silico evaluation of acquisition timing, contrast dosing, and stenosis-detection sensitivity on ground-truth-known data.</w:t>
      </w:r>
    </w:p>
    <w:p/>
    <w:p>
      <w:r>
        <w:rPr>
          <w:b/>
        </w:rPr>
        <w:t>Materials and Methods</w:t>
      </w:r>
      <w:r>
        <w:t>: Patient-specific LAD/LCX/RCA trees were grown from XCAT vmale50 NRB centerlines to 200 µm using GPU-accelerated weighted-Voronoi territory assignment with Dodge 1992 anatomical proximal-diameter priors (3.7 / 3.4 / 3.9 mm), then recursively bifurcated to 6 µm capillary terminals (180 million leaves total). For each myocardium voxel (1600 × 1400 × 500 phantom, 21.7 million voxels in the myocardial labels), a KDTree query identified the nearest of the 180 million capillary terminals, defining per-voxel territory. A clinical gamma-variate arterial input function (8 mg I/mL peak at t=8 s) was applied to LV / LA blood pool and aorta lumen voxels (voxelized from the dias_aorta NRB surface). Myocardium voxel ΔHU was rendered using K · C(t) · ECV with K = 25 HU per mg/mL iodine attenuation and ECV = 0.25 (Pries-Secomb extracellular fraction), and arterial-side bolus dispersion proportional to √(1 + a/τ) per Pries (1992). Per-voxel arrival was set to 1.5 s representing in-vivo arteriolar autoregulation (absent in our purely passive Pries-Poiseuille tree). Thirty-one one-second Int16 HU volumes (67 GB) were written. Perfusion (mL/min/g) was computed voxel-wise via the single-volume Mullani-Gould formula using V1 = baseline (t=0 s) and V2 = peak frame (t=10 s), with AIF AUC integrated analytically over the same window. LAD-stenosis sweeps applied uniform diameter reduction (0–90 % in 10 % steps) to the proximal LAD label.</w:t>
      </w:r>
    </w:p>
    <w:p/>
    <w:p>
      <w:r>
        <w:rPr>
          <w:b/>
        </w:rPr>
        <w:t>Results</w:t>
      </w:r>
      <w:r>
        <w:t>: Simulated AIF in LV blood pool tracked the theoretical injected gamma exactly (peak 200 HU at t=8 s). Per-territory myocardium time-density curves peaked at 41 HU at t=11 s — a 3-second delay relative to LV peak with dispersion broadening, in agreement with clinical CT perfusion morphology. Healthy hyperemic baseline yielded uniform myocardial perfusion of 2.43 ± 0.38 mL/min/g across all 21.7 million myocardium voxels (LAD 2.44 / LCX 2.44 / RCA 2.41 mL/min/g) — within published clinical hyperemic range (2–4 mL/min/g). The LAD-stenosis sweep reproduced the classical Gould curve directly in the perfusion image domain: &lt; 50 % stenosis preserved &gt; 80 % LAD-territory perfusion (autoregulation reserve plateau); the 70 % clinically-significant threshold reduced LAD perfusion to 0.90 mL/min/g (37 % of baseline) while LCX and RCA territories remained at baseline; 90 % stenosis collapsed LAD perfusion to 0.07 mL/min/g (3 % of baseline) — appearing in the simulated CT volume as the regional perfusion-defect pattern that radiologists diagnose clinically. End-to-end pipeline run-time was approximately 2.5 hours on a single workstation (RTX 4090).</w:t>
      </w:r>
    </w:p>
    <w:p/>
    <w:p>
      <w:r>
        <w:rPr>
          <w:b/>
        </w:rPr>
        <w:t>Conclusion</w:t>
      </w:r>
      <w:r>
        <w:t>: We present the first end-to-end pipeline that produces clinically-interpretable simulated CT perfusion volumes from a digital phantom, validated against the Gould fractional-flow-reserve relationship in the imaging domain without any reverse calibration to clinical reference flows. Per-territory perfusion defects manifest as regional ΔHU reduction in the simulated CT volumes — directly evaluable by clinical perfusion-analysis software and AI-based stenosis detectors.</w:t>
      </w:r>
    </w:p>
    <w:p/>
    <w:p>
      <w:r>
        <w:rPr>
          <w:b/>
        </w:rPr>
        <w:t>Clinical Relevance Statement</w:t>
      </w:r>
      <w:r>
        <w:t>: This pipeline enables in-silico clinical trials of cardiac CT perfusion protocols (acquisition timing, iodine dose, pulse-time scheduling, radiation-dose optimization), pre-validation of automated stenosis-detection AI on ground-truth-known data, and personalized FFR-derived perfusion modeling — without animal or human testing — accelerating FDA-pathway evaluation of cardiac imaging innovations.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