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180" w:line="342" w:lineRule="auto"/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GPU-Accelerated Patient-Specific Coronary Tree Generation and Natural-Physics Hemodynamic Simulation from XCAT Phantoms to Capillary Scale</w:t>
      </w:r>
    </w:p>
    <w:p w:rsidR="00000000" w:rsidDel="00000000" w:rsidP="00000000" w:rsidRDefault="00000000" w:rsidRPr="00000000" w14:paraId="00000002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180" w:line="342" w:lineRule="auto"/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180" w:line="342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: To present an open-source, GPU-accelerated computational pipeline that generates patient-specific 3-D coronary artery trees from XCAT digital phantoms down to capillary diameter (6 μm) and simulates blood flow and contrast transport using natural physics (Poiseuille + Pries non-Newtonian viscosity), without reverse calibration to clinical target flows. The system enables in-silico stenosis assessment, virtual clinical trials, and pre-clinical evaluation of CT angiography protocols.</w:t>
      </w:r>
    </w:p>
    <w:p w:rsidR="00000000" w:rsidDel="00000000" w:rsidP="00000000" w:rsidRDefault="00000000" w:rsidRPr="00000000" w14:paraId="00000004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180" w:line="342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Materials and Methods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: We developed two complementary Julia frameworks: (1)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VascularTreeSim.jl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grows competitive constrained-constructive-optimization trees from XCAT NRB centerlines to 200 μm using GPU-accelerated competitive distance fields (CUDA kernels, 256-thread blocks) and recursively bifurcates to 6 μm capillary terminals while preserving XCAT-measured diameters via a max-anatomy Murray rule; (2)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FlowContrastSim.jl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 computes per-segment Hagen-Poiseuille resistance with Pries (1992) diameter- and hematocrit-dependent viscosity and Pries-Secomb (2005) endothelial-surface-layer correction, performs top-down pressure/flow distribution, and simulates gamma-variate iodinated contrast bolus transport with sparse-matrix optimization for trees exceeding 100 million segments. Per-tree weighted-Voronoi territory assignment uses Dodge 1992 angiographic mean adult proximal diameters as anatomical priors (LAD 3.7 mm, LCX 3.4 mm, RCA 3.9 mm); per-tree p95-saturation stopping yields Murray-consistent terminal counts. Pipeline was validated on the XCAT vmale50 phantom (heart, 1600×1400×500 voxels). LAD proximal stenosis was simulated by uniform diameter reduction across the 23 dias_lad1 segments (~12 mm total proximal length) at 0%, 10%, …, 90%.</w:t>
      </w:r>
    </w:p>
    <w:p w:rsidR="00000000" w:rsidDel="00000000" w:rsidP="00000000" w:rsidRDefault="00000000" w:rsidRPr="00000000" w14:paraId="00000005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180" w:line="342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: The pipeline generated patient-specific LAD/LCX/RCA trees totaling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180 million segments</w:t>
      </w:r>
      <w:r w:rsidDel="00000000" w:rsidR="00000000" w:rsidRPr="00000000">
        <w:rPr>
          <w:rFonts w:ascii="Cardo" w:cs="Cardo" w:eastAsia="Cardo" w:hAnsi="Cardo"/>
          <w:color w:val="0a0a0a"/>
          <w:sz w:val="24"/>
          <w:szCs w:val="24"/>
          <w:rtl w:val="0"/>
        </w:rPr>
        <w:t xml:space="preserve"> with &gt;99% segment connectivity. Per-tree natural-physics root flow under fixed 100→15 mmHg boundary conditions yielded LAD 198.7 mL/min (clinical hyperemic target 242 mL/min, 0.82× target). The streaming CSV loader processed individual 35 GB single-tree CSVs in &lt;60 seconds without out-of-memory errors. GPU-accelerated competitive territory assignment ran at &lt;1 second per scan on 1.7-million-point domains (&gt;50× faster than CPU). The LAD stenosis sweep reproduced the classic Gould fractional-flow-reserve curve: &lt;50% stenosis preserved &gt;82% baseline flow; the clinically-significant 70% stenosis threshold reduced flow to 37% of baseline (104 mL/min); 90% stenosis collapsed flow to 3% baseline (8 mL/min), consistent with published in-vivo and ex-vivo hemodynamic literature.</w:t>
      </w:r>
    </w:p>
    <w:p w:rsidR="00000000" w:rsidDel="00000000" w:rsidP="00000000" w:rsidRDefault="00000000" w:rsidRPr="00000000" w14:paraId="00000006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180" w:line="342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: The proposed open-source pipeline reproduces patient-specific coronary anatomy and hemodynamics from XCAT phantoms to capillary scale using natural physics and literature anatomical priors, without target-flow calibration. Stenosis sweeps reproduce the classic Gould curve, demonstrating clinical fidelity. The framework provides a foundation for in-silico cardiovascular trials.</w:t>
      </w:r>
    </w:p>
    <w:p w:rsidR="00000000" w:rsidDel="00000000" w:rsidP="00000000" w:rsidRDefault="00000000" w:rsidRPr="00000000" w14:paraId="00000007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dfdfc" w:val="clear"/>
        <w:spacing w:after="180" w:line="342" w:lineRule="auto"/>
        <w:rPr>
          <w:rFonts w:ascii="Times New Roman" w:cs="Times New Roman" w:eastAsia="Times New Roman" w:hAnsi="Times New Roman"/>
          <w:color w:val="0a0a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24"/>
          <w:szCs w:val="24"/>
          <w:rtl w:val="0"/>
        </w:rPr>
        <w:t xml:space="preserve">Clinical Relevance Statement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rtl w:val="0"/>
        </w:rPr>
        <w:t xml:space="preserve">: This pipeline enables virtual clinical trials of CT-angiography-based stenosis assessment, contrast-agent dosing, and radiation protocol optimization without animal or human testing, accelerating FDA-pathway evaluation of cardiac imaging innovations and supporting personalized fractional-flow-reserve assessment from non-invasive imaging.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