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Meme代币核心经济机制理论知识梳理</w:t>
      </w:r>
    </w:p>
    <w:p>
      <w:pPr>
        <w:pStyle w:val="Heading3"/>
      </w:pPr>
      <w:r>
        <w:t xml:space="preserve">一、代币税机制分析：Meme 代币经济的调节核心</w:t>
      </w:r>
    </w:p>
    <w:p>
      <w:pPr>
        <w:pStyle w:val="text"/>
      </w:pPr>
    </w:p>
    <w:p>
      <w:pPr>
        <w:pStyle w:val="Heading4"/>
      </w:pPr>
      <w:r>
        <w:t xml:space="preserve">1. 代币税在 Meme 代币经济模型中的核心作用</w:t>
      </w:r>
    </w:p>
    <w:p>
      <w:pPr>
        <w:pStyle w:val="text"/>
      </w:pPr>
      <w:r>
        <w:t xml:space="preserve">Meme 代币通常缺乏实体资产支撑，价格波动性极强，</w:t>
      </w:r>
      <w:r>
        <w:rPr>
          <w:b/>
          <w:bCs/>
        </w:rPr>
        <w:t xml:space="preserve">代币税的核心作用是通过税收杠杆调节市场行为，实现生态可持续性</w:t>
      </w:r>
      <w:r>
        <w:t xml:space="preserve">：一方面，通过税收形成内置的 “价值回收与再分配” 机制，避免短期投机者过度炒作；另一方面，税收收入可用于补充流动性、社区激励、项目发展等，增强代币的长期价值支撑。与传统金融税收不同，Meme 代币的代币税直接写入智能合约，执行透明、不可篡改，契合去中心化的核心特性。</w:t>
      </w:r>
    </w:p>
    <w:p>
      <w:pPr>
        <w:pStyle w:val="Heading4"/>
      </w:pPr>
      <w:r>
        <w:t xml:space="preserve">2. 对代币价格稳定和市场流动性的影响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价格稳定层面</w:t>
      </w:r>
      <w:r>
        <w:t xml:space="preserve">：代币税通过提高短期交易成本（如频繁买卖需支付额外税费），抑制 “追涨杀跌” 的投机行为，减少价格暴涨暴跌的幅度。例如，当代币价格快速拉升时，高额卖出税会降低获利出逃的吸引力，延缓价格崩盘；但过低的税率无法起到调节作用，过高则可能导致市场活跃度下降，陷入 “流动性枯竭”。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市场流动性层面</w:t>
      </w:r>
      <w:r>
        <w:t xml:space="preserve">：代币税的收入若定向注入流动性池（如将交易税的 50% 自动添加到 DEX 流动性池），可直接提升市场深度，让投资者更容易买卖代币，增强流动性；反之，若税收仅用于团队分配或无明确用途，会降低投资者信心，反而削弱流动性。</w:t>
      </w:r>
    </w:p>
    <w:p>
      <w:pPr>
        <w:pStyle w:val="Heading4"/>
      </w:pPr>
      <w:r>
        <w:t xml:space="preserve">3. 常见征收方式及税率调整的经济目标实现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交易税（最主流）</w:t>
      </w:r>
      <w:r>
        <w:t xml:space="preserve">：对每笔买卖交易按固定比例征税（常见 0.5%-10%），税收通常拆分至流动性池、社区国库、持有人分红等。例如：</w:t>
      </w:r>
    </w:p>
    <w:p>
      <w:pPr>
        <w:pStyle w:val="text"/>
        <w:numPr>
          <w:ilvl w:val="1"/>
          <w:numId w:val="2"/>
        </w:numPr>
      </w:pPr>
      <w:r>
        <w:t xml:space="preserve">目标 “提升流动性”：将交易税的 80% 注入 Uniswap 流动性池，20% 用于社区营销，税率设置为 5%，吸引长期持有者，减少短期抛压；</w:t>
      </w:r>
    </w:p>
    <w:p>
      <w:pPr>
        <w:pStyle w:val="text"/>
        <w:numPr>
          <w:ilvl w:val="1"/>
          <w:numId w:val="2"/>
        </w:numPr>
      </w:pPr>
      <w:r>
        <w:t xml:space="preserve">目标 “激励长期持有”：交易税的 50% 按持有比例返还给现有持有人，税率设置为 3%，鼓励投资者长期锁仓，稳定代币价格。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持有税（小众）</w:t>
      </w:r>
      <w:r>
        <w:t xml:space="preserve">：对持有超过一定周期的代币征收少量税费（或反向对短期持有征税），常见于 “反鲸鱼” 模型。例如，持有不足 7 天的代币卖出时征收 10% 高额税，持有超过 30 天则免征，强制引导长期持有行为。</w:t>
      </w:r>
    </w:p>
    <w:p>
      <w:pPr>
        <w:pStyle w:val="text"/>
        <w:numPr>
          <w:ilvl w:val="0"/>
          <w:numId w:val="2"/>
        </w:numPr>
      </w:pPr>
      <w:r>
        <w:t xml:space="preserve">** mint/burn 税 **：对代币铸造（mint）或销毁（burn）行为征税，用于调节代币总供应量。例如，当代币价格过高时，通过 mint 税降低新增供应速度；当价格过低时，通过 burn 税减少流通量，间接稳定价格。</w:t>
      </w:r>
    </w:p>
    <w:p>
      <w:pPr>
        <w:pStyle w:val="Heading3"/>
      </w:pPr>
      <w:r>
        <w:t xml:space="preserve">二、流动性池原理探究：去中心化交易的核心基础设施</w:t>
      </w:r>
    </w:p>
    <w:p>
      <w:pPr>
        <w:pStyle w:val="Heading4"/>
      </w:pPr>
      <w:r>
        <w:t xml:space="preserve">1. 去中心化交易中的工作原理</w:t>
      </w:r>
    </w:p>
    <w:p>
      <w:pPr>
        <w:pStyle w:val="text"/>
      </w:pPr>
      <w:r>
        <w:t xml:space="preserve">流动性池（Liquidity Pool，LP）是由用户（流动性提供者，LP 提供者）存入两种互补资产（如 ETH 和某 Meme 代币）组成的资金池，智能合约（如 Uniswap、SushiSwap）通过</w:t>
      </w:r>
      <w:r>
        <w:rPr>
          <w:b/>
          <w:bCs/>
        </w:rPr>
        <w:t xml:space="preserve">恒定乘积公式（x*y=k，x、y 为两种资产数量，k 为固定常数）</w:t>
      </w:r>
      <w:r>
        <w:t xml:space="preserve"> 自动定价和执行交易。当投资者买入 A 资产时，A 资产数量减少，B 资产数量增加，价格随供需关系自动调整（买入方需支付更高的 B 资产兑换 A 资产，即 A 资产涨价）；卖出则反之，整个过程无需中心化交易所的订单匹配，实现 24 小时无间断交易。</w:t>
      </w:r>
    </w:p>
    <w:p>
      <w:pPr>
        <w:pStyle w:val="Heading4"/>
      </w:pPr>
      <w:r>
        <w:t xml:space="preserve">2. 与传统订单簿交易模式的核心区别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对比维度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流动性池模式（DEX）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订单簿模式（CEX）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交易匹配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智能合约自动执行，无对手方订单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中心化服务器匹配买卖订单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流动性来源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用户主动提供资金池，共享手续费收益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做市商 + 散户挂单，做市商主导流动性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交易门槛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低，小额交易无滑点压力，支持长尾资产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高，小额交易可能因无对手方无法成交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价格形成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恒定公式驱动，随交易实时调整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买卖订单撮合价，存在挂单价差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去中心化程度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完全去中心化，无第三方干预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中心化控制，依赖交易所信用</w:t>
            </w:r>
          </w:p>
        </w:tc>
      </w:tr>
    </w:tbl>
    <w:p>
      <w:pPr>
        <w:pStyle w:val="text"/>
      </w:pPr>
      <w:r>
        <w:t xml:space="preserve">核心差异：流动性池解决了传统订单簿 “流动性碎片化” 的问题，尤其适合 Meme 代币等长尾资产 —— 这类资产在 CEX 难以吸引做市商提供流动性，而 DEX 通过用户共享资金池，可快速搭建交易市场。</w:t>
      </w:r>
    </w:p>
    <w:p>
      <w:pPr>
        <w:pStyle w:val="Heading4"/>
      </w:pPr>
      <w:r>
        <w:t xml:space="preserve">3. 流动性提供者的收益来源与核心风险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收益来源</w:t>
      </w:r>
      <w:r>
        <w:t xml:space="preserve">：</w:t>
      </w:r>
    </w:p>
    <w:p>
      <w:pPr>
        <w:pStyle w:val="text"/>
        <w:numPr>
          <w:ilvl w:val="1"/>
          <w:numId w:val="3"/>
        </w:numPr>
      </w:pPr>
      <w:r>
        <w:t xml:space="preserve">交易手续费分成：每笔通过流动性池的交易需支付 0.3%-1% 的手续费（不同 DEX 比例不同），按 LP 提供者存入资金占池的比例分配；</w:t>
      </w:r>
    </w:p>
    <w:p>
      <w:pPr>
        <w:pStyle w:val="text"/>
        <w:numPr>
          <w:ilvl w:val="1"/>
          <w:numId w:val="3"/>
        </w:numPr>
      </w:pPr>
      <w:r>
        <w:t xml:space="preserve">额外激励：部分 Meme 代币项目会发行 LP 奖励代币，对提供流动性的用户额外发放，吸引更多资金注入；</w:t>
      </w:r>
    </w:p>
    <w:p>
      <w:pPr>
        <w:pStyle w:val="text"/>
        <w:numPr>
          <w:ilvl w:val="1"/>
          <w:numId w:val="3"/>
        </w:numPr>
      </w:pPr>
      <w:r>
        <w:t xml:space="preserve">代币增值收益：若存入的两种资产（尤其是 Meme 代币）价格上涨，LP 提供者赎回资产时可获得价差收益。</w:t>
      </w:r>
    </w:p>
    <w:p>
      <w:pPr>
        <w:pStyle w:val="text"/>
        <w:numPr>
          <w:ilvl w:val="0"/>
          <w:numId w:val="2"/>
        </w:numPr>
      </w:pPr>
      <w:r>
        <w:rPr>
          <w:b/>
          <w:bCs/>
        </w:rPr>
        <w:t xml:space="preserve">核心风险</w:t>
      </w:r>
      <w:r>
        <w:t xml:space="preserve">：</w:t>
      </w:r>
    </w:p>
    <w:p>
      <w:pPr>
        <w:pStyle w:val="text"/>
        <w:numPr>
          <w:ilvl w:val="1"/>
          <w:numId w:val="2"/>
        </w:numPr>
      </w:pPr>
      <w:r>
        <w:rPr>
          <w:b/>
          <w:bCs/>
        </w:rPr>
        <w:t xml:space="preserve">无常损失（Impermanent Loss）</w:t>
      </w:r>
      <w:r>
        <w:t xml:space="preserve">：最主要风险。当两种资产的市场价格比例发生大幅波动时，LP 提供者赎回资产的价值会低于持有资产不提供流动性的价值。例如，存入 ETH 和 Meme 代币，若 Meme 代币价格暴涨 10 倍，投资者通过流动性池兑换出的 ETH 数量会远少于直接持有 Meme 代币后卖出的收益，差额即为无常损失（波动越大，损失越严重）；</w:t>
      </w:r>
    </w:p>
    <w:p>
      <w:pPr>
        <w:pStyle w:val="text"/>
        <w:numPr>
          <w:ilvl w:val="1"/>
          <w:numId w:val="2"/>
        </w:numPr>
      </w:pPr>
      <w:r>
        <w:rPr>
          <w:b/>
          <w:bCs/>
        </w:rPr>
        <w:t xml:space="preserve">流动性枯竭风险</w:t>
      </w:r>
      <w:r>
        <w:t xml:space="preserve">：若 Meme 代币价格崩盘，大量 LP 提供者赎回资产，导致资金池余额骤减，后续交易将出现巨大滑点（如买入 100 美元代币需支付 20 美元额外成本），进一步加剧市场恐慌；</w:t>
      </w:r>
    </w:p>
    <w:p>
      <w:pPr>
        <w:pStyle w:val="text"/>
        <w:numPr>
          <w:ilvl w:val="1"/>
          <w:numId w:val="2"/>
        </w:numPr>
      </w:pPr>
      <w:r>
        <w:rPr>
          <w:b/>
          <w:bCs/>
        </w:rPr>
        <w:t xml:space="preserve">智能合约风险</w:t>
      </w:r>
      <w:r>
        <w:t xml:space="preserve">：流动性池依赖合约代码，若存在漏洞，可能被黑客攻击盗取资金池资产。</w:t>
      </w:r>
    </w:p>
    <w:p>
      <w:pPr>
        <w:pStyle w:val="Heading3"/>
      </w:pPr>
      <w:r>
        <w:t xml:space="preserve">三、交易限制策略探讨：Meme 代币的投资者保护机制</w:t>
      </w:r>
    </w:p>
    <w:p>
      <w:pPr>
        <w:pStyle w:val="Heading4"/>
      </w:pPr>
      <w:r>
        <w:t xml:space="preserve">1. 设置交易限制的核心目的</w:t>
      </w:r>
    </w:p>
    <w:p>
      <w:pPr>
        <w:pStyle w:val="text"/>
      </w:pPr>
      <w:r>
        <w:t xml:space="preserve">Meme 代币市场鱼龙混杂，投机性强，设置交易限制的核心目的是</w:t>
      </w:r>
      <w:r>
        <w:rPr>
          <w:b/>
          <w:bCs/>
        </w:rPr>
        <w:t xml:space="preserve">防范市场操纵、保护中小投资者利益</w:t>
      </w:r>
      <w:r>
        <w:t xml:space="preserve">，具体包括：</w:t>
      </w:r>
    </w:p>
    <w:p>
      <w:pPr>
        <w:pStyle w:val="text"/>
        <w:numPr>
          <w:ilvl w:val="0"/>
          <w:numId w:val="2"/>
        </w:numPr>
      </w:pPr>
      <w:r>
        <w:t xml:space="preserve">阻止 “鲸鱼地址”（持有大量代币的地址）集中买卖，避免其通过拉盘砸盘操纵价格；</w:t>
      </w:r>
    </w:p>
    <w:p>
      <w:pPr>
        <w:pStyle w:val="text"/>
        <w:numPr>
          <w:ilvl w:val="0"/>
          <w:numId w:val="2"/>
        </w:numPr>
      </w:pPr>
      <w:r>
        <w:t xml:space="preserve">防范恶意行为，如闪电贷攻击（利用瞬时大额资金操纵价格后套利）、批量虚假交易刷量；</w:t>
      </w:r>
    </w:p>
    <w:p>
      <w:pPr>
        <w:pStyle w:val="text"/>
        <w:numPr>
          <w:ilvl w:val="0"/>
          <w:numId w:val="2"/>
        </w:numPr>
      </w:pPr>
      <w:r>
        <w:t xml:space="preserve">稳定市场情绪，减少短期极端波动，给普通投资者留出理性决策时间；</w:t>
      </w:r>
    </w:p>
    <w:p>
      <w:pPr>
        <w:pStyle w:val="text"/>
        <w:numPr>
          <w:ilvl w:val="0"/>
          <w:numId w:val="2"/>
        </w:numPr>
      </w:pPr>
      <w:r>
        <w:t xml:space="preserve">筛选长期投资者，剔除短期投机者，优化代币持有人结构。</w:t>
      </w:r>
    </w:p>
    <w:p>
      <w:pPr>
        <w:pStyle w:val="Heading4"/>
      </w:pPr>
      <w:r>
        <w:t xml:space="preserve">2. 常见交易限制策略及优劣分析</w:t>
      </w:r>
    </w:p>
    <w:p>
      <w:pPr>
        <w:pStyle w:val="text"/>
      </w:pP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策略类型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具体表现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优点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缺点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交易额度限制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单地址单次 / 单日买卖代币的数量或金额上限（如单日最多买入 5 万美元代币）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有效限制鲸鱼地址大额操作，降低价格操纵风险；门槛低，不影响中小投资者正常交易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可能被规避（如鲸鱼拆分多个小号交易）；若额度设置过低，可能限制市场流动性，导致正常交易无法完成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交易频率限制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单地址单位时间内交易次数上限（如 1 小时内最多交易 3 次）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抑制高频短线交易和刷量行为，减少市场波动；增加操纵市场的时间成本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影响高频交易者正常操作；可能与流动性提供者的交易需求冲突（如 LP 需频繁调整仓位）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持仓比例限制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单地址持有代币数量不超过总供应量的一定比例（如 5%）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从源头防止鲸鱼地址形成，避免集中控盘；均衡持有人结构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限制大额资金入场，可能降低项目吸引力；技术上难以完全限制（如通过关联地址规避）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锁仓期限制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买入后需持有一定时间才能卖出（如锁仓 72 小时）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强制引导长期持有，减少短期抛压；稳定代币价格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降低市场流动性，若项目出现风险，投资者无法及时止损；可能引发恐慌性抛售（锁仓期结束后）</w:t>
            </w:r>
          </w:p>
        </w:tc>
      </w:tr>
      <w:tr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白名单交易限制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仅通过审核的地址可参与交易（如 KYC 认证、社区贡献者）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筛选优质投资者，剔除恶意地址；降低诈骗和攻击风险</w:t>
            </w:r>
          </w:p>
        </w:tc>
        <w:tc>
          <w:tcPr>
            <w:tcW w:type="dxa" w:w="2760"/>
            <w:tcBorders>
              <w:top w:val="single" w:color="DEE0E3" w:sz="0" w:space="0"/>
              <w:start w:val="single" w:color="DEE0E3" w:sz="0" w:space="0"/>
              <w:left w:val="single" w:color="DEE0E3" w:sz="0" w:space="0"/>
              <w:bottom w:val="single" w:color="DEE0E3" w:sz="0" w:space="0"/>
              <w:end w:val="single" w:color="DEE0E3" w:sz="0" w:space="0"/>
              <w:right w:val="single" w:color="DEE0E3" w:sz="0" w:space="0"/>
            </w:tcBorders>
            <w:tcMar>
              <w:top w:type="dxa" w:w="60"/>
              <w:left w:type="dxa" w:w="120"/>
              <w:bottom w:type="dxa" w:w="30"/>
              <w:right w:type="dxa" w:w="120"/>
            </w:tcMar>
          </w:tcPr>
          <w:p>
            <w:pPr>
              <w:pStyle w:val="text"/>
            </w:pPr>
            <w:r>
              <w:t xml:space="preserve">中心化特征明显，与去中心化理念冲突；审核流程繁琐，影响新用户入场效率</w:t>
            </w:r>
          </w:p>
        </w:tc>
      </w:tr>
    </w:tbl>
    <w:p>
      <w:pPr>
        <w:pStyle w:val="Heading4"/>
      </w:pPr>
      <w:r>
        <w:t xml:space="preserve">3. 策略应用的关键原则</w:t>
      </w:r>
    </w:p>
    <w:p>
      <w:pPr>
        <w:pStyle w:val="text"/>
      </w:pPr>
      <w:r>
        <w:t xml:space="preserve">交易限制策略的核心是 “平衡”—— 需在 “保护投资者” 和 “保障市场活力” 之间找到平衡点：</w:t>
      </w:r>
    </w:p>
    <w:p>
      <w:pPr>
        <w:pStyle w:val="text"/>
        <w:numPr>
          <w:ilvl w:val="0"/>
          <w:numId w:val="2"/>
        </w:numPr>
      </w:pPr>
      <w:r>
        <w:t xml:space="preserve">限制力度不宜过严，否则会导致市场僵化、流动性不足，反而引发新的恐慌；</w:t>
      </w:r>
    </w:p>
    <w:p>
      <w:pPr>
        <w:pStyle w:val="text"/>
        <w:numPr>
          <w:ilvl w:val="0"/>
          <w:numId w:val="2"/>
        </w:numPr>
      </w:pPr>
      <w:r>
        <w:t xml:space="preserve">需结合项目阶段调整：早期可设置较严格的限制（如锁仓期 + 额度限制），稳定初始市场；成熟期可放宽限制，提升市场活跃度；</w:t>
      </w:r>
    </w:p>
    <w:p>
      <w:pPr>
        <w:pStyle w:val="text"/>
        <w:numPr>
          <w:ilvl w:val="0"/>
          <w:numId w:val="2"/>
        </w:numPr>
      </w:pPr>
      <w:r>
        <w:t xml:space="preserve">配套透明机制：交易限制规则需提前写入合约并公示，避免团队随意修改，增强投资者信任。</w:t>
      </w:r>
    </w:p>
    <w:p>
      <w:pPr>
        <w:pStyle w:val="blockquote"/>
        <w:pBdr>
          <w:left w:val="single" w:color="BBBFC4" w:sz="18" w:space="0"/>
        </w:pBdr>
      </w:pPr>
      <w:r>
        <w:t xml:space="preserve">（注：文档部分内容可能由 AI 生成）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lowerLetter"/>
      <w:lvlText w:val="%2.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lowerRoman"/>
      <w:lvlText w:val="%3.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decimal"/>
      <w:lvlText w:val="%4.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lowerLetter"/>
      <w:lvlText w:val="%5.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lowerRoman"/>
      <w:lvlText w:val="%6.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decimal"/>
      <w:lvlText w:val="%7.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lowerLetter"/>
      <w:lvlText w:val="%8.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lowerRoman"/>
      <w:lvlText w:val="%9.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decimal"/>
      <w:lvlText w:val="%10.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288" w:hanging="288"/>
      </w:pPr>
      <w:rPr>
        <w:color w:val="3370FF"/>
        <w:sz w:val="22"/>
        <w:szCs w:val="22"/>
      </w:rPr>
    </w:lvl>
    <w:lvl w:ilvl="1" w15:tentative="1">
      <w:start w:val="1"/>
      <w:numFmt w:val="bullet"/>
      <w:lvlText w:val="◦"/>
      <w:lvlJc w:val="start"/>
      <w:pPr>
        <w:ind w:left="720" w:hanging="288"/>
      </w:pPr>
      <w:rPr>
        <w:color w:val="3370FF"/>
        <w:sz w:val="22"/>
        <w:szCs w:val="22"/>
      </w:rPr>
    </w:lvl>
    <w:lvl w:ilvl="2" w15:tentative="1">
      <w:start w:val="1"/>
      <w:numFmt w:val="bullet"/>
      <w:lvlText w:val="▪"/>
      <w:lvlJc w:val="start"/>
      <w:pPr>
        <w:ind w:left="1152" w:hanging="288"/>
      </w:pPr>
      <w:rPr>
        <w:color w:val="3370FF"/>
        <w:sz w:val="22"/>
        <w:szCs w:val="22"/>
      </w:rPr>
    </w:lvl>
    <w:lvl w:ilvl="3" w15:tentative="1">
      <w:start w:val="1"/>
      <w:numFmt w:val="bullet"/>
      <w:lvlText w:val="•"/>
      <w:lvlJc w:val="start"/>
      <w:pPr>
        <w:ind w:left="1583" w:hanging="288"/>
      </w:pPr>
      <w:rPr>
        <w:color w:val="3370FF"/>
        <w:sz w:val="22"/>
        <w:szCs w:val="22"/>
      </w:rPr>
    </w:lvl>
    <w:lvl w:ilvl="4" w15:tentative="1">
      <w:start w:val="1"/>
      <w:numFmt w:val="bullet"/>
      <w:lvlText w:val="◦"/>
      <w:lvlJc w:val="start"/>
      <w:pPr>
        <w:ind w:left="2015" w:hanging="288"/>
      </w:pPr>
      <w:rPr>
        <w:color w:val="3370FF"/>
        <w:sz w:val="22"/>
        <w:szCs w:val="22"/>
      </w:rPr>
    </w:lvl>
    <w:lvl w:ilvl="5" w15:tentative="1">
      <w:start w:val="1"/>
      <w:numFmt w:val="bullet"/>
      <w:lvlText w:val="▪"/>
      <w:lvlJc w:val="start"/>
      <w:pPr>
        <w:ind w:left="2448" w:hanging="288"/>
      </w:pPr>
      <w:rPr>
        <w:color w:val="3370FF"/>
        <w:sz w:val="22"/>
        <w:szCs w:val="22"/>
      </w:rPr>
    </w:lvl>
    <w:lvl w:ilvl="6" w15:tentative="1">
      <w:start w:val="1"/>
      <w:numFmt w:val="bullet"/>
      <w:lvlText w:val="•"/>
      <w:lvlJc w:val="start"/>
      <w:pPr>
        <w:ind w:left="2879" w:hanging="288"/>
      </w:pPr>
      <w:rPr>
        <w:color w:val="3370FF"/>
        <w:sz w:val="22"/>
        <w:szCs w:val="22"/>
      </w:rPr>
    </w:lvl>
    <w:lvl w:ilvl="7" w15:tentative="1">
      <w:start w:val="1"/>
      <w:numFmt w:val="bullet"/>
      <w:lvlText w:val="◦"/>
      <w:lvlJc w:val="start"/>
      <w:pPr>
        <w:ind w:left="3312" w:hanging="288"/>
      </w:pPr>
      <w:rPr>
        <w:color w:val="3370FF"/>
        <w:sz w:val="22"/>
        <w:szCs w:val="22"/>
      </w:rPr>
    </w:lvl>
    <w:lvl w:ilvl="8" w15:tentative="1">
      <w:start w:val="1"/>
      <w:numFmt w:val="bullet"/>
      <w:lvlText w:val="▪"/>
      <w:lvlJc w:val="start"/>
      <w:pPr>
        <w:ind w:left="3744" w:hanging="288"/>
      </w:pPr>
      <w:rPr>
        <w:color w:val="3370FF"/>
        <w:sz w:val="22"/>
        <w:szCs w:val="22"/>
      </w:rPr>
    </w:lvl>
    <w:lvl w:ilvl="9" w15:tentative="1">
      <w:start w:val="1"/>
      <w:numFmt w:val="bullet"/>
      <w:lvlText w:val="•"/>
      <w:lvlJc w:val="start"/>
      <w:pPr>
        <w:ind w:left="4176" w:hanging="288"/>
      </w:pPr>
      <w:rPr>
        <w:color w:val="3370FF"/>
        <w:sz w:val="22"/>
        <w:szCs w:val="22"/>
      </w:rPr>
    </w:lvl>
  </w:abstractNum>
  <w:abstractNum w:abstractNumId="4" w15:restartNumberingAfterBreak="0">
    <w:multiLevelType w:val="hybridMultilevel"/>
    <w:lvl w:ilvl="0" w15:tentative="1">
      <w:start w:val="1"/>
      <w:numFmt w:val="custom"/>
      <w:lvlText w:val="☐"/>
      <w:lvlJc w:val="start"/>
      <w:pPr>
        <w:ind w:left="288" w:hanging="288"/>
      </w:pPr>
    </w:lvl>
    <w:lvl w:ilvl="1" w15:tentative="1">
      <w:start w:val="1"/>
      <w:numFmt w:val="custom"/>
      <w:lvlText w:val="☐"/>
      <w:lvlJc w:val="start"/>
      <w:pPr>
        <w:ind w:left="720" w:hanging="288"/>
      </w:pPr>
    </w:lvl>
    <w:lvl w:ilvl="2" w15:tentative="1">
      <w:start w:val="1"/>
      <w:numFmt w:val="custom"/>
      <w:lvlText w:val="☐"/>
      <w:lvlJc w:val="start"/>
      <w:pPr>
        <w:ind w:left="1152" w:hanging="288"/>
      </w:pPr>
    </w:lvl>
    <w:lvl w:ilvl="3" w15:tentative="1">
      <w:start w:val="1"/>
      <w:numFmt w:val="custom"/>
      <w:lvlText w:val="☐"/>
      <w:lvlJc w:val="start"/>
      <w:pPr>
        <w:ind w:left="1583" w:hanging="288"/>
      </w:pPr>
    </w:lvl>
    <w:lvl w:ilvl="4" w15:tentative="1">
      <w:start w:val="1"/>
      <w:numFmt w:val="custom"/>
      <w:lvlText w:val="☐"/>
      <w:lvlJc w:val="start"/>
      <w:pPr>
        <w:ind w:left="2015" w:hanging="288"/>
      </w:pPr>
    </w:lvl>
    <w:lvl w:ilvl="5" w15:tentative="1">
      <w:start w:val="1"/>
      <w:numFmt w:val="custom"/>
      <w:lvlText w:val="☐"/>
      <w:lvlJc w:val="start"/>
      <w:pPr>
        <w:ind w:left="2448" w:hanging="288"/>
      </w:pPr>
    </w:lvl>
    <w:lvl w:ilvl="6" w15:tentative="1">
      <w:start w:val="1"/>
      <w:numFmt w:val="custom"/>
      <w:lvlText w:val="☐"/>
      <w:lvlJc w:val="start"/>
      <w:pPr>
        <w:ind w:left="2879" w:hanging="288"/>
      </w:pPr>
    </w:lvl>
    <w:lvl w:ilvl="7" w15:tentative="1">
      <w:start w:val="1"/>
      <w:numFmt w:val="custom"/>
      <w:lvlText w:val="☐"/>
      <w:lvlJc w:val="start"/>
      <w:pPr>
        <w:ind w:left="3312" w:hanging="288"/>
      </w:pPr>
    </w:lvl>
    <w:lvl w:ilvl="8" w15:tentative="1">
      <w:start w:val="1"/>
      <w:numFmt w:val="custom"/>
      <w:lvlText w:val="☐"/>
      <w:lvlJc w:val="start"/>
      <w:pPr>
        <w:ind w:left="3744" w:hanging="288"/>
      </w:pPr>
    </w:lvl>
    <w:lvl w:ilvl="9" w15:tentative="1">
      <w:start w:val="1"/>
      <w:numFmt w:val="custom"/>
      <w:lvlText w:val="☐"/>
      <w:lvlJc w:val="start"/>
      <w:pPr>
        <w:ind w:left="4176" w:hanging="288"/>
      </w:pPr>
    </w:lvl>
  </w:abstractNum>
  <w:abstractNum w:abstractNumId="5" w15:restartNumberingAfterBreak="0">
    <w:multiLevelType w:val="hybridMultilevel"/>
    <w:lvl w:ilvl="0" w15:tentative="1">
      <w:start w:val="1"/>
      <w:numFmt w:val="custom"/>
      <w:lvlText w:val="☑"/>
      <w:lvlJc w:val="start"/>
      <w:pPr>
        <w:ind w:left="288" w:hanging="288"/>
      </w:pPr>
    </w:lvl>
    <w:lvl w:ilvl="1" w15:tentative="1">
      <w:start w:val="1"/>
      <w:numFmt w:val="custom"/>
      <w:lvlText w:val="☑"/>
      <w:lvlJc w:val="start"/>
      <w:pPr>
        <w:ind w:left="720" w:hanging="288"/>
      </w:pPr>
    </w:lvl>
    <w:lvl w:ilvl="2" w15:tentative="1">
      <w:start w:val="1"/>
      <w:numFmt w:val="custom"/>
      <w:lvlText w:val="☑"/>
      <w:lvlJc w:val="start"/>
      <w:pPr>
        <w:ind w:left="1152" w:hanging="288"/>
      </w:pPr>
    </w:lvl>
    <w:lvl w:ilvl="3" w15:tentative="1">
      <w:start w:val="1"/>
      <w:numFmt w:val="custom"/>
      <w:lvlText w:val="☑"/>
      <w:lvlJc w:val="start"/>
      <w:pPr>
        <w:ind w:left="1583" w:hanging="288"/>
      </w:pPr>
    </w:lvl>
    <w:lvl w:ilvl="4" w15:tentative="1">
      <w:start w:val="1"/>
      <w:numFmt w:val="custom"/>
      <w:lvlText w:val="☑"/>
      <w:lvlJc w:val="start"/>
      <w:pPr>
        <w:ind w:left="2015" w:hanging="288"/>
      </w:pPr>
    </w:lvl>
    <w:lvl w:ilvl="5" w15:tentative="1">
      <w:start w:val="1"/>
      <w:numFmt w:val="custom"/>
      <w:lvlText w:val="☑"/>
      <w:lvlJc w:val="start"/>
      <w:pPr>
        <w:ind w:left="2448" w:hanging="288"/>
      </w:pPr>
    </w:lvl>
    <w:lvl w:ilvl="6" w15:tentative="1">
      <w:start w:val="1"/>
      <w:numFmt w:val="custom"/>
      <w:lvlText w:val="☑"/>
      <w:lvlJc w:val="start"/>
      <w:pPr>
        <w:ind w:left="2879" w:hanging="288"/>
      </w:pPr>
    </w:lvl>
    <w:lvl w:ilvl="7" w15:tentative="1">
      <w:start w:val="1"/>
      <w:numFmt w:val="custom"/>
      <w:lvlText w:val="☑"/>
      <w:lvlJc w:val="start"/>
      <w:pPr>
        <w:ind w:left="3312" w:hanging="288"/>
      </w:pPr>
    </w:lvl>
    <w:lvl w:ilvl="8" w15:tentative="1">
      <w:start w:val="1"/>
      <w:numFmt w:val="custom"/>
      <w:lvlText w:val="☑"/>
      <w:lvlJc w:val="start"/>
      <w:pPr>
        <w:ind w:left="3744" w:hanging="288"/>
      </w:pPr>
    </w:lvl>
    <w:lvl w:ilvl="9" w15:tentative="1">
      <w:start w:val="1"/>
      <w:numFmt w:val="custom"/>
      <w:lvlText w:val="☑"/>
      <w:lvlJc w:val="start"/>
      <w:pPr>
        <w:ind w:left="4176" w:hanging="288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pPr>
      <w:spacing w:before="480" w:after="480" w:line="288" w:lineRule="auto"/>
      <w:ind w:left="0"/>
    </w:pPr>
    <w:rPr>
      <w:b/>
      <w:bCs/>
      <w:sz w:val="52"/>
      <w:szCs w:val="52"/>
      <w:rFonts w:ascii="Arial" w:hAnsi="Arial" w:eastAsia="等线" w:cs="Arial"/>
    </w:rPr>
  </w:style>
  <w:style w:type="paragraph" w:styleId="Heading1">
    <w:name w:val="Heading 1"/>
    <w:basedOn w:val="Normal"/>
    <w:next w:val="Normal"/>
    <w:qFormat/>
    <w:pPr>
      <w:spacing w:before="380" w:after="140" w:line="288" w:lineRule="auto"/>
      <w:ind w:left="0"/>
      <w:jc w:val="left"/>
      <w:outlineLvl w:val="0"/>
    </w:pPr>
    <w:rPr>
      <w:b/>
      <w:bCs/>
      <w:sz w:val="36"/>
      <w:szCs w:val="36"/>
      <w:rFonts w:ascii="Arial" w:hAnsi="Arial" w:eastAsia="等线" w:cs="Arial"/>
    </w:rPr>
  </w:style>
  <w:style w:type="paragraph" w:styleId="Heading2">
    <w:name w:val="Heading 2"/>
    <w:basedOn w:val="Normal"/>
    <w:next w:val="Normal"/>
    <w:qFormat/>
    <w:pPr>
      <w:spacing w:before="320" w:after="120" w:line="288" w:lineRule="auto"/>
      <w:ind w:left="0"/>
      <w:jc w:val="left"/>
      <w:outlineLvl w:val="1"/>
    </w:pPr>
    <w:rPr>
      <w:b/>
      <w:bCs/>
      <w:sz w:val="32"/>
      <w:szCs w:val="32"/>
      <w:rFonts w:ascii="Arial" w:hAnsi="Arial" w:eastAsia="等线" w:cs="Arial"/>
    </w:rPr>
  </w:style>
  <w:style w:type="paragraph" w:styleId="Heading3">
    <w:name w:val="Heading 3"/>
    <w:basedOn w:val="Normal"/>
    <w:next w:val="Normal"/>
    <w:qFormat/>
    <w:pPr>
      <w:spacing w:before="300" w:after="120" w:line="288" w:lineRule="auto"/>
      <w:ind w:left="0"/>
      <w:jc w:val="left"/>
      <w:outlineLvl w:val="2"/>
    </w:pPr>
    <w:rPr>
      <w:b/>
      <w:bCs/>
      <w:sz w:val="30"/>
      <w:szCs w:val="30"/>
      <w:rFonts w:ascii="Arial" w:hAnsi="Arial" w:eastAsia="等线" w:cs="Arial"/>
    </w:rPr>
  </w:style>
  <w:style w:type="paragraph" w:styleId="Heading4">
    <w:name w:val="Heading 4"/>
    <w:basedOn w:val="Normal"/>
    <w:next w:val="Normal"/>
    <w:qFormat/>
    <w:pPr>
      <w:spacing w:before="260" w:after="120" w:line="288" w:lineRule="auto"/>
      <w:ind w:left="0"/>
      <w:jc w:val="left"/>
      <w:outlineLvl w:val="3"/>
    </w:pPr>
    <w:rPr>
      <w:b/>
      <w:bCs/>
      <w:sz w:val="28"/>
      <w:szCs w:val="28"/>
      <w:rFonts w:ascii="Arial" w:hAnsi="Arial" w:eastAsia="等线" w:cs="Arial"/>
    </w:rPr>
  </w:style>
  <w:style w:type="paragraph" w:styleId="Heading5">
    <w:name w:val="Heading 5"/>
    <w:basedOn w:val="Normal"/>
    <w:next w:val="Normal"/>
    <w:qFormat/>
    <w:pPr>
      <w:spacing w:before="240" w:after="120" w:line="288" w:lineRule="auto"/>
      <w:ind w:left="0"/>
      <w:jc w:val="left"/>
      <w:outlineLvl w:val="4"/>
    </w:pPr>
    <w:rPr>
      <w:b/>
      <w:bCs/>
      <w:sz w:val="24"/>
      <w:szCs w:val="24"/>
      <w:rFonts w:ascii="Arial" w:hAnsi="Arial" w:eastAsia="等线" w:cs="Arial"/>
    </w:rPr>
  </w:style>
  <w:style w:type="paragraph" w:styleId="Heading6">
    <w:name w:val="Heading 6"/>
    <w:basedOn w:val="Normal"/>
    <w:next w:val="Normal"/>
    <w:qFormat/>
    <w:pPr>
      <w:spacing w:before="240" w:after="120" w:line="288" w:lineRule="auto"/>
      <w:ind w:left="0"/>
      <w:jc w:val="left"/>
      <w:outlineLvl w:val="5"/>
    </w:pPr>
    <w:rPr>
      <w:b/>
      <w:bCs/>
      <w:sz w:val="24"/>
      <w:szCs w:val="24"/>
      <w:rFonts w:ascii="Arial" w:hAnsi="Arial" w:eastAsia="等线" w:cs="Arial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ext">
    <w:pPr>
      <w:spacing w:before="120" w:after="120" w:line="288" w:lineRule="auto"/>
      <w:ind w:left="0"/>
      <w:jc w:val="left"/>
    </w:pPr>
    <w:rPr>
      <w:sz w:val="22"/>
      <w:szCs w:val="22"/>
      <w:rFonts w:ascii="Arial" w:hAnsi="Arial" w:eastAsia="等线" w:cs="Arial"/>
    </w:rPr>
  </w:style>
  <w:style w:type="paragraph" w:styleId="blockquote">
    <w:pPr>
      <w:spacing w:before="120" w:after="120" w:line="288" w:lineRule="auto"/>
      <w:ind w:left="0"/>
      <w:jc w:val="left"/>
    </w:pPr>
    <w:rPr>
      <w:color w:val="8F959E"/>
      <w:sz w:val="22"/>
      <w:szCs w:val="22"/>
      <w:rFonts w:ascii="Arial" w:hAnsi="Arial" w:eastAsia="等线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2025-12-26T12:46:22.463Z</dcterms:created>
  <dcterms:modified xsi:type="dcterms:W3CDTF">2025-12-26T12:46:22.463Z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