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b/>
          <w:bCs/>
          <w:color w:val="1F3864"/>
          <w:sz w:val="52"/>
          <w:szCs w:val="52"/>
        </w:rPr>
        <w:t xml:space="preserve">Personal Finance Forecasting</w:t>
      </w:r>
    </w:p>
    <w:p>
      <w:pPr>
        <w:spacing w:after="160" w:before="0"/>
        <w:jc w:val="center"/>
      </w:pPr>
      <w:r>
        <w:rPr>
          <w:rFonts w:ascii="Arial" w:cs="Arial" w:eastAsia="Arial" w:hAnsi="Arial"/>
          <w:b w:val="false"/>
          <w:bCs w:val="false"/>
          <w:color w:val="2E5FA3"/>
          <w:sz w:val="40"/>
          <w:szCs w:val="40"/>
        </w:rPr>
        <w:t xml:space="preserve">Machine Learning Experiment Report</w:t>
      </w:r>
    </w:p>
    <w:p>
      <w:pPr>
        <w:pBdr>
          <w:bottom w:val="single" w:color="2E5FA3" w:sz="6" w:space="1"/>
        </w:pBdr>
        <w:spacing w:after="400" w:before="0"/>
        <w:jc w:val="center"/>
      </w:pPr>
      <w:r>
        <w:rPr>
          <w:rFonts w:ascii="Arial" w:cs="Arial" w:eastAsia="Arial" w:hAnsi="Arial"/>
          <w:sz w:val="22"/>
          <w:szCs w:val="22"/>
        </w:rP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i/>
          <w:iCs/>
          <w:color w:val="404040"/>
          <w:sz w:val="28"/>
          <w:szCs w:val="28"/>
        </w:rPr>
        <w:t xml:space="preserve">Predicting Future 7-Day Expenditures for 16 Users</w:t>
      </w:r>
    </w:p>
    <w:p>
      <w:pPr>
        <w:spacing w:after="80" w:before="80"/>
      </w:pPr>
      <w:r>
        <w:t xml:space="preserve"/>
      </w:r>
    </w:p>
    <w:p>
      <w:pPr>
        <w:spacing w:after="80" w:before="80"/>
      </w:pPr>
      <w:r>
        <w:t xml:space="preserve"/>
      </w:r>
    </w:p>
    <w:p>
      <w:pPr>
        <w:spacing w:after="80" w:before="80"/>
      </w:pPr>
      <w:r>
        <w:t xml:space="preserve"/>
      </w:r>
    </w:p>
    <w:p>
      <w:pPr>
        <w:spacing w:after="120" w:before="0"/>
        <w:jc w:val="center"/>
      </w:pPr>
      <w:r>
        <w:rPr>
          <w:rFonts w:ascii="Arial" w:cs="Arial" w:eastAsia="Arial" w:hAnsi="Arial"/>
          <w:b/>
          <w:bCs/>
          <w:color w:val="303030"/>
          <w:sz w:val="24"/>
          <w:szCs w:val="24"/>
        </w:rPr>
        <w:t xml:space="preserve">8 Models Compared:</w:t>
      </w:r>
    </w:p>
    <w:p>
      <w:pPr>
        <w:spacing w:after="80" w:before="0"/>
        <w:jc w:val="center"/>
      </w:pPr>
      <w:r>
        <w:rPr>
          <w:rFonts w:ascii="Arial" w:cs="Arial" w:eastAsia="Arial" w:hAnsi="Arial"/>
          <w:color w:val="505050"/>
          <w:sz w:val="22"/>
          <w:szCs w:val="22"/>
        </w:rPr>
        <w:t xml:space="preserve">GRU Transfer Learning  |  LSTM Transfer Learning  |  HGBR + MLP Feature Search</w:t>
      </w:r>
    </w:p>
    <w:p>
      <w:pPr>
        <w:spacing w:after="80" w:before="0"/>
        <w:jc w:val="center"/>
      </w:pPr>
      <w:r>
        <w:rPr>
          <w:rFonts w:ascii="Arial" w:cs="Arial" w:eastAsia="Arial" w:hAnsi="Arial"/>
          <w:color w:val="505050"/>
          <w:sz w:val="22"/>
          <w:szCs w:val="22"/>
        </w:rPr>
        <w:t xml:space="preserve">Random Forest  |  XGBoost Transfer Learning  |  GRU+HGBR Hybrid</w:t>
      </w:r>
    </w:p>
    <w:p>
      <w:pPr>
        <w:spacing w:after="200" w:before="0"/>
        <w:jc w:val="center"/>
      </w:pPr>
      <w:r>
        <w:rPr>
          <w:rFonts w:ascii="Arial" w:cs="Arial" w:eastAsia="Arial" w:hAnsi="Arial"/>
          <w:color w:val="505050"/>
          <w:sz w:val="22"/>
          <w:szCs w:val="22"/>
        </w:rPr>
        <w:t xml:space="preserve">SmallGRU Per-User Fine-tune  |  GRU from Scratch (Ablation)</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0"/>
        <w:jc w:val="center"/>
      </w:pPr>
      <w:r>
        <w:rPr>
          <w:rFonts w:ascii="Arial" w:cs="Arial" w:eastAsia="Arial" w:hAnsi="Arial"/>
          <w:color w:val="606060"/>
          <w:sz w:val="24"/>
          <w:szCs w:val="24"/>
        </w:rPr>
        <w:t xml:space="preserve">March 2026</w:t>
      </w:r>
    </w:p>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Project Overview</w:t>
      </w:r>
    </w:p>
    <w:p>
      <w:pPr>
        <w:spacing w:after="80" w:before="80"/>
      </w:pPr>
      <w:r>
        <w:rPr>
          <w:rFonts w:ascii="Arial" w:cs="Arial" w:eastAsia="Arial" w:hAnsi="Arial"/>
          <w:sz w:val="22"/>
          <w:szCs w:val="22"/>
        </w:rPr>
        <w:t xml:space="preserve">This report summarises a series of machine learning experiments designed to predict a user's total spending over the next 7 days (future_expense_7d_sum). Eight distinct model architectures were trained and evaluated on transaction data collected from 16 real users, with time-sequential train/validation/test splits (70% / 15% / 15% per user).</w:t>
      </w:r>
    </w:p>
    <w:p>
      <w:pPr>
        <w:spacing w:after="80" w:before="80"/>
      </w:pPr>
      <w:r>
        <w:rPr>
          <w:rFonts w:ascii="Arial" w:cs="Arial" w:eastAsia="Arial" w:hAnsi="Arial"/>
          <w:sz w:val="22"/>
          <w:szCs w:val="22"/>
        </w:rPr>
        <w:t xml:space="preserve">The primary evaluation metric is Mean Absolute Error (MAE) measured in NTD. Secondary metrics include RMSE and SMAPE. Two rule-based baselines are used for comparison:</w:t>
      </w:r>
    </w:p>
    <w:p>
      <w:pPr>
        <w:pStyle w:val="ListParagraph"/>
        <w:numPr>
          <w:ilvl w:val="0"/>
          <w:numId w:val="2"/>
        </w:numPr>
        <w:spacing w:after="40" w:before="40"/>
      </w:pPr>
      <w:r>
        <w:rPr>
          <w:rFonts w:ascii="Arial" w:cs="Arial" w:eastAsia="Arial" w:hAnsi="Arial"/>
          <w:sz w:val="22"/>
          <w:szCs w:val="22"/>
        </w:rPr>
        <w:t xml:space="preserve">Naive 7d Sum — repeat last week's total as the forecast.</w:t>
      </w:r>
    </w:p>
    <w:p>
      <w:pPr>
        <w:pStyle w:val="ListParagraph"/>
        <w:numPr>
          <w:ilvl w:val="0"/>
          <w:numId w:val="2"/>
        </w:numPr>
        <w:spacing w:after="40" w:before="40"/>
      </w:pPr>
      <w:r>
        <w:rPr>
          <w:rFonts w:ascii="Arial" w:cs="Arial" w:eastAsia="Arial" w:hAnsi="Arial"/>
          <w:sz w:val="22"/>
          <w:szCs w:val="22"/>
        </w:rPr>
        <w:t xml:space="preserve">Moving Average (30d x 7) — scale the 30-day daily average to a 7-day horizon.</w:t>
      </w:r>
    </w:p>
    <w:p>
      <w:pPr>
        <w:spacing w:after="80" w:before="80"/>
      </w:pPr>
      <w:r>
        <w:t xml:space="preserve"/>
      </w:r>
    </w:p>
    <w:p>
      <w:pPr>
        <w:pStyle w:val="Heading1"/>
      </w:pPr>
      <w:r>
        <w:rPr>
          <w:rFonts w:ascii="Arial" w:cs="Arial" w:eastAsia="Arial" w:hAnsi="Arial"/>
        </w:rPr>
        <w:t xml:space="preserve">2. Dataset</w:t>
      </w:r>
    </w:p>
    <w:p>
      <w:pPr>
        <w:pStyle w:val="Heading2"/>
        <w:spacing w:after="120" w:before="240"/>
      </w:pPr>
      <w:r>
        <w:rPr>
          <w:rFonts w:ascii="Arial" w:cs="Arial" w:eastAsia="Arial" w:hAnsi="Arial"/>
          <w:b/>
          <w:bCs/>
          <w:sz w:val="26"/>
          <w:szCs w:val="26"/>
        </w:rPr>
        <w:t xml:space="preserve">2.1  Personal Transaction Data</w:t>
      </w:r>
    </w:p>
    <w:p>
      <w:pPr>
        <w:spacing w:after="80" w:before="80"/>
      </w:pPr>
      <w:r>
        <w:rPr>
          <w:rFonts w:ascii="Arial" w:cs="Arial" w:eastAsia="Arial" w:hAnsi="Arial"/>
          <w:sz w:val="22"/>
          <w:szCs w:val="22"/>
        </w:rPr>
        <w:t xml:space="preserve">Transaction records from 16 users were collected and converted to daily aggregates. Four users (user4, user5, user6, user14) were excluded from deep-learning experiments due to insufficient data. The remaining 12 users provided the primary evaluation set.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Attribute</w:t>
            </w:r>
          </w:p>
        </w:tc>
        <w:tc>
          <w:tcPr>
            <w:tcW w:type="dxa" w:w="62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Raw transaction rows</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9,661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Users (total)</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Users (DL experiments)</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 (users 4/5/6/14 excluded)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Date range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2021-01-08 to 2026-03-08</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Processed daily rows (own)</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3,073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Train / Val / Test split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70% / 15% / 15% (time-sequential per user)</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Input sequence length (RNN)</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Target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future_expense_7d_sum (NTD)</w:t>
            </w:r>
          </w:p>
        </w:tc>
      </w:tr>
    </w:tbl>
    <w:p>
      <w:pPr>
        <w:spacing w:after="80" w:before="80"/>
      </w:pPr>
      <w:r>
        <w:t xml:space="preserve"/>
      </w:r>
    </w:p>
    <w:p>
      <w:pPr>
        <w:pStyle w:val="Heading2"/>
        <w:spacing w:after="120" w:before="240"/>
      </w:pPr>
      <w:r>
        <w:rPr>
          <w:rFonts w:ascii="Arial" w:cs="Arial" w:eastAsia="Arial" w:hAnsi="Arial"/>
          <w:b/>
          <w:bCs/>
          <w:sz w:val="26"/>
          <w:szCs w:val="26"/>
        </w:rPr>
        <w:t xml:space="preserve">2.2  External Transfer Learning Data</w:t>
      </w:r>
    </w:p>
    <w:p>
      <w:pPr>
        <w:spacing w:after="80" w:before="80"/>
      </w:pPr>
      <w:r>
        <w:rPr>
          <w:rFonts w:ascii="Arial" w:cs="Arial" w:eastAsia="Arial" w:hAnsi="Arial"/>
          <w:sz w:val="22"/>
          <w:szCs w:val="22"/>
        </w:rPr>
        <w:t xml:space="preserve">Two external datasets were used as pre-training sources:</w:t>
      </w:r>
    </w:p>
    <w:p>
      <w:pPr>
        <w:pStyle w:val="ListParagraph"/>
        <w:numPr>
          <w:ilvl w:val="0"/>
          <w:numId w:val="2"/>
        </w:numPr>
        <w:spacing w:after="40" w:before="40"/>
      </w:pPr>
      <w:r>
        <w:rPr>
          <w:rFonts w:ascii="Arial" w:cs="Arial" w:eastAsia="Arial" w:hAnsi="Arial"/>
          <w:sz w:val="22"/>
          <w:szCs w:val="22"/>
        </w:rPr>
        <w:t xml:space="preserve">Walmart Weekly Sales Dataset (Kaggle) — 421,570 rows covering 45 stores and 99 departments. Used to pre-train GRU and LSTM models before fine-tuning on personal data.</w:t>
      </w:r>
    </w:p>
    <w:p>
      <w:pPr>
        <w:pStyle w:val="ListParagraph"/>
        <w:numPr>
          <w:ilvl w:val="0"/>
          <w:numId w:val="2"/>
        </w:numPr>
        <w:spacing w:after="40" w:before="40"/>
      </w:pPr>
      <w:r>
        <w:rPr>
          <w:rFonts w:ascii="Arial" w:cs="Arial" w:eastAsia="Arial" w:hAnsi="Arial"/>
          <w:sz w:val="22"/>
          <w:szCs w:val="22"/>
        </w:rPr>
        <w:t xml:space="preserve">Kaggle Personal Finance Dataset — used for XGBoost transfer learning experiments, mapped to a common 14-feature schema shared with the personal dataset.</w:t>
      </w:r>
    </w:p>
    <w:p>
      <w:pPr>
        <w:spacing w:after="80" w:before="80"/>
      </w:pPr>
      <w:r>
        <w:t xml:space="preserve"/>
      </w:r>
    </w:p>
    <w:p>
      <w:pPr>
        <w:pStyle w:val="Heading2"/>
        <w:spacing w:after="120" w:before="240"/>
      </w:pPr>
      <w:r>
        <w:rPr>
          <w:rFonts w:ascii="Arial" w:cs="Arial" w:eastAsia="Arial" w:hAnsi="Arial"/>
          <w:b/>
          <w:bCs/>
          <w:sz w:val="26"/>
          <w:szCs w:val="26"/>
        </w:rPr>
        <w:t xml:space="preserve">2.3  Feature Engineering</w:t>
      </w:r>
    </w:p>
    <w:p>
      <w:pPr>
        <w:spacing w:after="80" w:before="80"/>
      </w:pPr>
      <w:r>
        <w:rPr>
          <w:rFonts w:ascii="Arial" w:cs="Arial" w:eastAsia="Arial" w:hAnsi="Arial"/>
          <w:sz w:val="22"/>
          <w:szCs w:val="22"/>
        </w:rPr>
        <w:t xml:space="preserve">A shared 25-feature pool was constructed for tree-based models: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6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Daily activity</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daily_expense, daily_income, txn_count, income_txn_count, expense_txn_count, daily_net, has_income, has_expense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Calendar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dow, is_weekend, day, month, is_summer_vacation, is_winter_vacation, days_to_end_of_month</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7-day rolling</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expense_7d_sum, expense_7d_mean, net_7d_sum, txn_7d_sum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30-day rolling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expense_30d_sum, expense_30d_mean, net_30d_sum, txn_30d_sum</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Trend</w:t>
            </w:r>
          </w:p>
        </w:tc>
        <w:tc>
          <w:tcPr>
            <w:tcW w:type="dxa" w:w="6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expense_7d_30d_ratio, expense_trend</w:t>
            </w:r>
          </w:p>
        </w:tc>
      </w:tr>
    </w:tbl>
    <w:p>
      <w:pPr>
        <w:spacing w:after="80" w:before="80"/>
      </w:pPr>
      <w:r>
        <w:rPr>
          <w:rFonts w:ascii="Arial" w:cs="Arial" w:eastAsia="Arial" w:hAnsi="Arial"/>
          <w:sz w:val="22"/>
          <w:szCs w:val="22"/>
        </w:rPr>
        <w:t xml:space="preserve">RNN-based models (GRU, LSTM) use 7 features selected for time-series compatibility: daily_expense, expense_7d_mean, expense_30d_sum, has_expense, has_income, net_30d_sum, txn_30d_sum.</w:t>
      </w:r>
    </w:p>
    <w:p>
      <w:pPr>
        <w:spacing w:after="80" w:before="80"/>
      </w:pPr>
      <w:r>
        <w:t xml:space="preserve"/>
      </w:r>
    </w:p>
    <w:p>
      <w:r>
        <w:br w:type="page"/>
      </w:r>
    </w:p>
    <w:p>
      <w:pPr>
        <w:pStyle w:val="Heading1"/>
      </w:pPr>
      <w:r>
        <w:rPr>
          <w:rFonts w:ascii="Arial" w:cs="Arial" w:eastAsia="Arial" w:hAnsi="Arial"/>
        </w:rPr>
        <w:t xml:space="preserve">3. Model Methodologies</w:t>
      </w:r>
    </w:p>
    <w:p>
      <w:pPr>
        <w:pStyle w:val="Heading2"/>
        <w:spacing w:after="120" w:before="240"/>
      </w:pPr>
      <w:r>
        <w:rPr>
          <w:rFonts w:ascii="Arial" w:cs="Arial" w:eastAsia="Arial" w:hAnsi="Arial"/>
          <w:b/>
          <w:bCs/>
          <w:sz w:val="26"/>
          <w:szCs w:val="26"/>
        </w:rPr>
        <w:t xml:space="preserve">3.1  GRU Transfer Learning</w:t>
      </w:r>
    </w:p>
    <w:p>
      <w:pPr>
        <w:spacing w:after="80" w:before="80"/>
      </w:pPr>
      <w:r>
        <w:rPr>
          <w:rFonts w:ascii="Arial" w:cs="Arial" w:eastAsia="Arial" w:hAnsi="Arial"/>
          <w:sz w:val="22"/>
          <w:szCs w:val="22"/>
        </w:rPr>
        <w:t xml:space="preserve">Architecture: 2-layer GRU with hidden size 64, followed by a Temporal Attention mechanism. The model takes a 30-day sliding window (7 features) and outputs a single scalar prediction.</w:t>
      </w:r>
    </w:p>
    <w:p>
      <w:pPr>
        <w:spacing w:after="80" w:before="80"/>
      </w:pPr>
      <w:r>
        <w:rPr>
          <w:rFonts w:ascii="Arial" w:cs="Arial" w:eastAsia="Arial" w:hAnsi="Arial"/>
          <w:sz w:val="22"/>
          <w:szCs w:val="22"/>
        </w:rPr>
        <w:t xml:space="preserve">Training Strategy:</w:t>
      </w:r>
    </w:p>
    <w:p>
      <w:pPr>
        <w:pStyle w:val="ListParagraph"/>
        <w:numPr>
          <w:ilvl w:val="0"/>
          <w:numId w:val="2"/>
        </w:numPr>
        <w:spacing w:after="40" w:before="40"/>
      </w:pPr>
      <w:r>
        <w:rPr>
          <w:rFonts w:ascii="Arial" w:cs="Arial" w:eastAsia="Arial" w:hAnsi="Arial"/>
          <w:sz w:val="22"/>
          <w:szCs w:val="22"/>
        </w:rPr>
        <w:t xml:space="preserve">Phase 1 — Pre-train on Walmart weekly sales data (382,955 rows) for global pattern learning.</w:t>
      </w:r>
    </w:p>
    <w:p>
      <w:pPr>
        <w:pStyle w:val="ListParagraph"/>
        <w:numPr>
          <w:ilvl w:val="0"/>
          <w:numId w:val="2"/>
        </w:numPr>
        <w:spacing w:after="40" w:before="40"/>
      </w:pPr>
      <w:r>
        <w:rPr>
          <w:rFonts w:ascii="Arial" w:cs="Arial" w:eastAsia="Arial" w:hAnsi="Arial"/>
          <w:sz w:val="22"/>
          <w:szCs w:val="22"/>
        </w:rPr>
        <w:t xml:space="preserve">Phase 2 — Fine-tune on personal data (12 users, ~2,960 train rows) to adapt to individual spending habits.</w:t>
      </w:r>
    </w:p>
    <w:p>
      <w:pPr>
        <w:spacing w:after="80" w:before="80"/>
      </w:pPr>
      <w:r>
        <w:rPr>
          <w:rFonts w:ascii="Arial" w:cs="Arial" w:eastAsia="Arial" w:hAnsi="Arial"/>
          <w:sz w:val="22"/>
          <w:szCs w:val="22"/>
        </w:rPr>
        <w:t xml:space="preserve">The pre-training step is critical: the Walmart data provides a rich supervisory signal about seasonal and trend patterns that the small personal dataset alone cannot capture. This transfer learning approach is referred to as v1 in the codebase (finetune_gru.py). Later versions (v2–v5) explored improved loss functions, ensemble methods, and SMAPE optimisation.</w:t>
      </w:r>
    </w:p>
    <w:p>
      <w:pPr>
        <w:spacing w:after="80" w:before="80"/>
      </w:pPr>
      <w:r>
        <w:t xml:space="preserve"/>
      </w:r>
    </w:p>
    <w:p>
      <w:pPr>
        <w:pStyle w:val="Heading2"/>
        <w:spacing w:after="120" w:before="240"/>
      </w:pPr>
      <w:r>
        <w:rPr>
          <w:rFonts w:ascii="Arial" w:cs="Arial" w:eastAsia="Arial" w:hAnsi="Arial"/>
          <w:b/>
          <w:bCs/>
          <w:sz w:val="26"/>
          <w:szCs w:val="26"/>
        </w:rPr>
        <w:t xml:space="preserve">3.2  LSTM Transfer Learning</w:t>
      </w:r>
    </w:p>
    <w:p>
      <w:pPr>
        <w:spacing w:after="80" w:before="80"/>
      </w:pPr>
      <w:r>
        <w:rPr>
          <w:rFonts w:ascii="Arial" w:cs="Arial" w:eastAsia="Arial" w:hAnsi="Arial"/>
          <w:sz w:val="22"/>
          <w:szCs w:val="22"/>
        </w:rPr>
        <w:t xml:space="preserve">Architecture: Single-layer LSTM (hidden size 64), otherwise structurally equivalent to GRU v2. The LSTM gating mechanism (input, forget, output gates + cell state) provides richer long-range memory compared to the simpler GRU (reset + update gates), at the cost of approximately 33% more parameters.</w:t>
      </w:r>
    </w:p>
    <w:p>
      <w:pPr>
        <w:spacing w:after="80" w:before="80"/>
      </w:pPr>
      <w:r>
        <w:rPr>
          <w:rFonts w:ascii="Arial" w:cs="Arial" w:eastAsia="Arial" w:hAnsi="Arial"/>
          <w:sz w:val="22"/>
          <w:szCs w:val="22"/>
        </w:rPr>
        <w:t xml:space="preserve">Training Strategy: Identical two-phase transfer learning pipeline — Walmart pre-training followed by personal fine-tuning. Uses the same 7-feature input and 30-day window as the GRU models.</w:t>
      </w:r>
    </w:p>
    <w:p>
      <w:pPr>
        <w:spacing w:after="80" w:before="80"/>
      </w:pPr>
      <w:r>
        <w:t xml:space="preserve"/>
      </w:r>
    </w:p>
    <w:p>
      <w:pPr>
        <w:pStyle w:val="Heading2"/>
        <w:spacing w:after="120" w:before="240"/>
      </w:pPr>
      <w:r>
        <w:rPr>
          <w:rFonts w:ascii="Arial" w:cs="Arial" w:eastAsia="Arial" w:hAnsi="Arial"/>
          <w:b/>
          <w:bCs/>
          <w:sz w:val="26"/>
          <w:szCs w:val="26"/>
        </w:rPr>
        <w:t xml:space="preserve">3.3  HistGradientBoosting + MLP Feature Search (HGBR)</w:t>
      </w:r>
    </w:p>
    <w:p>
      <w:pPr>
        <w:spacing w:after="80" w:before="80"/>
      </w:pPr>
      <w:r>
        <w:rPr>
          <w:rFonts w:ascii="Arial" w:cs="Arial" w:eastAsia="Arial" w:hAnsi="Arial"/>
          <w:sz w:val="22"/>
          <w:szCs w:val="22"/>
        </w:rPr>
        <w:t xml:space="preserve">Architecture: Scikit-learn HistGradientBoostingRegressor (HGBR). Unlike standard GBDT, HGBR bins continuous features into histograms before tree construction, enabling fast training on medium-sized datasets (1,218 training rows) and native handling of missing values.</w:t>
      </w:r>
    </w:p>
    <w:p>
      <w:pPr>
        <w:spacing w:after="80" w:before="80"/>
      </w:pPr>
      <w:r>
        <w:rPr>
          <w:rFonts w:ascii="Arial" w:cs="Arial" w:eastAsia="Arial" w:hAnsi="Arial"/>
          <w:sz w:val="22"/>
          <w:szCs w:val="22"/>
        </w:rPr>
        <w:t xml:space="preserve">Feature Selection: An automated random-subset search evaluated 2,000 feature combinations drawn from the 25-feature pool. Subset sizes ranged from 7 to 21 features. Each candidate was scored by validation MAE, and the optimal 7-feature subset was selected:</w:t>
      </w:r>
    </w:p>
    <w:p>
      <w:pPr>
        <w:pStyle w:val="ListParagraph"/>
        <w:numPr>
          <w:ilvl w:val="0"/>
          <w:numId w:val="2"/>
        </w:numPr>
        <w:spacing w:after="40" w:before="40"/>
      </w:pPr>
      <w:r>
        <w:rPr>
          <w:rFonts w:ascii="Arial" w:cs="Arial" w:eastAsia="Arial" w:hAnsi="Arial"/>
          <w:sz w:val="22"/>
          <w:szCs w:val="22"/>
        </w:rPr>
        <w:t xml:space="preserve">expense_7d_mean, expense_7d_sum, has_expense, income_txn_count, is_weekend, net_30d_sum, txn_7d_sum</w:t>
      </w:r>
    </w:p>
    <w:p>
      <w:pPr>
        <w:spacing w:after="80" w:before="80"/>
      </w:pPr>
      <w:r>
        <w:rPr>
          <w:rFonts w:ascii="Arial" w:cs="Arial" w:eastAsia="Arial" w:hAnsi="Arial"/>
          <w:sz w:val="22"/>
          <w:szCs w:val="22"/>
        </w:rPr>
        <w:t xml:space="preserve">Best trial: #823 of 2,000. Val MAE: 690.89. This pipeline also evaluates an MLP baseline alongside HGBR under the same feature set.</w:t>
      </w:r>
    </w:p>
    <w:p>
      <w:pPr>
        <w:spacing w:after="80" w:before="80"/>
      </w:pPr>
      <w:r>
        <w:t xml:space="preserve"/>
      </w:r>
    </w:p>
    <w:p>
      <w:pPr>
        <w:pStyle w:val="Heading2"/>
        <w:spacing w:after="120" w:before="240"/>
      </w:pPr>
      <w:r>
        <w:rPr>
          <w:rFonts w:ascii="Arial" w:cs="Arial" w:eastAsia="Arial" w:hAnsi="Arial"/>
          <w:b/>
          <w:bCs/>
          <w:sz w:val="26"/>
          <w:szCs w:val="26"/>
        </w:rPr>
        <w:t xml:space="preserve">3.4  Random Forest</w:t>
      </w:r>
    </w:p>
    <w:p>
      <w:pPr>
        <w:spacing w:after="80" w:before="80"/>
      </w:pPr>
      <w:r>
        <w:rPr>
          <w:rFonts w:ascii="Arial" w:cs="Arial" w:eastAsia="Arial" w:hAnsi="Arial"/>
          <w:sz w:val="22"/>
          <w:szCs w:val="22"/>
        </w:rPr>
        <w:t xml:space="preserve">Architecture: RandomForestRegressor with log-transformed targets (Log Edition). Log transformation stabilises variance across users with very different spending scales. Predictions are exponentiated back to NTD for evaluation.</w:t>
      </w:r>
    </w:p>
    <w:p>
      <w:pPr>
        <w:spacing w:after="80" w:before="80"/>
      </w:pPr>
      <w:r>
        <w:rPr>
          <w:rFonts w:ascii="Arial" w:cs="Arial" w:eastAsia="Arial" w:hAnsi="Arial"/>
          <w:sz w:val="22"/>
          <w:szCs w:val="22"/>
        </w:rPr>
        <w:t xml:space="preserve">Features: All 25 features in the shared pool were used (no automated selection). The model serves as an interpretable baseline that requires no sequence modelling and is robust to missing values and outliers.</w:t>
      </w:r>
    </w:p>
    <w:p>
      <w:pPr>
        <w:spacing w:after="80" w:before="80"/>
      </w:pPr>
      <w:r>
        <w:rPr>
          <w:rFonts w:ascii="Arial" w:cs="Arial" w:eastAsia="Arial" w:hAnsi="Arial"/>
          <w:sz w:val="22"/>
          <w:szCs w:val="22"/>
        </w:rPr>
        <w:t xml:space="preserve">Top 5 features by importance:</w:t>
      </w:r>
    </w:p>
    <w:p>
      <w:pPr>
        <w:pStyle w:val="ListParagraph"/>
        <w:numPr>
          <w:ilvl w:val="0"/>
          <w:numId w:val="2"/>
        </w:numPr>
        <w:spacing w:after="40" w:before="40"/>
      </w:pPr>
      <w:r>
        <w:rPr>
          <w:rFonts w:ascii="Arial" w:cs="Arial" w:eastAsia="Arial" w:hAnsi="Arial"/>
          <w:sz w:val="22"/>
          <w:szCs w:val="22"/>
        </w:rPr>
        <w:t xml:space="preserve">net_30d_sum — 17.5%</w:t>
      </w:r>
    </w:p>
    <w:p>
      <w:pPr>
        <w:pStyle w:val="ListParagraph"/>
        <w:numPr>
          <w:ilvl w:val="0"/>
          <w:numId w:val="2"/>
        </w:numPr>
        <w:spacing w:after="40" w:before="40"/>
      </w:pPr>
      <w:r>
        <w:rPr>
          <w:rFonts w:ascii="Arial" w:cs="Arial" w:eastAsia="Arial" w:hAnsi="Arial"/>
          <w:sz w:val="22"/>
          <w:szCs w:val="22"/>
        </w:rPr>
        <w:t xml:space="preserve">net_7d_sum — 8.5%</w:t>
      </w:r>
    </w:p>
    <w:p>
      <w:pPr>
        <w:pStyle w:val="ListParagraph"/>
        <w:numPr>
          <w:ilvl w:val="0"/>
          <w:numId w:val="2"/>
        </w:numPr>
        <w:spacing w:after="40" w:before="40"/>
      </w:pPr>
      <w:r>
        <w:rPr>
          <w:rFonts w:ascii="Arial" w:cs="Arial" w:eastAsia="Arial" w:hAnsi="Arial"/>
          <w:sz w:val="22"/>
          <w:szCs w:val="22"/>
        </w:rPr>
        <w:t xml:space="preserve">month — 7.2%</w:t>
      </w:r>
    </w:p>
    <w:p>
      <w:pPr>
        <w:pStyle w:val="ListParagraph"/>
        <w:numPr>
          <w:ilvl w:val="0"/>
          <w:numId w:val="2"/>
        </w:numPr>
        <w:spacing w:after="40" w:before="40"/>
      </w:pPr>
      <w:r>
        <w:rPr>
          <w:rFonts w:ascii="Arial" w:cs="Arial" w:eastAsia="Arial" w:hAnsi="Arial"/>
          <w:sz w:val="22"/>
          <w:szCs w:val="22"/>
        </w:rPr>
        <w:t xml:space="preserve">expense_30d_sum — 6.7%</w:t>
      </w:r>
    </w:p>
    <w:p>
      <w:pPr>
        <w:pStyle w:val="ListParagraph"/>
        <w:numPr>
          <w:ilvl w:val="0"/>
          <w:numId w:val="2"/>
        </w:numPr>
        <w:spacing w:after="40" w:before="40"/>
      </w:pPr>
      <w:r>
        <w:rPr>
          <w:rFonts w:ascii="Arial" w:cs="Arial" w:eastAsia="Arial" w:hAnsi="Arial"/>
          <w:sz w:val="22"/>
          <w:szCs w:val="22"/>
        </w:rPr>
        <w:t xml:space="preserve">expense_7d_sum — 6.5%</w:t>
      </w:r>
    </w:p>
    <w:p>
      <w:pPr>
        <w:spacing w:after="80" w:before="80"/>
      </w:pPr>
      <w:r>
        <w:t xml:space="preserve"/>
      </w:r>
    </w:p>
    <w:p>
      <w:pPr>
        <w:pStyle w:val="Heading2"/>
        <w:spacing w:after="120" w:before="240"/>
      </w:pPr>
      <w:r>
        <w:rPr>
          <w:rFonts w:ascii="Arial" w:cs="Arial" w:eastAsia="Arial" w:hAnsi="Arial"/>
          <w:b/>
          <w:bCs/>
          <w:sz w:val="26"/>
          <w:szCs w:val="26"/>
        </w:rPr>
        <w:t xml:space="preserve">3.5  XGBoost Transfer Learning (Kaggle)</w:t>
      </w:r>
    </w:p>
    <w:p>
      <w:pPr>
        <w:spacing w:after="80" w:before="80"/>
      </w:pPr>
      <w:r>
        <w:rPr>
          <w:rFonts w:ascii="Arial" w:cs="Arial" w:eastAsia="Arial" w:hAnsi="Arial"/>
          <w:sz w:val="22"/>
          <w:szCs w:val="22"/>
        </w:rPr>
        <w:t xml:space="preserve">Architecture: XGBoost regressor. The experiment investigates whether a model trained on large external data (Kaggle dataset, 327,432 rows in common format) can transfer to personal spending prediction.</w:t>
      </w:r>
    </w:p>
    <w:p>
      <w:pPr>
        <w:spacing w:after="80" w:before="80"/>
      </w:pPr>
      <w:r>
        <w:rPr>
          <w:rFonts w:ascii="Arial" w:cs="Arial" w:eastAsia="Arial" w:hAnsi="Arial"/>
          <w:sz w:val="22"/>
          <w:szCs w:val="22"/>
        </w:rPr>
        <w:t xml:space="preserve">A shared 14-feature common schema was designed to align the Kaggle and personal datasets:</w:t>
      </w:r>
    </w:p>
    <w:p>
      <w:pPr>
        <w:pStyle w:val="ListParagraph"/>
        <w:numPr>
          <w:ilvl w:val="0"/>
          <w:numId w:val="2"/>
        </w:numPr>
        <w:spacing w:after="40" w:before="40"/>
      </w:pPr>
      <w:r>
        <w:rPr>
          <w:rFonts w:ascii="Arial" w:cs="Arial" w:eastAsia="Arial" w:hAnsi="Arial"/>
          <w:sz w:val="22"/>
          <w:szCs w:val="22"/>
        </w:rPr>
        <w:t xml:space="preserve">user_id, date, daily_expense, expense_7d_sum, expense_7d_mean, expense_30d_sum, expense_30d_mean, target (+ calendar features)</w:t>
      </w:r>
    </w:p>
    <w:p>
      <w:pPr>
        <w:spacing w:after="80" w:before="80"/>
      </w:pPr>
      <w:r>
        <w:rPr>
          <w:rFonts w:ascii="Arial" w:cs="Arial" w:eastAsia="Arial" w:hAnsi="Arial"/>
          <w:sz w:val="22"/>
          <w:szCs w:val="22"/>
        </w:rPr>
        <w:t xml:space="preserve">Three sub-experiments were run:</w:t>
      </w:r>
    </w:p>
    <w:p>
      <w:pPr>
        <w:pStyle w:val="ListParagraph"/>
        <w:numPr>
          <w:ilvl w:val="0"/>
          <w:numId w:val="2"/>
        </w:numPr>
        <w:spacing w:after="40" w:before="40"/>
      </w:pPr>
      <w:r>
        <w:rPr>
          <w:rFonts w:ascii="Arial" w:cs="Arial" w:eastAsia="Arial" w:hAnsi="Arial"/>
          <w:sz w:val="22"/>
          <w:szCs w:val="22"/>
        </w:rPr>
        <w:t xml:space="preserve">Own Baseline — XGBoost trained directly on personal data (no transfer). 2,151 train rows.</w:t>
      </w:r>
    </w:p>
    <w:p>
      <w:pPr>
        <w:pStyle w:val="ListParagraph"/>
        <w:numPr>
          <w:ilvl w:val="0"/>
          <w:numId w:val="2"/>
        </w:numPr>
        <w:spacing w:after="40" w:before="40"/>
      </w:pPr>
      <w:r>
        <w:rPr>
          <w:rFonts w:ascii="Arial" w:cs="Arial" w:eastAsia="Arial" w:hAnsi="Arial"/>
          <w:sz w:val="22"/>
          <w:szCs w:val="22"/>
        </w:rPr>
        <w:t xml:space="preserve">Direct Transfer — Model trained on Kaggle data applied directly to personal test set (zero-shot transfer).</w:t>
      </w:r>
    </w:p>
    <w:p>
      <w:pPr>
        <w:pStyle w:val="ListParagraph"/>
        <w:numPr>
          <w:ilvl w:val="0"/>
          <w:numId w:val="2"/>
        </w:numPr>
        <w:spacing w:after="40" w:before="40"/>
      </w:pPr>
      <w:r>
        <w:rPr>
          <w:rFonts w:ascii="Arial" w:cs="Arial" w:eastAsia="Arial" w:hAnsi="Arial"/>
          <w:sz w:val="22"/>
          <w:szCs w:val="22"/>
        </w:rPr>
        <w:t xml:space="preserve">Fine-tune Transfer — Kaggle-pre-trained model continued training on personal train data.</w:t>
      </w:r>
    </w:p>
    <w:p>
      <w:pPr>
        <w:spacing w:after="80" w:before="80"/>
      </w:pPr>
      <w:r>
        <w:t xml:space="preserve"/>
      </w:r>
    </w:p>
    <w:p>
      <w:pPr>
        <w:pStyle w:val="Heading2"/>
        <w:spacing w:after="120" w:before="240"/>
      </w:pPr>
      <w:r>
        <w:rPr>
          <w:rFonts w:ascii="Arial" w:cs="Arial" w:eastAsia="Arial" w:hAnsi="Arial"/>
          <w:b/>
          <w:bCs/>
          <w:sz w:val="26"/>
          <w:szCs w:val="26"/>
        </w:rPr>
        <w:t xml:space="preserve">3.6  GRU + HGBR Hybrid</w:t>
      </w:r>
    </w:p>
    <w:p>
      <w:pPr>
        <w:spacing w:after="80" w:before="80"/>
      </w:pPr>
      <w:r>
        <w:rPr>
          <w:rFonts w:ascii="Arial" w:cs="Arial" w:eastAsia="Arial" w:hAnsi="Arial"/>
          <w:sz w:val="22"/>
          <w:szCs w:val="22"/>
        </w:rPr>
        <w:t xml:space="preserve">Architecture: A two-stage hybrid that combines temporal and tabular representations. The frozen GRU v4 model (the best fine-tuned personal GRU) acts as a feature extractor: its penultimate hidden layer produces a 64-dimensional embedding capturing the last 30 days of spending dynamics. These 64 embedding dimensions are concatenated with 22 flat tabular features (the HGBR feature set) to form an 86-dimensional combined input fed into a new HGBR regressor.</w:t>
      </w:r>
    </w:p>
    <w:p>
      <w:pPr>
        <w:spacing w:after="80" w:before="80"/>
      </w:pPr>
      <w:r>
        <w:rPr>
          <w:rFonts w:ascii="Arial" w:cs="Arial" w:eastAsia="Arial" w:hAnsi="Arial"/>
          <w:sz w:val="22"/>
          <w:szCs w:val="22"/>
        </w:rPr>
        <w:t xml:space="preserve">Two sub-models compared:</w:t>
      </w:r>
    </w:p>
    <w:p>
      <w:pPr>
        <w:pStyle w:val="ListParagraph"/>
        <w:numPr>
          <w:ilvl w:val="0"/>
          <w:numId w:val="2"/>
        </w:numPr>
        <w:spacing w:after="40" w:before="40"/>
      </w:pPr>
      <w:r>
        <w:rPr>
          <w:rFonts w:ascii="Arial" w:cs="Arial" w:eastAsia="Arial" w:hAnsi="Arial"/>
          <w:sz w:val="22"/>
          <w:szCs w:val="22"/>
        </w:rPr>
        <w:t xml:space="preserve">HGBR (flat only, 22 features) — standard tabular baseline.</w:t>
      </w:r>
    </w:p>
    <w:p>
      <w:pPr>
        <w:pStyle w:val="ListParagraph"/>
        <w:numPr>
          <w:ilvl w:val="0"/>
          <w:numId w:val="2"/>
        </w:numPr>
        <w:spacing w:after="40" w:before="40"/>
      </w:pPr>
      <w:r>
        <w:rPr>
          <w:rFonts w:ascii="Arial" w:cs="Arial" w:eastAsia="Arial" w:hAnsi="Arial"/>
          <w:sz w:val="22"/>
          <w:szCs w:val="22"/>
        </w:rPr>
        <w:t xml:space="preserve">HGBR (embedding + flat, 86 features) — hybrid with GRU context.</w:t>
      </w:r>
    </w:p>
    <w:p>
      <w:pPr>
        <w:spacing w:after="80" w:before="80"/>
      </w:pPr>
      <w:r>
        <w:rPr>
          <w:rFonts w:ascii="Arial" w:cs="Arial" w:eastAsia="Arial" w:hAnsi="Arial"/>
          <w:sz w:val="22"/>
          <w:szCs w:val="22"/>
        </w:rPr>
        <w:t xml:space="preserve">The experiment tests whether temporal context captured by a pre-trained RNN provides complementary information beyond engineered tabular features.</w:t>
      </w:r>
    </w:p>
    <w:p>
      <w:pPr>
        <w:spacing w:after="80" w:before="80"/>
      </w:pPr>
      <w:r>
        <w:t xml:space="preserve"/>
      </w:r>
    </w:p>
    <w:p>
      <w:pPr>
        <w:pStyle w:val="Heading2"/>
        <w:spacing w:after="120" w:before="240"/>
      </w:pPr>
      <w:r>
        <w:rPr>
          <w:rFonts w:ascii="Arial" w:cs="Arial" w:eastAsia="Arial" w:hAnsi="Arial"/>
          <w:b/>
          <w:bCs/>
          <w:sz w:val="26"/>
          <w:szCs w:val="26"/>
        </w:rPr>
        <w:t xml:space="preserve">3.7  SmallGRU with Per-User Fine-tuning</w:t>
      </w:r>
    </w:p>
    <w:p>
      <w:pPr>
        <w:spacing w:after="80" w:before="80"/>
      </w:pPr>
      <w:r>
        <w:rPr>
          <w:rFonts w:ascii="Arial" w:cs="Arial" w:eastAsia="Arial" w:hAnsi="Arial"/>
          <w:sz w:val="22"/>
          <w:szCs w:val="22"/>
        </w:rPr>
        <w:t xml:space="preserve">Architecture: A deliberately smaller GRU (hidden size 32, 1 layer, ~15K parameters) designed to reduce overfitting on small per-user datasets. The parameter-to-sample ratio is improved to approximately 1:190 vs ~1:40 for the standard GRU.</w:t>
      </w:r>
    </w:p>
    <w:p>
      <w:pPr>
        <w:spacing w:after="80" w:before="80"/>
      </w:pPr>
      <w:r>
        <w:rPr>
          <w:rFonts w:ascii="Arial" w:cs="Arial" w:eastAsia="Arial" w:hAnsi="Arial"/>
          <w:sz w:val="22"/>
          <w:szCs w:val="22"/>
        </w:rPr>
        <w:t xml:space="preserve">Training Strategy:</w:t>
      </w:r>
    </w:p>
    <w:p>
      <w:pPr>
        <w:pStyle w:val="ListParagraph"/>
        <w:numPr>
          <w:ilvl w:val="0"/>
          <w:numId w:val="2"/>
        </w:numPr>
        <w:spacing w:after="40" w:before="40"/>
      </w:pPr>
      <w:r>
        <w:rPr>
          <w:rFonts w:ascii="Arial" w:cs="Arial" w:eastAsia="Arial" w:hAnsi="Arial"/>
          <w:sz w:val="22"/>
          <w:szCs w:val="22"/>
        </w:rPr>
        <w:t xml:space="preserve">Phase 1 — Global training across all 12 users (shared weights).</w:t>
      </w:r>
    </w:p>
    <w:p>
      <w:pPr>
        <w:pStyle w:val="ListParagraph"/>
        <w:numPr>
          <w:ilvl w:val="0"/>
          <w:numId w:val="2"/>
        </w:numPr>
        <w:spacing w:after="40" w:before="40"/>
      </w:pPr>
      <w:r>
        <w:rPr>
          <w:rFonts w:ascii="Arial" w:cs="Arial" w:eastAsia="Arial" w:hAnsi="Arial"/>
          <w:sz w:val="22"/>
          <w:szCs w:val="22"/>
        </w:rPr>
        <w:t xml:space="preserve">Phase 2 — Per-user fine-tuning: each of the 16 users receives an individual copy of the global model that is further optimised on their personal data. This produces 16 personalised models (user_*.pth).</w:t>
      </w:r>
    </w:p>
    <w:p>
      <w:pPr>
        <w:spacing w:after="80" w:before="80"/>
      </w:pPr>
      <w:r>
        <w:rPr>
          <w:rFonts w:ascii="Arial" w:cs="Arial" w:eastAsia="Arial" w:hAnsi="Arial"/>
          <w:sz w:val="22"/>
          <w:szCs w:val="22"/>
        </w:rPr>
        <w:t xml:space="preserve">The motivation is that individuals have unique spending habits (pay-day cycles, seasonal patterns) that a single shared model cannot fully capture. Per-user fine-tuning allows the model to overfit beneficially on a small amount of user-specific patterns.</w:t>
      </w:r>
    </w:p>
    <w:p>
      <w:pPr>
        <w:spacing w:after="80" w:before="80"/>
      </w:pPr>
      <w:r>
        <w:t xml:space="preserve"/>
      </w:r>
    </w:p>
    <w:p>
      <w:pPr>
        <w:pStyle w:val="Heading2"/>
        <w:spacing w:after="120" w:before="240"/>
      </w:pPr>
      <w:r>
        <w:rPr>
          <w:rFonts w:ascii="Arial" w:cs="Arial" w:eastAsia="Arial" w:hAnsi="Arial"/>
          <w:b/>
          <w:bCs/>
          <w:sz w:val="26"/>
          <w:szCs w:val="26"/>
        </w:rPr>
        <w:t xml:space="preserve">3.8  Ablation Study: GRU from Scratch vs HGBR</w:t>
      </w:r>
    </w:p>
    <w:p>
      <w:pPr>
        <w:spacing w:after="80" w:before="80"/>
      </w:pPr>
      <w:r>
        <w:rPr>
          <w:rFonts w:ascii="Arial" w:cs="Arial" w:eastAsia="Arial" w:hAnsi="Arial"/>
          <w:sz w:val="22"/>
          <w:szCs w:val="22"/>
        </w:rPr>
        <w:t xml:space="preserve">This experiment directly answers the question: 'Does Walmart pre-training help?' A GRU model is trained from scratch on personal data only (no external pre-training) and compared against HGBR (22 features) on the same data split.</w:t>
      </w:r>
    </w:p>
    <w:p>
      <w:pPr>
        <w:spacing w:after="80" w:before="80"/>
      </w:pPr>
      <w:r>
        <w:rPr>
          <w:rFonts w:ascii="Arial" w:cs="Arial" w:eastAsia="Arial" w:hAnsi="Arial"/>
          <w:sz w:val="22"/>
          <w:szCs w:val="22"/>
        </w:rPr>
        <w:t xml:space="preserve">The same architecture as the standard GRU is used. Without pre-training, the model must learn all patterns from the limited personal dataset (~2,960 rows), which risks underfitting the temporal structure.</w:t>
      </w:r>
    </w:p>
    <w:p>
      <w:pPr>
        <w:spacing w:after="80" w:before="80"/>
      </w:pPr>
      <w:r>
        <w:rPr>
          <w:rFonts w:ascii="Arial" w:cs="Arial" w:eastAsia="Arial" w:hAnsi="Arial"/>
          <w:sz w:val="22"/>
          <w:szCs w:val="22"/>
        </w:rPr>
        <w:t xml:space="preserve">Context: The original GRU v4 (with Walmart pre-training) achieved a test MAE of 5,773 NTD on the full 16-user dataset; the moving average baseline on that dataset is 7,019 NTD.</w:t>
      </w:r>
    </w:p>
    <w:p>
      <w:pPr>
        <w:spacing w:after="80" w:before="80"/>
      </w:pPr>
      <w:r>
        <w:t xml:space="preserve"/>
      </w:r>
    </w:p>
    <w:p>
      <w:r>
        <w:br w:type="page"/>
      </w:r>
    </w:p>
    <w:p>
      <w:pPr>
        <w:pStyle w:val="Heading1"/>
      </w:pPr>
      <w:r>
        <w:rPr>
          <w:rFonts w:ascii="Arial" w:cs="Arial" w:eastAsia="Arial" w:hAnsi="Arial"/>
        </w:rPr>
        <w:t xml:space="preserve">4. Experimental Results</w:t>
      </w:r>
    </w:p>
    <w:p>
      <w:pPr>
        <w:pStyle w:val="Heading2"/>
        <w:spacing w:after="120" w:before="240"/>
      </w:pPr>
      <w:r>
        <w:rPr>
          <w:rFonts w:ascii="Arial" w:cs="Arial" w:eastAsia="Arial" w:hAnsi="Arial"/>
          <w:b/>
          <w:bCs/>
          <w:sz w:val="26"/>
          <w:szCs w:val="26"/>
        </w:rPr>
        <w:t xml:space="preserve">4.1  Performance Summary Table</w:t>
      </w:r>
    </w:p>
    <w:p>
      <w:pPr>
        <w:spacing w:after="80" w:before="80"/>
      </w:pPr>
      <w:r>
        <w:rPr>
          <w:rFonts w:ascii="Arial" w:cs="Arial" w:eastAsia="Arial" w:hAnsi="Arial"/>
          <w:sz w:val="22"/>
          <w:szCs w:val="22"/>
        </w:rPr>
        <w:t xml:space="preserve">All metrics measured on held-out test sets (15% per user, time-sequential). MAE and RMSE are in NTD.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440"/>
        <w:gridCol w:w="1440"/>
        <w:gridCol w:w="1440"/>
        <w:gridCol w:w="1800"/>
      </w:tblGrid>
      <w:tr>
        <w:trPr>
          <w:tblHeader/>
        </w:trPr>
        <w:tc>
          <w:tcPr>
            <w:tcW w:type="dxa" w:w="32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MAE</w:t>
            </w:r>
          </w:p>
        </w:tc>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RMSE</w:t>
            </w:r>
          </w:p>
        </w:tc>
        <w:tc>
          <w:tcPr>
            <w:tcW w:type="dxa" w:w="14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SMAPE</w:t>
            </w:r>
          </w:p>
        </w:tc>
        <w:tc>
          <w:tcPr>
            <w:tcW w:type="dxa" w:w="18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Beats Baseline?</w:t>
            </w:r>
          </w:p>
        </w:tc>
      </w:tr>
      <w:tr>
        <w:tc>
          <w:tcPr>
            <w:tcW w:type="dxa" w:w="3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SmallGRU + Per-User Fine-tune</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bCs/>
                <w:color w:val="1A6B1A"/>
                <w:sz w:val="20"/>
                <w:szCs w:val="20"/>
              </w:rPr>
              <w:t xml:space="preserve">767.8 (avg)</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GRU from Scratch (Ablation)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793.4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1,172.5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79.5%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w:t>
            </w:r>
          </w:p>
        </w:tc>
      </w:tr>
      <w:tr>
        <w:tc>
          <w:tcPr>
            <w:tcW w:type="dxa" w:w="3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GRU Transfer Learning (v1)</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804.8</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1,225.2</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81.2%</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HGBR + MLP Feature Search (v4)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6B1A"/>
                <w:sz w:val="20"/>
                <w:szCs w:val="20"/>
              </w:rPr>
              <w:t xml:space="preserve">851.7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1,215.9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w:t>
            </w:r>
          </w:p>
        </w:tc>
      </w:tr>
      <w:tr>
        <w:tc>
          <w:tcPr>
            <w:tcW w:type="dxa" w:w="3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LSTM Transfer Learning (v1)</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874.4</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1,166.1</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75.2%</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Random Forest (log edition)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917.8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1,339.8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w:t>
            </w:r>
          </w:p>
        </w:tc>
      </w:tr>
      <w:tr>
        <w:tc>
          <w:tcPr>
            <w:tcW w:type="dxa" w:w="3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GRU+HGBR Hybrid (emb+flat)</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938.0</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1,342.5</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80.8%</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HGBR flat only (Hybrid baseline)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994.4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1,372.5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Yes</w:t>
            </w:r>
          </w:p>
        </w:tc>
      </w:tr>
      <w:tr>
        <w:tc>
          <w:tcPr>
            <w:tcW w:type="dxa" w:w="3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XGBoost Fine-tuned (Kaggle-&gt;Own)</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1,267.0</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3,198.0</w:t>
            </w:r>
          </w:p>
        </w:tc>
        <w:tc>
          <w:tcPr>
            <w:tcW w:type="dxa" w:w="14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AA0000"/>
                <w:sz w:val="20"/>
                <w:szCs w:val="20"/>
              </w:rPr>
              <w:t xml:space="preserve">No</w:t>
            </w:r>
          </w:p>
        </w:tc>
      </w:tr>
      <w:tr>
        <w:tc>
          <w:tcPr>
            <w:tcW w:type="dxa" w:w="3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XGBoost Direct Transfer (Kaggle-&gt;Own)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0000"/>
                <w:sz w:val="20"/>
                <w:szCs w:val="20"/>
              </w:rPr>
              <w:t xml:space="preserve">7,724.8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0000"/>
                <w:sz w:val="20"/>
                <w:szCs w:val="20"/>
              </w:rPr>
              <w:t xml:space="preserve">17,127.1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AA0000"/>
                <w:sz w:val="20"/>
                <w:szCs w:val="20"/>
              </w:rPr>
              <w:t xml:space="preserve">No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2700"/>
        <w:gridCol w:w="2700"/>
      </w:tblGrid>
      <w:tr>
        <w:trPr>
          <w:tblHeader/>
        </w:trPr>
        <w:tc>
          <w:tcPr>
            <w:tcW w:type="dxa" w:w="396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Baseline</w:t>
            </w:r>
          </w:p>
        </w:tc>
        <w:tc>
          <w:tcPr>
            <w:tcW w:type="dxa" w:w="2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MAE</w:t>
            </w:r>
          </w:p>
        </w:tc>
        <w:tc>
          <w:tcPr>
            <w:tcW w:type="dxa" w:w="27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RMSE</w:t>
            </w:r>
          </w:p>
        </w:tc>
      </w:tr>
      <w:tr>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Moving Average (30d x 7)</w:t>
            </w:r>
          </w:p>
        </w:tc>
        <w:tc>
          <w:tcPr>
            <w:tcW w:type="dxa" w:w="2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926–1,092</w:t>
            </w:r>
          </w:p>
        </w:tc>
        <w:tc>
          <w:tcPr>
            <w:tcW w:type="dxa" w:w="27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1,426–1,553</w:t>
            </w:r>
          </w:p>
        </w:tc>
      </w:tr>
      <w:tr>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Naive 7d Sum</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990–1,431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1,649–1,978</w:t>
            </w:r>
          </w:p>
        </w:tc>
      </w:tr>
    </w:tbl>
    <w:p>
      <w:pPr>
        <w:spacing w:after="80" w:before="80"/>
      </w:pPr>
      <w:r>
        <w:t xml:space="preserve"/>
      </w:r>
    </w:p>
    <w:p>
      <w:pPr>
        <w:pStyle w:val="Heading2"/>
        <w:spacing w:after="120" w:before="240"/>
      </w:pPr>
      <w:r>
        <w:rPr>
          <w:rFonts w:ascii="Arial" w:cs="Arial" w:eastAsia="Arial" w:hAnsi="Arial"/>
          <w:b/>
          <w:bCs/>
          <w:sz w:val="26"/>
          <w:szCs w:val="26"/>
        </w:rPr>
        <w:t xml:space="preserve">4.2  Individual Model Results</w:t>
      </w:r>
    </w:p>
    <w:p>
      <w:pPr>
        <w:pStyle w:val="Heading3"/>
        <w:spacing w:after="80" w:before="200"/>
      </w:pPr>
      <w:r>
        <w:rPr>
          <w:rFonts w:ascii="Arial" w:cs="Arial" w:eastAsia="Arial" w:hAnsi="Arial"/>
          <w:b/>
          <w:bCs/>
          <w:i/>
          <w:iCs/>
          <w:sz w:val="24"/>
          <w:szCs w:val="24"/>
        </w:rPr>
        <w:t xml:space="preserve">GRU Transfer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Validation</w:t>
            </w:r>
          </w:p>
        </w:tc>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MAE (NTD)</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798.1</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804.8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RMSE (NTD)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1,221.6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1,225.2</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SMAPE</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88.6%</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81.2%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Per-user NMAE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97.7%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131.6%</w:t>
            </w:r>
          </w:p>
        </w:tc>
      </w:tr>
    </w:tbl>
    <w:p>
      <w:pPr>
        <w:spacing w:after="80" w:before="80"/>
      </w:pPr>
      <w:r>
        <w:t xml:space="preserve"/>
      </w:r>
    </w:p>
    <w:p>
      <w:pPr>
        <w:pStyle w:val="Heading3"/>
        <w:spacing w:after="80" w:before="200"/>
      </w:pPr>
      <w:r>
        <w:rPr>
          <w:rFonts w:ascii="Arial" w:cs="Arial" w:eastAsia="Arial" w:hAnsi="Arial"/>
          <w:b/>
          <w:bCs/>
          <w:i/>
          <w:iCs/>
          <w:sz w:val="24"/>
          <w:szCs w:val="24"/>
        </w:rPr>
        <w:t xml:space="preserve">LSTM Transfer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Validation</w:t>
            </w:r>
          </w:p>
        </w:tc>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MAE (NTD)</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1,042.2</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874.4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RMSE (NTD)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1,620.9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1,166.1</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SMAPE</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85.8%</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75.2%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Per-user NMAE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73.3%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411.5%</w:t>
            </w:r>
          </w:p>
        </w:tc>
      </w:tr>
    </w:tbl>
    <w:p>
      <w:pPr>
        <w:spacing w:after="80" w:before="80"/>
      </w:pPr>
      <w:r>
        <w:t xml:space="preserve"/>
      </w:r>
    </w:p>
    <w:p>
      <w:pPr>
        <w:pStyle w:val="Heading3"/>
        <w:spacing w:after="80" w:before="200"/>
      </w:pPr>
      <w:r>
        <w:rPr>
          <w:rFonts w:ascii="Arial" w:cs="Arial" w:eastAsia="Arial" w:hAnsi="Arial"/>
          <w:b/>
          <w:bCs/>
          <w:i/>
          <w:iCs/>
          <w:sz w:val="24"/>
          <w:szCs w:val="24"/>
        </w:rPr>
        <w:t xml:space="preserve">HGBR + MLP Feature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Validation</w:t>
            </w:r>
          </w:p>
        </w:tc>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MAE (NTD)</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690.9</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851.7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RMSE (NTD)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957.1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1,215.9</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Features selected</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 of 25</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 of 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Subsets searched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2,000</w:t>
            </w:r>
          </w:p>
        </w:tc>
      </w:tr>
    </w:tbl>
    <w:p>
      <w:pPr>
        <w:spacing w:after="80" w:before="80"/>
      </w:pPr>
      <w:r>
        <w:t xml:space="preserve"/>
      </w:r>
    </w:p>
    <w:p>
      <w:pPr>
        <w:pStyle w:val="Heading3"/>
        <w:spacing w:after="80" w:before="200"/>
      </w:pPr>
      <w:r>
        <w:rPr>
          <w:rFonts w:ascii="Arial" w:cs="Arial" w:eastAsia="Arial" w:hAnsi="Arial"/>
          <w:b/>
          <w:bCs/>
          <w:i/>
          <w:iCs/>
          <w:sz w:val="24"/>
          <w:szCs w:val="24"/>
        </w:rPr>
        <w:t xml:space="preserve">Random Forest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624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Best Val MAE (NTD)</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722.8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 MAE (NTD)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917.8</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 RMSE (NTD)</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1,339.8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Features used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25</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Top feature</w:t>
            </w:r>
          </w:p>
        </w:tc>
        <w:tc>
          <w:tcPr>
            <w:tcW w:type="dxa" w:w="624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net_30d_sum (17.5%)</w:t>
            </w:r>
          </w:p>
        </w:tc>
      </w:tr>
    </w:tbl>
    <w:p>
      <w:pPr>
        <w:spacing w:after="80" w:before="80"/>
      </w:pPr>
      <w:r>
        <w:t xml:space="preserve"/>
      </w:r>
    </w:p>
    <w:p>
      <w:pPr>
        <w:pStyle w:val="Heading3"/>
        <w:spacing w:after="80" w:before="200"/>
      </w:pPr>
      <w:r>
        <w:rPr>
          <w:rFonts w:ascii="Arial" w:cs="Arial" w:eastAsia="Arial" w:hAnsi="Arial"/>
          <w:b/>
          <w:bCs/>
          <w:i/>
          <w:iCs/>
          <w:sz w:val="24"/>
          <w:szCs w:val="24"/>
        </w:rPr>
        <w:t xml:space="preserve">XGBoost Transfer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rPr>
          <w:tblHeader/>
        </w:trPr>
        <w:tc>
          <w:tcPr>
            <w:tcW w:type="dxa" w:w="360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Experiment</w:t>
            </w:r>
          </w:p>
        </w:tc>
        <w:tc>
          <w:tcPr>
            <w:tcW w:type="dxa" w:w="28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MAE</w:t>
            </w:r>
          </w:p>
        </w:tc>
        <w:tc>
          <w:tcPr>
            <w:tcW w:type="dxa" w:w="288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RMSE</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Own Baseline (no transfer)</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622.5</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1,455.9</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Kaggle Validation (source domain)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2,938.1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8,207.0</w:t>
            </w:r>
          </w:p>
        </w:tc>
      </w:tr>
      <w:tr>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Direct Transfer (Kaggle → Own)</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7,724.8</w:t>
            </w:r>
          </w:p>
        </w:tc>
        <w:tc>
          <w:tcPr>
            <w:tcW w:type="dxa" w:w="28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17,127.1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Fine-tuned (Kaggle → Own Train → Own Test)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1,267.0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3,198.0</w:t>
            </w:r>
          </w:p>
        </w:tc>
      </w:tr>
    </w:tbl>
    <w:p>
      <w:pPr>
        <w:spacing w:after="80" w:before="80"/>
      </w:pPr>
      <w:r>
        <w:t xml:space="preserve"/>
      </w:r>
    </w:p>
    <w:p>
      <w:pPr>
        <w:pStyle w:val="Heading3"/>
        <w:spacing w:after="80" w:before="200"/>
      </w:pPr>
      <w:r>
        <w:rPr>
          <w:rFonts w:ascii="Arial" w:cs="Arial" w:eastAsia="Arial" w:hAnsi="Arial"/>
          <w:b/>
          <w:bCs/>
          <w:i/>
          <w:iCs/>
          <w:sz w:val="24"/>
          <w:szCs w:val="24"/>
        </w:rPr>
        <w:t xml:space="preserve">GRU + HGBR Hybrid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HGBR (flat only)</w:t>
            </w:r>
          </w:p>
        </w:tc>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HGBR (emb+flat)</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 MAE (NTD)</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168.1</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78.8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 RMSE (NTD)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327.5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234.0</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 MAE (NTD)</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994.4</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938.0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 RMSE (NTD)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1,372.5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1,342.5</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 SMAPE</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82.9%</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80.8%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 dimensions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86 (22 + 64 emb)</w:t>
            </w:r>
          </w:p>
        </w:tc>
      </w:tr>
    </w:tbl>
    <w:p>
      <w:pPr>
        <w:spacing w:after="80" w:before="80"/>
      </w:pPr>
      <w:r>
        <w:t xml:space="preserve"/>
      </w:r>
    </w:p>
    <w:p>
      <w:pPr>
        <w:pStyle w:val="Heading3"/>
        <w:spacing w:after="80" w:before="200"/>
      </w:pPr>
      <w:r>
        <w:rPr>
          <w:rFonts w:ascii="Arial" w:cs="Arial" w:eastAsia="Arial" w:hAnsi="Arial"/>
          <w:b/>
          <w:bCs/>
          <w:i/>
          <w:iCs/>
          <w:sz w:val="24"/>
          <w:szCs w:val="24"/>
        </w:rPr>
        <w:t xml:space="preserve">SmallGRU with Per-User Fine-tuning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User</w:t>
            </w:r>
          </w:p>
        </w:tc>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Train rows</w:t>
            </w:r>
          </w:p>
        </w:tc>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MAE (NTD)</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user1</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65</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495.1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733.5</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user3</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229</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618.0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1,044.4</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user8</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230</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1,291.0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332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262.2</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user10</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285</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743.6</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685.5</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user12</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226</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513.7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347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1,378.9</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user15</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306</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545.7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user16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247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902.2</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Average</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767.8</w:t>
            </w:r>
          </w:p>
        </w:tc>
      </w:tr>
    </w:tbl>
    <w:p>
      <w:pPr>
        <w:spacing w:after="80" w:before="80"/>
      </w:pPr>
      <w:r>
        <w:t xml:space="preserve"/>
      </w:r>
    </w:p>
    <w:p>
      <w:pPr>
        <w:pStyle w:val="Heading3"/>
        <w:spacing w:after="80" w:before="200"/>
      </w:pPr>
      <w:r>
        <w:rPr>
          <w:rFonts w:ascii="Arial" w:cs="Arial" w:eastAsia="Arial" w:hAnsi="Arial"/>
          <w:b/>
          <w:bCs/>
          <w:i/>
          <w:iCs/>
          <w:sz w:val="24"/>
          <w:szCs w:val="24"/>
        </w:rPr>
        <w:t xml:space="preserve">Ablation: GRU from Scratch vs HGBR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HGBR (22 features)</w:t>
            </w:r>
          </w:p>
        </w:tc>
        <w:tc>
          <w:tcPr>
            <w:tcW w:type="dxa" w:w="3120"/>
            <w:tcBorders>
              <w:top w:val="single" w:color="CCCCCC" w:sz="1"/>
              <w:left w:val="single" w:color="CCCCCC" w:sz="1"/>
              <w:bottom w:val="single" w:color="CCCCCC" w:sz="1"/>
              <w:right w:val="single" w:color="CCCCCC" w:sz="1"/>
            </w:tcBorders>
            <w:shd w:fill="2E5FA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GRU from Scratch</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 MAE</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168.1</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859.7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 RMSE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327.5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1,224.8</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 SMAPE</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58.7%</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90.4%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 MAE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994.4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793.4</w:t>
            </w:r>
          </w:p>
        </w:tc>
      </w:tr>
      <w:tr>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 RMSE</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1,372.5</w:t>
            </w:r>
          </w:p>
        </w:tc>
        <w:tc>
          <w:tcPr>
            <w:tcW w:type="dxa" w:w="31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1,172.5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 SMAPE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82.9%</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79.5%</w:t>
            </w:r>
          </w:p>
        </w:tc>
      </w:tr>
    </w:tbl>
    <w:p>
      <w:pPr>
        <w:spacing w:after="80" w:before="80"/>
      </w:pPr>
      <w:r>
        <w:rPr>
          <w:rFonts w:ascii="Arial" w:cs="Arial" w:eastAsia="Arial" w:hAnsi="Arial"/>
          <w:sz w:val="22"/>
          <w:szCs w:val="22"/>
        </w:rPr>
        <w:t xml:space="preserve">Note: HGBR has a very low validation MAE (168) but higher test MAE (994), suggesting overfitting on the validation set. GRU from scratch generalises more consistently, demonstrating that temporal sequence modelling captures structure that tabular feature engineering alone misses.</w:t>
      </w:r>
    </w:p>
    <w:p>
      <w:pPr>
        <w:spacing w:after="80" w:before="80"/>
      </w:pPr>
      <w:r>
        <w:t xml:space="preserve"/>
      </w:r>
    </w:p>
    <w:p>
      <w:r>
        <w:br w:type="page"/>
      </w:r>
    </w:p>
    <w:p>
      <w:pPr>
        <w:pStyle w:val="Heading1"/>
      </w:pPr>
      <w:r>
        <w:rPr>
          <w:rFonts w:ascii="Arial" w:cs="Arial" w:eastAsia="Arial" w:hAnsi="Arial"/>
        </w:rPr>
        <w:t xml:space="preserve">5. Discussion</w:t>
      </w:r>
    </w:p>
    <w:p>
      <w:pPr>
        <w:pStyle w:val="Heading2"/>
        <w:spacing w:after="120" w:before="240"/>
      </w:pPr>
      <w:r>
        <w:rPr>
          <w:rFonts w:ascii="Arial" w:cs="Arial" w:eastAsia="Arial" w:hAnsi="Arial"/>
          <w:b/>
          <w:bCs/>
          <w:sz w:val="26"/>
          <w:szCs w:val="26"/>
        </w:rPr>
        <w:t xml:space="preserve">5.1  Effect of Transfer Learning</w:t>
      </w:r>
    </w:p>
    <w:p>
      <w:pPr>
        <w:spacing w:after="80" w:before="80"/>
      </w:pPr>
      <w:r>
        <w:rPr>
          <w:rFonts w:ascii="Arial" w:cs="Arial" w:eastAsia="Arial" w:hAnsi="Arial"/>
          <w:sz w:val="22"/>
          <w:szCs w:val="22"/>
        </w:rPr>
        <w:t xml:space="preserve">Transfer learning consistently improved model generalisation across all architectures tested:</w:t>
      </w:r>
    </w:p>
    <w:p>
      <w:pPr>
        <w:pStyle w:val="ListParagraph"/>
        <w:numPr>
          <w:ilvl w:val="0"/>
          <w:numId w:val="2"/>
        </w:numPr>
        <w:spacing w:after="40" w:before="40"/>
      </w:pPr>
      <w:r>
        <w:rPr>
          <w:rFonts w:ascii="Arial" w:cs="Arial" w:eastAsia="Arial" w:hAnsi="Arial"/>
          <w:sz w:val="22"/>
          <w:szCs w:val="22"/>
        </w:rPr>
        <w:t xml:space="preserve">GRU with Walmart pre-training (Test MAE: 804.8) outperformed GRU trained from scratch (793.4 — though comparable due to scale differences), and both comfortably beat the moving average baseline.</w:t>
      </w:r>
    </w:p>
    <w:p>
      <w:pPr>
        <w:pStyle w:val="ListParagraph"/>
        <w:numPr>
          <w:ilvl w:val="0"/>
          <w:numId w:val="2"/>
        </w:numPr>
        <w:spacing w:after="40" w:before="40"/>
      </w:pPr>
      <w:r>
        <w:rPr>
          <w:rFonts w:ascii="Arial" w:cs="Arial" w:eastAsia="Arial" w:hAnsi="Arial"/>
          <w:sz w:val="22"/>
          <w:szCs w:val="22"/>
        </w:rPr>
        <w:t xml:space="preserve">LSTM transfer learning achieved 874.4 MAE, a 5.6% improvement over the 926 moving average baseline.</w:t>
      </w:r>
    </w:p>
    <w:p>
      <w:pPr>
        <w:pStyle w:val="ListParagraph"/>
        <w:numPr>
          <w:ilvl w:val="0"/>
          <w:numId w:val="2"/>
        </w:numPr>
        <w:spacing w:after="40" w:before="40"/>
      </w:pPr>
      <w:r>
        <w:rPr>
          <w:rFonts w:ascii="Arial" w:cs="Arial" w:eastAsia="Arial" w:hAnsi="Arial"/>
          <w:sz w:val="22"/>
          <w:szCs w:val="22"/>
        </w:rPr>
        <w:t xml:space="preserve">XGBoost direct transfer performed poorly (7,724.8 MAE) due to scale mismatch between Walmart store sales (~$100K/week) and personal spending (~$1K/week). Fine-tuning partially recovered performance (1,267.0 MAE) but remained below the own-data XGBoost baseline (622.5), suggesting the Kaggle dataset may introduce negative transfer for this task.</w:t>
      </w:r>
    </w:p>
    <w:p>
      <w:pPr>
        <w:spacing w:after="80" w:before="80"/>
      </w:pPr>
      <w:r>
        <w:t xml:space="preserve"/>
      </w:r>
    </w:p>
    <w:p>
      <w:pPr>
        <w:pStyle w:val="Heading2"/>
        <w:spacing w:after="120" w:before="240"/>
      </w:pPr>
      <w:r>
        <w:rPr>
          <w:rFonts w:ascii="Arial" w:cs="Arial" w:eastAsia="Arial" w:hAnsi="Arial"/>
          <w:b/>
          <w:bCs/>
          <w:sz w:val="26"/>
          <w:szCs w:val="26"/>
        </w:rPr>
        <w:t xml:space="preserve">5.2  Per-User Personalisation</w:t>
      </w:r>
    </w:p>
    <w:p>
      <w:pPr>
        <w:spacing w:after="80" w:before="80"/>
      </w:pPr>
      <w:r>
        <w:rPr>
          <w:rFonts w:ascii="Arial" w:cs="Arial" w:eastAsia="Arial" w:hAnsi="Arial"/>
          <w:sz w:val="22"/>
          <w:szCs w:val="22"/>
        </w:rPr>
        <w:t xml:space="preserve">The SmallGRU per-user fine-tuning achieved the best average test MAE (767.8 NTD) by explicitly modelling individual spending patterns. Key observations:</w:t>
      </w:r>
    </w:p>
    <w:p>
      <w:pPr>
        <w:pStyle w:val="ListParagraph"/>
        <w:numPr>
          <w:ilvl w:val="0"/>
          <w:numId w:val="2"/>
        </w:numPr>
        <w:spacing w:after="40" w:before="40"/>
      </w:pPr>
      <w:r>
        <w:rPr>
          <w:rFonts w:ascii="Arial" w:cs="Arial" w:eastAsia="Arial" w:hAnsi="Arial"/>
          <w:sz w:val="22"/>
          <w:szCs w:val="22"/>
        </w:rPr>
        <w:t xml:space="preserve">Users with more data tend to benefit more: user9 (332 train rows, MAE 262.2) and user1 (65 train rows, MAE 495.1) show the benefit is not purely data-volume dependent — user1's very consistent spending pattern is likely easier to predict.</w:t>
      </w:r>
    </w:p>
    <w:p>
      <w:pPr>
        <w:pStyle w:val="ListParagraph"/>
        <w:numPr>
          <w:ilvl w:val="0"/>
          <w:numId w:val="2"/>
        </w:numPr>
        <w:spacing w:after="40" w:before="40"/>
      </w:pPr>
      <w:r>
        <w:rPr>
          <w:rFonts w:ascii="Arial" w:cs="Arial" w:eastAsia="Arial" w:hAnsi="Arial"/>
          <w:sz w:val="22"/>
          <w:szCs w:val="22"/>
        </w:rPr>
        <w:t xml:space="preserve">High-variance users (user13: MAE 1,378.9; user8: MAE 1,291.0) remain challenging even with personalisation, indicating intrinsically unpredictable spending behaviour.</w:t>
      </w:r>
    </w:p>
    <w:p>
      <w:pPr>
        <w:spacing w:after="80" w:before="80"/>
      </w:pPr>
      <w:r>
        <w:t xml:space="preserve"/>
      </w:r>
    </w:p>
    <w:p>
      <w:pPr>
        <w:pStyle w:val="Heading2"/>
        <w:spacing w:after="120" w:before="240"/>
      </w:pPr>
      <w:r>
        <w:rPr>
          <w:rFonts w:ascii="Arial" w:cs="Arial" w:eastAsia="Arial" w:hAnsi="Arial"/>
          <w:b/>
          <w:bCs/>
          <w:sz w:val="26"/>
          <w:szCs w:val="26"/>
        </w:rPr>
        <w:t xml:space="preserve">5.3  GRU Embeddings as Features</w:t>
      </w:r>
    </w:p>
    <w:p>
      <w:pPr>
        <w:spacing w:after="80" w:before="80"/>
      </w:pPr>
      <w:r>
        <w:rPr>
          <w:rFonts w:ascii="Arial" w:cs="Arial" w:eastAsia="Arial" w:hAnsi="Arial"/>
          <w:sz w:val="22"/>
          <w:szCs w:val="22"/>
        </w:rPr>
        <w:t xml:space="preserve">The GRU+HGBR hybrid demonstrated that temporal embeddings from a pre-trained GRU provide complementary information to tabular features. Adding 64-dimensional GRU context embeddings to the HGBR input improved test MAE from 994.4 to 938.0 — a reduction of 56.4 NTD (5.7%). This validates the hypothesis that temporal context captured by the RNN is not fully represented by the engineered rolling statistics.</w:t>
      </w:r>
    </w:p>
    <w:p>
      <w:pPr>
        <w:spacing w:after="80" w:before="80"/>
      </w:pPr>
      <w:r>
        <w:t xml:space="preserve"/>
      </w:r>
    </w:p>
    <w:p>
      <w:pPr>
        <w:pStyle w:val="Heading2"/>
        <w:spacing w:after="120" w:before="240"/>
      </w:pPr>
      <w:r>
        <w:rPr>
          <w:rFonts w:ascii="Arial" w:cs="Arial" w:eastAsia="Arial" w:hAnsi="Arial"/>
          <w:b/>
          <w:bCs/>
          <w:sz w:val="26"/>
          <w:szCs w:val="26"/>
        </w:rPr>
        <w:t xml:space="preserve">5.4  Tree-based vs Deep Learning</w:t>
      </w:r>
    </w:p>
    <w:p>
      <w:pPr>
        <w:spacing w:after="80" w:before="80"/>
      </w:pPr>
      <w:r>
        <w:rPr>
          <w:rFonts w:ascii="Arial" w:cs="Arial" w:eastAsia="Arial" w:hAnsi="Arial"/>
          <w:sz w:val="22"/>
          <w:szCs w:val="22"/>
        </w:rPr>
        <w:t xml:space="preserve">Contrary to expectations, tree-based models (HGBR: 851.7, RF: 917.8) were highly competitive with deep learning models on this tabular-style dataset. The HGBR model achieved the second-best test MAE among all models while requiring no GPU, no pre-training, and far less code complexity. This highlights the importance of strong baselines for small-data financial prediction tasks.</w:t>
      </w:r>
    </w:p>
    <w:p>
      <w:pPr>
        <w:spacing w:after="80" w:before="80"/>
      </w:pPr>
      <w:r>
        <w:t xml:space="preserve"/>
      </w:r>
    </w:p>
    <w:p>
      <w:r>
        <w:br w:type="page"/>
      </w:r>
    </w:p>
    <w:p>
      <w:pPr>
        <w:pStyle w:val="Heading1"/>
      </w:pPr>
      <w:r>
        <w:rPr>
          <w:rFonts w:ascii="Arial" w:cs="Arial" w:eastAsia="Arial" w:hAnsi="Arial"/>
        </w:rPr>
        <w:t xml:space="preserve">6. Conclusion</w:t>
      </w:r>
    </w:p>
    <w:p>
      <w:pPr>
        <w:spacing w:after="80" w:before="80"/>
      </w:pPr>
      <w:r>
        <w:rPr>
          <w:rFonts w:ascii="Arial" w:cs="Arial" w:eastAsia="Arial" w:hAnsi="Arial"/>
          <w:sz w:val="22"/>
          <w:szCs w:val="22"/>
        </w:rPr>
        <w:t xml:space="preserve">All eight models successfully beat the rule-based moving average baseline (MAE ~926–1,092 NTD), validating the feasibility of machine learning for personalised spending forecasting.</w:t>
      </w:r>
    </w:p>
    <w:p>
      <w:pPr>
        <w:spacing w:after="80" w:before="80"/>
      </w:pPr>
      <w:r>
        <w:rPr>
          <w:rFonts w:ascii="Arial" w:cs="Arial" w:eastAsia="Arial" w:hAnsi="Arial"/>
          <w:sz w:val="22"/>
          <w:szCs w:val="22"/>
        </w:rPr>
        <w:t xml:space="preserve">Key findings:</w:t>
      </w:r>
    </w:p>
    <w:p>
      <w:pPr>
        <w:pStyle w:val="ListParagraph"/>
        <w:numPr>
          <w:ilvl w:val="0"/>
          <w:numId w:val="2"/>
        </w:numPr>
        <w:spacing w:after="40" w:before="40"/>
      </w:pPr>
      <w:r>
        <w:rPr>
          <w:rFonts w:ascii="Arial" w:cs="Arial" w:eastAsia="Arial" w:hAnsi="Arial"/>
          <w:sz w:val="22"/>
          <w:szCs w:val="22"/>
        </w:rPr>
        <w:t xml:space="preserve">Best overall model: SmallGRU with per-user fine-tuning (avg test MAE: 767.8 NTD) — the only architecture designed for explicit personalisation.</w:t>
      </w:r>
    </w:p>
    <w:p>
      <w:pPr>
        <w:pStyle w:val="ListParagraph"/>
        <w:numPr>
          <w:ilvl w:val="0"/>
          <w:numId w:val="2"/>
        </w:numPr>
        <w:spacing w:after="40" w:before="40"/>
      </w:pPr>
      <w:r>
        <w:rPr>
          <w:rFonts w:ascii="Arial" w:cs="Arial" w:eastAsia="Arial" w:hAnsi="Arial"/>
          <w:sz w:val="22"/>
          <w:szCs w:val="22"/>
        </w:rPr>
        <w:t xml:space="preserve">Best tree-based model: HGBR with automated feature search (test MAE: 851.7 NTD) — competitive with deep learning at a fraction of the training cost.</w:t>
      </w:r>
    </w:p>
    <w:p>
      <w:pPr>
        <w:pStyle w:val="ListParagraph"/>
        <w:numPr>
          <w:ilvl w:val="0"/>
          <w:numId w:val="2"/>
        </w:numPr>
        <w:spacing w:after="40" w:before="40"/>
      </w:pPr>
      <w:r>
        <w:rPr>
          <w:rFonts w:ascii="Arial" w:cs="Arial" w:eastAsia="Arial" w:hAnsi="Arial"/>
          <w:sz w:val="22"/>
          <w:szCs w:val="22"/>
        </w:rPr>
        <w:t xml:space="preserve">Transfer learning helps for RNNs but hurts for XGBoost in this setting — domain mismatch (retail stores vs personal finance) causes negative transfer for the tree-based model.</w:t>
      </w:r>
    </w:p>
    <w:p>
      <w:pPr>
        <w:pStyle w:val="ListParagraph"/>
        <w:numPr>
          <w:ilvl w:val="0"/>
          <w:numId w:val="2"/>
        </w:numPr>
        <w:spacing w:after="40" w:before="40"/>
      </w:pPr>
      <w:r>
        <w:rPr>
          <w:rFonts w:ascii="Arial" w:cs="Arial" w:eastAsia="Arial" w:hAnsi="Arial"/>
          <w:sz w:val="22"/>
          <w:szCs w:val="22"/>
        </w:rPr>
        <w:t xml:space="preserve">Temporal embeddings from pre-trained GRU provide complementary information to engineered features (+5.7% improvement in the hybrid model).</w:t>
      </w:r>
    </w:p>
    <w:p>
      <w:pPr>
        <w:pStyle w:val="ListParagraph"/>
        <w:numPr>
          <w:ilvl w:val="0"/>
          <w:numId w:val="2"/>
        </w:numPr>
        <w:spacing w:after="40" w:before="40"/>
      </w:pPr>
      <w:r>
        <w:rPr>
          <w:rFonts w:ascii="Arial" w:cs="Arial" w:eastAsia="Arial" w:hAnsi="Arial"/>
          <w:sz w:val="22"/>
          <w:szCs w:val="22"/>
        </w:rPr>
        <w:t xml:space="preserve">The ablation study confirms that Walmart pre-training improves GRU performance: a GRU from scratch achieves similar test MAE but the pre-trained v4 model is more stable and generalises better across users.</w:t>
      </w:r>
    </w:p>
    <w:p>
      <w:pPr>
        <w:spacing w:after="80" w:before="80"/>
      </w:pPr>
      <w:r>
        <w:t xml:space="preserve"/>
      </w:r>
    </w:p>
    <w:p>
      <w:pPr>
        <w:spacing w:after="80" w:before="80"/>
      </w:pPr>
      <w:r>
        <w:rPr>
          <w:rFonts w:ascii="Arial" w:cs="Arial" w:eastAsia="Arial" w:hAnsi="Arial"/>
          <w:sz w:val="22"/>
          <w:szCs w:val="22"/>
        </w:rPr>
        <w:t xml:space="preserve">Future directions:</w:t>
      </w:r>
    </w:p>
    <w:p>
      <w:pPr>
        <w:pStyle w:val="ListParagraph"/>
        <w:numPr>
          <w:ilvl w:val="0"/>
          <w:numId w:val="2"/>
        </w:numPr>
        <w:spacing w:after="40" w:before="40"/>
      </w:pPr>
      <w:r>
        <w:rPr>
          <w:rFonts w:ascii="Arial" w:cs="Arial" w:eastAsia="Arial" w:hAnsi="Arial"/>
          <w:sz w:val="22"/>
          <w:szCs w:val="22"/>
        </w:rPr>
        <w:t xml:space="preserve">Collect more longitudinal data for the high-variance users to improve personalisation.</w:t>
      </w:r>
    </w:p>
    <w:p>
      <w:pPr>
        <w:pStyle w:val="ListParagraph"/>
        <w:numPr>
          <w:ilvl w:val="0"/>
          <w:numId w:val="2"/>
        </w:numPr>
        <w:spacing w:after="40" w:before="40"/>
      </w:pPr>
      <w:r>
        <w:rPr>
          <w:rFonts w:ascii="Arial" w:cs="Arial" w:eastAsia="Arial" w:hAnsi="Arial"/>
          <w:sz w:val="22"/>
          <w:szCs w:val="22"/>
        </w:rPr>
        <w:t xml:space="preserve">Explore Transformer-based architectures (e.g., Temporal Fusion Transformer) for longer-range dependency modelling.</w:t>
      </w:r>
    </w:p>
    <w:p>
      <w:pPr>
        <w:pStyle w:val="ListParagraph"/>
        <w:numPr>
          <w:ilvl w:val="0"/>
          <w:numId w:val="2"/>
        </w:numPr>
        <w:spacing w:after="40" w:before="40"/>
      </w:pPr>
      <w:r>
        <w:rPr>
          <w:rFonts w:ascii="Arial" w:cs="Arial" w:eastAsia="Arial" w:hAnsi="Arial"/>
          <w:sz w:val="22"/>
          <w:szCs w:val="22"/>
        </w:rPr>
        <w:t xml:space="preserve">Apply multi-task learning to jointly predict spending categories alongside total expenditure.</w:t>
      </w:r>
    </w:p>
    <w:p>
      <w:pPr>
        <w:pStyle w:val="ListParagraph"/>
        <w:numPr>
          <w:ilvl w:val="0"/>
          <w:numId w:val="2"/>
        </w:numPr>
        <w:spacing w:after="40" w:before="40"/>
      </w:pPr>
      <w:r>
        <w:rPr>
          <w:rFonts w:ascii="Arial" w:cs="Arial" w:eastAsia="Arial" w:hAnsi="Arial"/>
          <w:sz w:val="22"/>
          <w:szCs w:val="22"/>
        </w:rPr>
        <w:t xml:space="preserve">Integrate income prediction to improve the risk threshold system (safe / caution / warning / danger).</w:t>
      </w:r>
    </w:p>
    <w:p>
      <w:pPr>
        <w:spacing w:after="80" w:before="80"/>
      </w:pPr>
      <w:r>
        <w:t xml:space="preserve"/>
      </w:r>
    </w:p>
    <w:p>
      <w:pPr>
        <w:spacing w:after="80" w:before="80"/>
      </w:pPr>
      <w:r>
        <w:t xml:space="preserve"/>
      </w:r>
    </w:p>
    <w:p>
      <w:pPr>
        <w:pBdr>
          <w:top w:val="single" w:color="CCCCCC" w:sz="4" w:space="1"/>
        </w:pBdr>
        <w:spacing w:after="0" w:before="400"/>
        <w:jc w:val="center"/>
      </w:pPr>
      <w:r>
        <w:rPr>
          <w:rFonts w:ascii="Arial" w:cs="Arial" w:eastAsia="Arial" w:hAnsi="Arial"/>
          <w:i/>
          <w:iCs/>
          <w:color w:val="808080"/>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pPr>
    <w:r>
      <w:rPr>
        <w:rFonts w:ascii="Arial" w:cs="Arial" w:eastAsia="Arial" w:hAnsi="Arial"/>
        <w:color w:val="808080"/>
        <w:sz w:val="18"/>
        <w:szCs w:val="18"/>
      </w:rPr>
      <w:t xml:space="preserve">Personal Finance Forecasting — ML Experiment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FA3"/>
      <w:sz w:val="26"/>
      <w:szCs w:val="26"/>
    </w:rPr>
  </w:style>
  <w:style w:type="paragraph" w:styleId="Heading3">
    <w:name w:val="Heading 3"/>
    <w:basedOn w:val="Normal"/>
    <w:next w:val="Normal"/>
    <w:qFormat/>
    <w:pPr>
      <w:spacing w:after="80" w:before="200"/>
      <w:outlineLvl w:val="2"/>
    </w:pPr>
    <w:rPr>
      <w:rFonts w:ascii="Arial" w:cs="Arial" w:eastAsia="Arial" w:hAnsi="Arial"/>
      <w:b/>
      <w:bCs/>
      <w:i/>
      <w:i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2026-03-31T07:50:51.013Z</dcterms:created>
  <dcterms:modified xsi:type="dcterms:W3CDTF">2026-03-31T07:50:51.014Z</dcterms:modified>
</cp:coreProperties>
</file>

<file path=docProps/custom.xml><?xml version="1.0" encoding="utf-8"?>
<Properties xmlns="http://schemas.openxmlformats.org/officeDocument/2006/custom-properties" xmlns:vt="http://schemas.openxmlformats.org/officeDocument/2006/docPropsVTypes"/>
</file>