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個人消費預測系統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模型評估報告</w:t>
      </w:r>
    </w:p>
    <w:p>
      <w:pPr>
        <w:pBdr>
          <w:bottom w:val="single" w:color="2E75B6" w:sz="6" w:space="1"/>
        </w:pBdr>
        <w:spacing w:after="160" w:before="4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三層評估框架：回歸層 × 決策層 × 成本層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模型架構說明</w:t>
      </w:r>
    </w:p>
    <w:p>
      <w:pPr>
        <w:pBdr>
          <w:bottom w:val="single" w:color="2E75B6" w:sz="6" w:space="1"/>
        </w:pBdr>
        <w:spacing w:after="160" w:before="4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20"/>
        <w:gridCol w:w="2320"/>
        <w:gridCol w:w="232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3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ckh BiLSTM</w:t>
            </w:r>
          </w:p>
        </w:tc>
        <w:tc>
          <w:tcPr>
            <w:tcW w:type="dxa" w:w="23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 Aligned (lwc)</w:t>
            </w:r>
          </w:p>
        </w:tc>
        <w:tc>
          <w:tcPr>
            <w:tcW w:type="dxa" w:w="23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BiLSTM v2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架構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BiLSTM (2層)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GRU + Attention (2層)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BiLSTM + Attention (2層)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輸入特徵數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(原始特徵)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(對齊特徵)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(對齊特徵)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Hidden Size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 (雙向 = 128)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 (雙向 = 128)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預訓練資料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無（從頭訓練）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Walmart 零售資料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Walmart 零售資料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集成策略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model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 seeds 平均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暴力搜尋最佳組合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輸入特徵說明</w:t>
      </w:r>
    </w:p>
    <w:p>
      <w:pPr>
        <w:pBdr>
          <w:bottom w:val="single" w:color="2E75B6" w:sz="6" w:space="1"/>
        </w:pBdr>
        <w:spacing w:after="16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ckh BiLSTM：5 個原始特徵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160"/>
      </w:tblGrid>
      <w:t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特徵名稱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計算方式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意義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daily_expense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當日總花費（TWD）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最直接的消費信號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roll_7d_mean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過去 7 天均值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短期消費趨勢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roll_30d_mean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過去 30 天均值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長期個人基線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dow_sin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sin(2π × 星期幾 / 7)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週期性時間特徵（循環編碼）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dow_cos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cos(2π × 星期幾 / 7)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週期性時間特徵（循環編碼）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GRU Aligned / BiLSTM v2：10 個對齊特徵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這 10 個特徵均為「域不變（Domain-Invariant）」設計，使預訓練知識可從 Walmart 轉移到個人消費。</w:t>
      </w:r>
    </w:p>
    <w:p>
      <w:pPr>
        <w:spacing w:after="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160"/>
      </w:tblGrid>
      <w:t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特徵名稱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計算方式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意義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zscore_7d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(x - μ₇) / σ₇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相對短期波動（域不變）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zscore_14d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(x - μ₁₄) / σ₁₄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相對中期波動（域不變）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zscore_30d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(x - μ₃₀) / σ₃₀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相對長期波動（域不變）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pct_change_norm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Δx / (μ₃₀ + ε)，clip ±5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正規化日環比（域不變）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volatility_7d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σ₇ / (μ₇ + ε)，clip 0-5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短期波動率（域不變）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is_above_mean_30d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 &gt; μ₃₀ ? 1 :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超過個人月均值的二元信號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pct_rank_7d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近 7 天消費的百分位排名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相對排名（0~1，域不變）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pct_rank_30d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近 30 天消費的百分位排名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相對排名（0~1，域不變）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dow_sin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sin(2π × 星期幾 / 7)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週期性時間特徵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dow_cos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cos(2π × 星期幾 / 7)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週期性時間特徵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評估指標定義</w:t>
      </w:r>
    </w:p>
    <w:p>
      <w:pPr>
        <w:pBdr>
          <w:bottom w:val="single" w:color="2E75B6" w:sz="6" w:space="1"/>
        </w:pBdr>
        <w:spacing w:after="16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3.0 混淆矩陣（Confusion Matrix）術語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56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術語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定義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TP (True Positive)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模型預測「超標」且真的超標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正確的預警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TN (True Negative)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模型預測「正常」且真的正常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正確的放行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FP (False Positive)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模型預測「超標」但其實正常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誤報（假警報）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FN (False Negative)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模型預測「正常」但其實超標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漏報（最危險！）</w:t>
            </w:r>
          </w:p>
        </w:tc>
      </w:tr>
    </w:tbl>
    <w:p>
      <w:pPr>
        <w:spacing w:after="0" w:before="0"/>
      </w:pPr>
      <w:r>
        <w:t xml:space="preserve"/>
      </w:r>
    </w:p>
    <w:p>
      <w:r>
        <w:rPr>
          <w:rFonts w:ascii="Arial" w:cs="Arial" w:eastAsia="Arial" w:hAnsi="Arial"/>
          <w:color w:val="555555"/>
          <w:sz w:val="19"/>
          <w:szCs w:val="19"/>
        </w:rPr>
        <w:t xml:space="preserve">決策層將問題轉換為二元分類：模型預測值 &gt; 閾值 → 預警（Positive），否則 → 正常（Negative）。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Layer 1 — 回歸層指標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56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公式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說明（越低越好）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mean(|y_true - y_pred|)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平均絕對誤差，單位：TWD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RMSE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sqrt( mean((y_true - y_pred)²) 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對大誤差更敏感的均方根誤差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sMAPE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mean( |y_true-y_pred| / ((|y_true|+|y_pred|)/2) ) × 100%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對稱平均絕對百分比誤差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Layer 2 — 決策層指標（全局）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預警觸發條件（Alert Threshold）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future_7d_sum  &gt;  個人近 30 日均值 × 1.5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其中：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future_7d_sum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= 未來 7 天實際消費總和（真實值）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   個人近 30 日均值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= 以 X_test 中最後一天的 roll_30d_mean 作為個人基線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   1.5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= 預警倍率（超過月均值 50% 即觸發）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56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公式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Precision（精確率）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 / (TP + FP)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發出預警時，有多少是真正超標（越高越好）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Recall（召回率）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 / (TP + FN)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真正超標時，有多少被預警到（越高越好）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× Precision × Recall / (P + 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Precision 與 Recall 的調和平均（越高越好）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FNR（漏報率）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FN / (TP + FN) = 1 - Recall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真正超標卻沒被抓到的比例（越低越好）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FPR（誤報率）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 / (FP + TN)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正常情況下被誤報的比例（越低越好）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Layer 3 — 成本層與 Per-user 公平性指標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56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公式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說明（越低越好）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Expected Cost（期望成本）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(FN × 3 + FP × 1) / 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漏報成本 3×，誤報成本 1×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Per-user MAE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每位用戶的 MAE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衡量模型對不同用戶的公平性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Per-user F1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每位用戶的 F1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衡量預警對不同用戶的公平性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Per-user FNR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每位用戶的 FNR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衡量漏報對不同用戶的公平性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注意：Layer 2 與 Layer 3 的 FNR 為何不同？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 2 FNR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= 把所有用戶的預測結果合併計算後，整體漏報率。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 3 FNR mean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= 先對每位用戶分別算 FNR，再對所有用戶取平均（簡單平均，每人權重相同）。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因為每位用戶的樣本數不同，小樣本用戶（如 user1 n=15，FNR=1.0）在 Layer 3 中佔相同權重，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但在 Layer 2 中影響較小，所以 Layer 3 的 FNR mean 通常高於 Layer 2 的整體 FNR。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這是「宏觀平均（Macro Avg）」 vs「微觀平均（Micro Avg）」的差異，Layer 3 更能揭示模型對個別用戶是否公平。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實驗結果</w:t>
      </w:r>
    </w:p>
    <w:p>
      <w:pPr>
        <w:pBdr>
          <w:bottom w:val="single" w:color="2E75B6" w:sz="6" w:space="1"/>
        </w:pBdr>
        <w:spacing w:after="160" w:before="40"/>
      </w:pPr>
      <w:r>
        <w:t xml:space="preserve"/>
      </w:r>
    </w:p>
    <w:p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測試集共 642 個樣本，涵蓋 7 位用戶，時間依序分割（70/15/15%）。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Layer 1 — 回歸層結果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20"/>
        <w:gridCol w:w="1920"/>
        <w:gridCol w:w="192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模型</w:t>
            </w:r>
          </w:p>
        </w:tc>
        <w:tc>
          <w:tcPr>
            <w:tcW w:type="dxa" w:w="19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MAE (↓)</w:t>
            </w:r>
          </w:p>
        </w:tc>
        <w:tc>
          <w:tcPr>
            <w:tcW w:type="dxa" w:w="19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 (↓)</w:t>
            </w:r>
          </w:p>
        </w:tc>
        <w:tc>
          <w:tcPr>
            <w:tcW w:type="dxa" w:w="19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sMAPE (↓)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ckh BiLSTM（同學）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745.79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GRU Aligned (lwc)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790.00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1164.24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79.03%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BiLSTM v2（我們最佳）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750.62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1172.16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81.17%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Per-user MAE 分析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00"/>
        <w:gridCol w:w="22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模型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Per-user MAE 均值</w:t>
            </w:r>
          </w:p>
        </w:tc>
        <w:tc>
          <w:tcPr>
            <w:tcW w:type="dxa" w:w="2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Per-user MAE 最大值</w:t>
            </w:r>
          </w:p>
        </w:tc>
        <w:tc>
          <w:tcPr>
            <w:tcW w:type="dxa" w:w="2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Per-user MAE 標準差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ckh BiLSTM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738.83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1497.26 (user8)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359.75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GRU Aligned (lwc)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771.77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1426.03 (user13)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331.60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BiLSTM 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740.60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1364.04 (user13)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351.89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Layer 2 — 決策層結果（全局）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100"/>
        <w:gridCol w:w="1100"/>
        <w:gridCol w:w="12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模型</w:t>
            </w:r>
          </w:p>
        </w:tc>
        <w:tc>
          <w:tcPr>
            <w:tcW w:type="dxa" w:w="1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 (↑)</w:t>
            </w:r>
          </w:p>
        </w:tc>
        <w:tc>
          <w:tcPr>
            <w:tcW w:type="dxa" w:w="1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 (↑)</w:t>
            </w:r>
          </w:p>
        </w:tc>
        <w:tc>
          <w:tcPr>
            <w:tcW w:type="dxa" w:w="1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 (↑)</w:t>
            </w:r>
          </w:p>
        </w:tc>
        <w:tc>
          <w:tcPr>
            <w:tcW w:type="dxa" w:w="1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FNR (↓)</w:t>
            </w:r>
          </w:p>
        </w:tc>
        <w:tc>
          <w:tcPr>
            <w:tcW w:type="dxa" w:w="1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FPR (↓)</w:t>
            </w:r>
          </w:p>
        </w:tc>
        <w:tc>
          <w:tcPr>
            <w:tcW w:type="dxa" w:w="1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Cost (↓)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ckh BiLSTM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0.364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0.359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0.586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GRU Aligned (lwc)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0.165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0.595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BiLSTM v2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0.267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0.759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0.165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0.642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4.3 Layer 3 — Per-user 公平性摘要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80"/>
        <w:gridCol w:w="880"/>
        <w:gridCol w:w="880"/>
        <w:gridCol w:w="880"/>
        <w:gridCol w:w="1020"/>
        <w:gridCol w:w="1020"/>
        <w:gridCol w:w="120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模型</w:t>
            </w:r>
          </w:p>
        </w:tc>
        <w:tc>
          <w:tcPr>
            <w:tcW w:type="dxa" w:w="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 mean</w:t>
            </w:r>
          </w:p>
        </w:tc>
        <w:tc>
          <w:tcPr>
            <w:tcW w:type="dxa" w:w="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 min</w:t>
            </w:r>
          </w:p>
        </w:tc>
        <w:tc>
          <w:tcPr>
            <w:tcW w:type="dxa" w:w="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FNR mean</w:t>
            </w:r>
          </w:p>
        </w:tc>
        <w:tc>
          <w:tcPr>
            <w:tcW w:type="dxa" w:w="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FNR max</w:t>
            </w:r>
          </w:p>
        </w:tc>
        <w:tc>
          <w:tcPr>
            <w:tcW w:type="dxa" w:w="10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mean</w:t>
            </w:r>
          </w:p>
        </w:tc>
        <w:tc>
          <w:tcPr>
            <w:tcW w:type="dxa" w:w="10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max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Worst MAE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ckh BiLSTM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0.225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0.703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0.558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user8 (1497)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GRU Aligned (lwc)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0.216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0.751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0.569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user13 (1426)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BiLSTM v2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0.174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0.790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0.618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user13 (1364)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4.4 各用戶詳細結果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ckh BiLSTM（同學）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000"/>
        <w:gridCol w:w="1000"/>
        <w:gridCol w:w="880"/>
        <w:gridCol w:w="880"/>
        <w:gridCol w:w="880"/>
        <w:gridCol w:w="880"/>
        <w:gridCol w:w="880"/>
        <w:gridCol w:w="960"/>
      </w:tblGrid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NMAE</w:t>
            </w:r>
          </w:p>
        </w:tc>
        <w:tc>
          <w:tcPr>
            <w:tcW w:type="dxa" w:w="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FNR</w:t>
            </w:r>
          </w:p>
        </w:tc>
        <w:tc>
          <w:tcPr>
            <w:tcW w:type="dxa" w:w="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FPR</w:t>
            </w:r>
          </w:p>
        </w:tc>
        <w:tc>
          <w:tcPr>
            <w:tcW w:type="dxa" w:w="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572.42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0.9139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932.02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0.5279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0.619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0.464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0.536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0.529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51.0%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1497.26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0.5927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0.516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0.348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0.652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0.135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0.568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47.9%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105.38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0.7063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0.054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0.958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1218.53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0.5432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0.471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0.333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0.667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0.598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805.80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0.3965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0.348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0.250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0.750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0.108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0.698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37.7%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其他...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GRU Aligned (lwc)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000"/>
        <w:gridCol w:w="1000"/>
        <w:gridCol w:w="880"/>
        <w:gridCol w:w="880"/>
        <w:gridCol w:w="880"/>
        <w:gridCol w:w="880"/>
        <w:gridCol w:w="880"/>
        <w:gridCol w:w="960"/>
      </w:tblGrid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NMAE</w:t>
            </w:r>
          </w:p>
        </w:tc>
        <w:tc>
          <w:tcPr>
            <w:tcW w:type="dxa" w:w="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FNR</w:t>
            </w:r>
          </w:p>
        </w:tc>
        <w:tc>
          <w:tcPr>
            <w:tcW w:type="dxa" w:w="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FPR</w:t>
            </w:r>
          </w:p>
        </w:tc>
        <w:tc>
          <w:tcPr>
            <w:tcW w:type="dxa" w:w="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647.99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1.0349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1025.88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0.5811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0.619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0.464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0.536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0.529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51.0%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1281.21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0.5071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0.406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0.261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0.739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0.135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0.628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47.9%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146.45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0.9809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0.054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0.958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1426.03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0.6354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0.375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0.250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0.750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0.631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962.54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0.4740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0.432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0.313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0.688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0.108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0.651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37.7%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其他...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BiLSTM v2（我們最佳模型）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000"/>
        <w:gridCol w:w="1000"/>
        <w:gridCol w:w="880"/>
        <w:gridCol w:w="880"/>
        <w:gridCol w:w="880"/>
        <w:gridCol w:w="880"/>
        <w:gridCol w:w="880"/>
        <w:gridCol w:w="960"/>
      </w:tblGrid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NMAE</w:t>
            </w:r>
          </w:p>
        </w:tc>
        <w:tc>
          <w:tcPr>
            <w:tcW w:type="dxa" w:w="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FNR</w:t>
            </w:r>
          </w:p>
        </w:tc>
        <w:tc>
          <w:tcPr>
            <w:tcW w:type="dxa" w:w="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FPR</w:t>
            </w:r>
          </w:p>
        </w:tc>
        <w:tc>
          <w:tcPr>
            <w:tcW w:type="dxa" w:w="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543.67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0.8681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1052.81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0.5962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0.619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0.464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0.536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0.529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51.0%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1328.00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0.5256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0.516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0.348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0.652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0.135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0.568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47.9%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146.56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0.9822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0.054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0.958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1364.04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0.6079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0.356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0.222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0.778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962.54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0.4740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0.432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0.313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0.688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0.108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0.651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37.7%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其他...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關鍵洞察與結論</w:t>
      </w:r>
    </w:p>
    <w:p>
      <w:pPr>
        <w:pBdr>
          <w:bottom w:val="single" w:color="2E75B6" w:sz="6" w:space="1"/>
        </w:pBdr>
        <w:spacing w:after="160" w:before="4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Layer 1 關鍵發現：MAE 差異 &lt;1%，在統計誤差範圍內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ckh BiLSTM (745.79) vs BiLSTM v2 (750.62)：差距 4.83 TWD，約 0.6%。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BiLSTM v2 的 z-score 特徵雖捨棄絕對金額尺度，但配合 Walmart 預訓練後仍能學到有效模式。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GRU Aligned 的 Per-user MAE 標準差最低（331.60），代表對不同用戶最公平。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Layer 2 關鍵發現：ckh BiLSTM 在 F1 與 Cost 上最佳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ckh BiLSTM：F1=0.359，Expected Cost=0.586（全局最佳）。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原始特徵保留絕對金額資訊，對超標閾值的判斷更直接有效。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三個模型的 FPR 都相近（~0.165），但 FNR 差異明顯，漏報是主要問題。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以成本觀點：FN 的懲罰為 FP 的 3 倍，因此 FNR 高的模型代價更大。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FDED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Layer 3 關鍵發現：user9 是全部模型的特殊難題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user9（n=72）在三個模型中 FPR 均為 1.0：每次預測「正常」，但用戶幾乎從不超標（alert 率僅 2.8%）。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這不是模型設計缺陷，而是 user9 的消費行為極度穩定，「超標」極為罕見，模型難以學習。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user13 是 MAE 最差的用戶（GRU: 1426，BiLSTM v2: 1364），消費波動極大。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3 的 FNR mean 均高於 Layer 2（Macro 平均 vs Micro 平均），顯示模型對小樣本用戶保護不足。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5.4 綜合評比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53"/>
        <w:gridCol w:w="2253"/>
        <w:gridCol w:w="2254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面向</w:t>
            </w:r>
          </w:p>
        </w:tc>
        <w:tc>
          <w:tcPr>
            <w:tcW w:type="dxa" w:w="225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最佳模型</w:t>
            </w:r>
          </w:p>
        </w:tc>
        <w:tc>
          <w:tcPr>
            <w:tcW w:type="dxa" w:w="225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數值</w:t>
            </w:r>
          </w:p>
        </w:tc>
        <w:tc>
          <w:tcPr>
            <w:tcW w:type="dxa" w:w="225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MAE（最低）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ckh BiLSTM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745.79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原始特徵保留金額資訊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Per-user MAE 標準差（最公平）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GRU Aligned (lwc)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331.60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z-score 特徵更均衡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F1 Score（最高）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ckh BiLSTM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0.359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決策判斷最準確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Expected Cost（最低）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ckh BiLSTM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0.586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商業成本最低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Transfer Learning 驗證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BiLSTM v2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MAE 差距 &lt;1%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Walmart → 個人遷移成立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6" w:space="1"/>
        </w:pBdr>
        <w:spacing w:after="160" w:before="4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三層評估框架讓我們不只是「預測數字」，而是評估這個系統在真實場景中的商業價值與公平性。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個人消費預測系統 — 模型評估報告  |  第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618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2026-04-05T20:40:01.358Z</dcterms:created>
  <dcterms:modified xsi:type="dcterms:W3CDTF">2026-04-05T20:40:01.365Z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