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個人財務支出預測模型比較報告</w:t>
      </w:r>
    </w:p>
    <w:p/>
    <w:p>
      <w:pPr>
        <w:jc w:val="center"/>
      </w:pPr>
      <w:r>
        <w:rPr>
          <w:color w:val="4472C4"/>
          <w:sz w:val="26"/>
        </w:rPr>
        <w:t>Machine Learning Model Comparison Report</w:t>
      </w:r>
    </w:p>
    <w:p/>
    <w:p>
      <w:pPr>
        <w:jc w:val="center"/>
      </w:pPr>
      <w:r>
        <w:rPr>
          <w:sz w:val="22"/>
        </w:rPr>
        <w:t>評估日期：2026-04-26</w:t>
      </w:r>
    </w:p>
    <w:p>
      <w:r>
        <w:br w:type="page"/>
      </w:r>
    </w:p>
    <w:p>
      <w:pPr>
        <w:pStyle w:val="Heading1"/>
      </w:pPr>
      <w:r>
        <w:t>一、研究背景與模型說明</w:t>
      </w:r>
    </w:p>
    <w:p>
      <w:r>
        <w:t>本報告針對個人財務支出預測任務，比較六個模型的預測表現。所有模型以相同的個人交易資料（13 位用戶，排除資料量不足的 user4/user5/user6）進行訓練，並透過統一的評估框架（output_eval_utils）輸出標準化指標。所有模型均採 per-user 70/15/15 切分；深度學習模型測試集各 734 筆，XGBoost 測試集 794 筆。</w:t>
      </w:r>
    </w:p>
    <w:p/>
    <w:p>
      <w:r>
        <w:rPr>
          <w:b/>
        </w:rPr>
        <w:t>模型架構說明：</w:t>
      </w:r>
    </w:p>
    <w:p>
      <w:pPr>
        <w:pStyle w:val="ListBullet"/>
      </w:pPr>
      <w:r>
        <w:rPr>
          <w:b/>
        </w:rPr>
        <w:t>BiGRU：</w:t>
      </w:r>
      <w:r>
        <w:rPr>
          <w:sz w:val="20"/>
        </w:rPr>
        <w:t>雙向 GRU 循環神經網路，以個人資料直接訓練。</w:t>
      </w:r>
    </w:p>
    <w:p>
      <w:pPr>
        <w:pStyle w:val="ListBullet"/>
      </w:pPr>
      <w:r>
        <w:rPr>
          <w:b/>
        </w:rPr>
        <w:t>BiGRU + TL：</w:t>
      </w:r>
      <w:r>
        <w:rPr>
          <w:sz w:val="20"/>
        </w:rPr>
        <w:t>BiGRU 架構搭配遷移學習（Transfer Learning），以 Walmart 公開消費資料預訓練後 fine-tune 至個人資料，並加入 MMD domain alignment。</w:t>
      </w:r>
    </w:p>
    <w:p>
      <w:pPr>
        <w:pStyle w:val="ListBullet"/>
      </w:pPr>
      <w:r>
        <w:rPr>
          <w:b/>
        </w:rPr>
        <w:t>BiLSTM：</w:t>
      </w:r>
      <w:r>
        <w:rPr>
          <w:sz w:val="20"/>
        </w:rPr>
        <w:t>雙向 LSTM 循環神經網路，以個人資料直接訓練。</w:t>
      </w:r>
    </w:p>
    <w:p>
      <w:pPr>
        <w:pStyle w:val="ListBullet"/>
      </w:pPr>
      <w:r>
        <w:rPr>
          <w:b/>
        </w:rPr>
        <w:t>BiLSTM + TL：</w:t>
      </w:r>
      <w:r>
        <w:rPr>
          <w:sz w:val="20"/>
        </w:rPr>
        <w:t>BiLSTM 架構搭配遷移學習，流程同 BiGRU + TL。</w:t>
      </w:r>
    </w:p>
    <w:p>
      <w:pPr>
        <w:pStyle w:val="ListBullet"/>
      </w:pPr>
      <w:r>
        <w:rPr>
          <w:b/>
        </w:rPr>
        <w:t>GRU + TL：</w:t>
      </w:r>
      <w:r>
        <w:rPr>
          <w:sz w:val="20"/>
        </w:rPr>
        <w:t>GRU 架構搭配遷移學習，並加入 MMD domain alignment 對齊 Walmart 與個人資料分佈。</w:t>
      </w:r>
    </w:p>
    <w:p>
      <w:pPr>
        <w:pStyle w:val="ListBullet"/>
      </w:pPr>
      <w:r>
        <w:rPr>
          <w:b/>
        </w:rPr>
        <w:t>XGBoost + TL：</w:t>
      </w:r>
      <w:r>
        <w:rPr>
          <w:sz w:val="20"/>
        </w:rPr>
        <w:t>XGBoost 梯度提升樹，以 Kaggle 公開消費資料預訓練後遷移至個人資料，並加入 MMD domain alignment。</w:t>
      </w:r>
    </w:p>
    <w:p/>
    <w:p>
      <w:r>
        <w:rPr>
          <w:i/>
          <w:color w:val="707070"/>
          <w:sz w:val="18"/>
        </w:rPr>
        <w:t>📌 所有六個模型均使用 per-user 70/15/15 切分（train/valid/test）。</w:t>
      </w:r>
    </w:p>
    <w:p>
      <w:r>
        <w:br w:type="page"/>
      </w:r>
    </w:p>
    <w:p>
      <w:pPr>
        <w:pStyle w:val="Heading1"/>
      </w:pPr>
      <w:r>
        <w:t>二、迴歸指標比較（Test 1 — Regression）</w:t>
      </w:r>
    </w:p>
    <w:p>
      <w:r>
        <w:t>迴歸指標衡量模型預測每日實際支出金額的準確度（單位：元）。MAE 為平均絕對誤差、RMSE 為均方根誤差（對大誤差更敏感）、MAPE 與 SMAPE 為百分比誤差（越低越好）。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 ↓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 ↓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MAPE (%) ↓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SMAPE (%) 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BiGRU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1027.35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  <w:t>1509.34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64.79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  <w:t>73.58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BiGRU + TL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1046.04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1604.24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56.60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78.69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BiLSTM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1104.42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1617.40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58.15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75.84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BiLSTM + TL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1254.87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1745.71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87.62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85.16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GRU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1090.24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1562.05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57.42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79.65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XGBoost + TL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  <w:t>949.41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1551.18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  <w:t>54.40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81.84</w:t>
            </w:r>
          </w:p>
        </w:tc>
      </w:tr>
    </w:tbl>
    <w:p>
      <w:r>
        <w:rPr>
          <w:i/>
          <w:color w:val="707070"/>
          <w:sz w:val="18"/>
        </w:rPr>
        <w:t>📌 綠色底色 = 該欄位最佳值（越低越好）</w:t>
      </w:r>
    </w:p>
    <w:p/>
    <w:p>
      <w:r>
        <w:t>觀察：XGBoost + TL 在 MAE 表現最佳（949.41），BiGRU 在 RMSE 最低（1509.34）。XGBoost + TL 的 MAPE 最低（54.40%）。BiLSTM + TL 的 MAE 最高（1254.87），若測試集包含高消費用戶，絕對誤差自然偏大，需留意跨模型比較時的資料集差異。</w:t>
      </w:r>
    </w:p>
    <w:p>
      <w:r>
        <w:br w:type="page"/>
      </w:r>
    </w:p>
    <w:p>
      <w:pPr>
        <w:pStyle w:val="Heading1"/>
      </w:pPr>
      <w:r>
        <w:t>三、二元警報分類指標（Test 2 — Binary Alarm）</w:t>
      </w:r>
    </w:p>
    <w:p>
      <w:r>
        <w:t>模型根據預測支出計算 risk ratio，若超過閾值則觸發「財務警報」（alarm=1）。此為二元分類任務：Precision 衡量警報精準度、Recall 衡量警報覆蓋率、F1 為兩者調和平均。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 ↑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BiGRU</w:t>
            </w:r>
          </w:p>
        </w:tc>
        <w:tc>
          <w:tcPr>
            <w:tcW w:type="dxa" w:w="1881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0.8351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0.8186</w:t>
            </w:r>
          </w:p>
        </w:tc>
        <w:tc>
          <w:tcPr>
            <w:tcW w:type="dxa" w:w="1881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0.8980</w:t>
            </w:r>
          </w:p>
        </w:tc>
        <w:tc>
          <w:tcPr>
            <w:tcW w:type="dxa" w:w="1881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0.8565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BiGRU + TL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0.8134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0.8424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0.8109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0.8264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BiLSTM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0.8147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0.8428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0.8134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0.8278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BiLSTM + TL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0.8188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0.8064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0.8806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0.8419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GRU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0.7956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0.8443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0.7687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0.8047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XGBoost + TL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0.8060</w:t>
            </w:r>
          </w:p>
        </w:tc>
        <w:tc>
          <w:tcPr>
            <w:tcW w:type="dxa" w:w="1881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0.8557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0.7770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0.8145</w:t>
            </w:r>
          </w:p>
        </w:tc>
      </w:tr>
    </w:tbl>
    <w:p>
      <w:r>
        <w:rPr>
          <w:i/>
          <w:color w:val="707070"/>
          <w:sz w:val="18"/>
        </w:rPr>
        <w:t>📌 藍色底色 = 該欄位最佳值（越高越好）</w:t>
      </w:r>
    </w:p>
    <w:p/>
    <w:p>
      <w:r>
        <w:t>觀察：BiGRU 在二元警報任務表現最佳（F1=0.8565），GRU + TL 最低（F1=0.8047）。五個深度學習模型的 F1 介於 0.8047–0.8565，差距不大，顯示資料量仍是主要瓶頸。</w:t>
      </w:r>
    </w:p>
    <w:p>
      <w:r>
        <w:br w:type="page"/>
      </w:r>
    </w:p>
    <w:p>
      <w:pPr>
        <w:pStyle w:val="Heading1"/>
      </w:pPr>
      <w:r>
        <w:t>四、四分類風險等級指標（Test 3 — Risk 4-Class）</w:t>
      </w:r>
    </w:p>
    <w:p>
      <w:r>
        <w:t>將 risk ratio 分為四個等級：no_alarm、low_risk、mid_risk、high_risk。Macro F1 對每個類別等權重平均，反映模型對少數類別的分辨能力；Weighted F1 依類別樣本數加權，反映整體效能。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 ↑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Macro F1 ↑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Weighted F1 ↑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Macro Prec ↑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Macro Rec ↑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BiGRU</w:t>
            </w:r>
          </w:p>
        </w:tc>
        <w:tc>
          <w:tcPr>
            <w:tcW w:type="dxa" w:w="1568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0.7343</w:t>
            </w:r>
          </w:p>
        </w:tc>
        <w:tc>
          <w:tcPr>
            <w:tcW w:type="dxa" w:w="1568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0.5300</w:t>
            </w:r>
          </w:p>
        </w:tc>
        <w:tc>
          <w:tcPr>
            <w:tcW w:type="dxa" w:w="1568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0.7461</w:t>
            </w:r>
          </w:p>
        </w:tc>
        <w:tc>
          <w:tcPr>
            <w:tcW w:type="dxa" w:w="1568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0.5248</w:t>
            </w:r>
          </w:p>
        </w:tc>
        <w:tc>
          <w:tcPr>
            <w:tcW w:type="dxa" w:w="1568"/>
            <w:shd w:val="clear" w:color="auto" w:fill="DDEBF7"/>
          </w:tcPr>
          <w:p>
            <w:pPr>
              <w:jc w:val="center"/>
            </w:pPr>
            <w:r>
              <w:rPr>
                <w:sz w:val="19"/>
              </w:rPr>
              <w:t>0.5460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BiGRU + TL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0.7139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0.4607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0.7210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0.4631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0.4603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BiLSTM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0.7193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0.4872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0.7407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0.4970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0.4961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BiLSTM + TL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0.7302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0.4210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0.7110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0.4225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0.4287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GRU + TL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0.6880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0.4298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0.6953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0.4361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9"/>
              </w:rPr>
              <w:t>0.4285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XGBoost + TL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0.6524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0.4907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0.6522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0.4999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9"/>
              </w:rPr>
              <w:t>0.4899</w:t>
            </w:r>
          </w:p>
        </w:tc>
      </w:tr>
    </w:tbl>
    <w:p>
      <w:r>
        <w:rPr>
          <w:i/>
          <w:color w:val="707070"/>
          <w:sz w:val="18"/>
        </w:rPr>
        <w:t>📌 藍色底色 = 該欄位最佳值（越高越好）</w:t>
      </w:r>
    </w:p>
    <w:p/>
    <w:p>
      <w:r>
        <w:t>觀察：BiGRU 的 Macro F1 最高（0.5300），在少數風險等級的辨識上表現相對穩定。BiGRU 的 Weighted F1 最高（0.7461），顯示其在 high_risk 多數類上預測準確。整體而言，mid_risk 與 low_risk 樣本量偏少，所有模型在少數類別上仍有改善空間。</w:t>
      </w:r>
    </w:p>
    <w:p>
      <w:r>
        <w:br w:type="page"/>
      </w:r>
    </w:p>
    <w:p>
      <w:pPr>
        <w:pStyle w:val="Heading1"/>
      </w:pPr>
      <w:r>
        <w:t>五、混淆矩陣（四分類）</w:t>
      </w:r>
    </w:p>
    <w:p>
      <w:r>
        <w:t>以下列出各模型在四分類任務的混淆矩陣。列為真實類別（no_alarm / low_risk / mid_risk / high_risk），欄為預測類別。對角線（綠底）為正確分類數。</w:t>
      </w:r>
    </w:p>
    <w:p/>
    <w:p>
      <w:pPr>
        <w:pStyle w:val="Heading2"/>
      </w:pPr>
      <w:r>
        <w:t>BiGRU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252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262</w:t>
            </w:r>
          </w:p>
        </w:tc>
      </w:tr>
    </w:tbl>
    <w:p/>
    <w:p>
      <w:pPr>
        <w:pStyle w:val="Heading2"/>
      </w:pPr>
      <w:r>
        <w:t>BiGRU + 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242</w:t>
            </w:r>
          </w:p>
        </w:tc>
      </w:tr>
    </w:tbl>
    <w:p/>
    <w:p>
      <w:pPr>
        <w:pStyle w:val="Heading2"/>
      </w:pPr>
      <w:r>
        <w:t>BiLSTM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238</w:t>
            </w:r>
          </w:p>
        </w:tc>
      </w:tr>
    </w:tbl>
    <w:p/>
    <w:p>
      <w:pPr>
        <w:pStyle w:val="Heading2"/>
      </w:pPr>
      <w:r>
        <w:t>BiLSTM + 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286</w:t>
            </w:r>
          </w:p>
        </w:tc>
      </w:tr>
    </w:tbl>
    <w:p/>
    <w:p>
      <w:pPr>
        <w:pStyle w:val="Heading2"/>
      </w:pPr>
      <w:r>
        <w:t>GRU + 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222</w:t>
            </w:r>
          </w:p>
        </w:tc>
      </w:tr>
    </w:tbl>
    <w:p/>
    <w:p>
      <w:pPr>
        <w:pStyle w:val="Heading2"/>
      </w:pPr>
      <w:r>
        <w:t>XGBoost + 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真實 \ 預測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mid_risk</w:t>
            </w:r>
          </w:p>
        </w:tc>
        <w:tc>
          <w:tcPr>
            <w:tcW w:type="dxa" w:w="18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high_risk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no_alarm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302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low_risk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mid_risk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high_risk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881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179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六、綜合排名與建議</w:t>
      </w:r>
    </w:p>
    <w:p>
      <w:r>
        <w:t>以下依「二元警報 F1（主排序）→ MAE（次排序）」動態計算排名，綜合回歸誤差、警報分類、四分類三個面向給出整體評估。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 ↓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警報 F1 ↑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4-Class Macro F1 ↑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BiGRU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1027.35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0.8565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0.5300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BiLSTM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1254.87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0.8419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0.4210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BiLSTM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1104.42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0.8278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0.4872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BiGRU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1046.04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0.8264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0.4607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XGBoost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949.41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0.8145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0.4907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GRU + TL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1090.24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0.8047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0.4298</w:t>
            </w:r>
          </w:p>
        </w:tc>
      </w:tr>
    </w:tbl>
    <w:p/>
    <w:p>
      <w:r>
        <w:t>綜合三項指標，BiGRU 排名第一（警報 F1=0.8565，MAE=1027.35）；GRU + TL 排名末位（警報 F1=0.8047，MAE=1090.24）。</w:t>
      </w:r>
    </w:p>
    <w:p/>
    <w:p>
      <w:pPr>
        <w:pStyle w:val="Heading2"/>
      </w:pPr>
      <w:r>
        <w:t>七、資料說明與限制</w:t>
      </w:r>
    </w:p>
    <w:p/>
    <w:p>
      <w:pPr>
        <w:pStyle w:val="ListBullet"/>
      </w:pPr>
      <w:r>
        <w:rPr>
          <w:sz w:val="20"/>
        </w:rPr>
        <w:t>所有模型均採 per-user 70/15/15 切分；深度學習模型測試集各約 734 筆，XGBoost 測試集 794 筆（13 位用戶）。</w:t>
      </w:r>
    </w:p>
    <w:p>
      <w:pPr>
        <w:pStyle w:val="ListBullet"/>
      </w:pPr>
      <w:r>
        <w:rPr>
          <w:sz w:val="20"/>
        </w:rPr>
        <w:t>各模型測試集中約有 86 筆 risk ratio 為 inf，原因是這些用戶在訓練期間無 income 交易記錄，導致 monthly_available_cash=0。此為資料特性，統一視為最高風險（high_risk），非模型缺陷。</w:t>
      </w:r>
    </w:p>
    <w:p>
      <w:pPr>
        <w:pStyle w:val="ListBullet"/>
      </w:pPr>
      <w:r>
        <w:rPr>
          <w:sz w:val="20"/>
        </w:rPr>
        <w:t>XGBoost + TL 的預訓練資料來源（Kaggle 消費資料）與 GRU/BiLSTM/BiGRU 的預訓練資料（Walmart 消費資料）不同，遷移效果差異部分來自預訓練資料品質與分佈。</w:t>
      </w:r>
    </w:p>
    <w:p>
      <w:pPr>
        <w:pStyle w:val="ListBullet"/>
      </w:pPr>
      <w:r>
        <w:rPr>
          <w:sz w:val="20"/>
        </w:rPr>
        <w:t>mid_risk 與 low_risk 樣本數偏少，造成所有模型在少數類別上的 Macro F1 偏低，增加更多用戶資料可望改善此問題。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個人財務支出預測模型比較報告  |  Financial Agent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