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9BE81" w14:textId="77777777" w:rsidR="00786605" w:rsidRDefault="00786605">
      <w:pPr>
        <w:spacing w:before="60" w:after="60"/>
      </w:pPr>
    </w:p>
    <w:p w14:paraId="32BE2904" w14:textId="77777777" w:rsidR="00786605" w:rsidRDefault="00786605">
      <w:pPr>
        <w:spacing w:before="60" w:after="60"/>
      </w:pPr>
    </w:p>
    <w:p w14:paraId="4438433D" w14:textId="77777777" w:rsidR="00786605" w:rsidRDefault="00786605">
      <w:pPr>
        <w:spacing w:before="60" w:after="60"/>
      </w:pPr>
    </w:p>
    <w:p w14:paraId="3D784B42" w14:textId="77777777" w:rsidR="00786605" w:rsidRDefault="00786605">
      <w:pPr>
        <w:spacing w:before="60" w:after="60"/>
      </w:pPr>
    </w:p>
    <w:p w14:paraId="4AEC037C" w14:textId="77777777" w:rsidR="00786605" w:rsidRDefault="00000000">
      <w:pPr>
        <w:spacing w:after="200"/>
        <w:jc w:val="center"/>
      </w:pPr>
      <w:r>
        <w:rPr>
          <w:rFonts w:eastAsia="Arial"/>
          <w:b/>
          <w:bCs/>
          <w:color w:val="1F3864"/>
          <w:sz w:val="56"/>
          <w:szCs w:val="56"/>
        </w:rPr>
        <w:t>個人財務預測</w:t>
      </w:r>
    </w:p>
    <w:p w14:paraId="5B4E8416" w14:textId="77777777" w:rsidR="00786605" w:rsidRDefault="00000000">
      <w:pPr>
        <w:spacing w:after="160"/>
        <w:jc w:val="center"/>
      </w:pPr>
      <w:r>
        <w:rPr>
          <w:rFonts w:eastAsia="Arial"/>
          <w:color w:val="2E5FA3"/>
          <w:sz w:val="40"/>
          <w:szCs w:val="40"/>
        </w:rPr>
        <w:t>機器學習實驗報告</w:t>
      </w:r>
    </w:p>
    <w:p w14:paraId="6E2E2A3D" w14:textId="77777777" w:rsidR="00786605" w:rsidRDefault="00786605">
      <w:pPr>
        <w:pBdr>
          <w:bottom w:val="single" w:sz="6" w:space="1" w:color="2E5FA3"/>
        </w:pBdr>
        <w:spacing w:after="400"/>
        <w:jc w:val="center"/>
      </w:pPr>
    </w:p>
    <w:p w14:paraId="7C1755BA" w14:textId="77777777" w:rsidR="00786605" w:rsidRDefault="00786605">
      <w:pPr>
        <w:spacing w:before="60" w:after="60"/>
      </w:pPr>
    </w:p>
    <w:p w14:paraId="2640AC3F" w14:textId="77777777" w:rsidR="00786605" w:rsidRDefault="00786605">
      <w:pPr>
        <w:spacing w:before="60" w:after="60"/>
      </w:pPr>
    </w:p>
    <w:p w14:paraId="1A1CA11D" w14:textId="77777777" w:rsidR="00786605" w:rsidRDefault="00000000">
      <w:pPr>
        <w:spacing w:after="200"/>
        <w:jc w:val="center"/>
      </w:pPr>
      <w:r>
        <w:rPr>
          <w:rFonts w:eastAsia="Arial"/>
          <w:i/>
          <w:iCs/>
          <w:color w:val="404040"/>
          <w:sz w:val="28"/>
          <w:szCs w:val="28"/>
        </w:rPr>
        <w:t>預測 16 位使用者未來 7 天消費總額</w:t>
      </w:r>
    </w:p>
    <w:p w14:paraId="575DA02A" w14:textId="77777777" w:rsidR="00786605" w:rsidRDefault="00786605">
      <w:pPr>
        <w:spacing w:before="60" w:after="60"/>
      </w:pPr>
    </w:p>
    <w:p w14:paraId="3DD641CD" w14:textId="77777777" w:rsidR="00786605" w:rsidRDefault="00786605">
      <w:pPr>
        <w:spacing w:before="60" w:after="60"/>
      </w:pPr>
    </w:p>
    <w:p w14:paraId="5FA72771" w14:textId="77777777" w:rsidR="00786605" w:rsidRDefault="00786605">
      <w:pPr>
        <w:spacing w:before="60" w:after="60"/>
      </w:pPr>
    </w:p>
    <w:p w14:paraId="2AA10F51" w14:textId="77777777" w:rsidR="00786605" w:rsidRDefault="00000000">
      <w:pPr>
        <w:spacing w:after="120"/>
        <w:jc w:val="center"/>
      </w:pPr>
      <w:r>
        <w:rPr>
          <w:rFonts w:eastAsia="Arial"/>
          <w:b/>
          <w:bCs/>
          <w:color w:val="303030"/>
          <w:sz w:val="24"/>
          <w:szCs w:val="24"/>
        </w:rPr>
        <w:t>涵蓋 8 個模型：</w:t>
      </w:r>
    </w:p>
    <w:p w14:paraId="7FD5542A" w14:textId="77777777" w:rsidR="00786605" w:rsidRDefault="00000000">
      <w:pPr>
        <w:spacing w:after="80"/>
        <w:jc w:val="center"/>
      </w:pPr>
      <w:r>
        <w:rPr>
          <w:rFonts w:eastAsia="Arial"/>
          <w:color w:val="505050"/>
        </w:rPr>
        <w:t>GRU 遷移學習  |  LSTM 遷移學習  |  HGBR + MLP 特徵搜尋</w:t>
      </w:r>
    </w:p>
    <w:p w14:paraId="360AC2E0" w14:textId="77777777" w:rsidR="00786605" w:rsidRDefault="00000000">
      <w:pPr>
        <w:spacing w:after="80"/>
        <w:jc w:val="center"/>
      </w:pPr>
      <w:r>
        <w:rPr>
          <w:rFonts w:eastAsia="Arial"/>
          <w:color w:val="505050"/>
        </w:rPr>
        <w:t xml:space="preserve">隨機森林  |  </w:t>
      </w:r>
      <w:proofErr w:type="spellStart"/>
      <w:r>
        <w:rPr>
          <w:rFonts w:eastAsia="Arial"/>
          <w:color w:val="505050"/>
        </w:rPr>
        <w:t>XGBoost</w:t>
      </w:r>
      <w:proofErr w:type="spellEnd"/>
      <w:r>
        <w:rPr>
          <w:rFonts w:eastAsia="Arial"/>
          <w:color w:val="505050"/>
        </w:rPr>
        <w:t xml:space="preserve"> 遷移學習  |  GRU+HGBR 混合模型</w:t>
      </w:r>
    </w:p>
    <w:p w14:paraId="55E2C957" w14:textId="77777777" w:rsidR="00786605" w:rsidRDefault="00000000">
      <w:pPr>
        <w:spacing w:after="200"/>
        <w:jc w:val="center"/>
      </w:pPr>
      <w:proofErr w:type="spellStart"/>
      <w:r>
        <w:rPr>
          <w:rFonts w:eastAsia="Arial"/>
          <w:color w:val="505050"/>
        </w:rPr>
        <w:t>SmallGRU</w:t>
      </w:r>
      <w:proofErr w:type="spellEnd"/>
      <w:r>
        <w:rPr>
          <w:rFonts w:eastAsia="Arial"/>
          <w:color w:val="505050"/>
        </w:rPr>
        <w:t xml:space="preserve"> 個人化微調  |  GRU 從零訓練（消融實驗）</w:t>
      </w:r>
    </w:p>
    <w:p w14:paraId="7852F0C2" w14:textId="77777777" w:rsidR="00786605" w:rsidRDefault="00786605">
      <w:pPr>
        <w:spacing w:before="60" w:after="60"/>
      </w:pPr>
    </w:p>
    <w:p w14:paraId="20EB40BC" w14:textId="77777777" w:rsidR="00786605" w:rsidRDefault="00786605">
      <w:pPr>
        <w:spacing w:before="60" w:after="60"/>
      </w:pPr>
    </w:p>
    <w:p w14:paraId="7C1F2251" w14:textId="77777777" w:rsidR="00786605" w:rsidRDefault="00786605">
      <w:pPr>
        <w:spacing w:before="60" w:after="60"/>
      </w:pPr>
    </w:p>
    <w:p w14:paraId="51747C34" w14:textId="77777777" w:rsidR="00786605" w:rsidRDefault="00786605">
      <w:pPr>
        <w:spacing w:before="60" w:after="60"/>
      </w:pPr>
    </w:p>
    <w:p w14:paraId="7CCDBD9D" w14:textId="77777777" w:rsidR="00786605" w:rsidRDefault="00000000">
      <w:pPr>
        <w:spacing w:after="80"/>
        <w:jc w:val="center"/>
      </w:pPr>
      <w:r>
        <w:rPr>
          <w:rFonts w:eastAsia="Arial"/>
          <w:color w:val="606060"/>
          <w:sz w:val="24"/>
          <w:szCs w:val="24"/>
        </w:rPr>
        <w:t>2026 年 3 月</w:t>
      </w:r>
    </w:p>
    <w:p w14:paraId="7BF0315C" w14:textId="77777777" w:rsidR="00786605" w:rsidRDefault="00000000">
      <w:r>
        <w:br w:type="page"/>
      </w:r>
    </w:p>
    <w:p w14:paraId="48A283E4" w14:textId="77777777" w:rsidR="00786605" w:rsidRDefault="00786605">
      <w:pPr>
        <w:sectPr w:rsidR="0078660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DAAAA35" w14:textId="77777777" w:rsidR="00786605" w:rsidRDefault="00000000">
      <w:pPr>
        <w:pStyle w:val="1"/>
      </w:pPr>
      <w:r>
        <w:lastRenderedPageBreak/>
        <w:t>一、專案概覽</w:t>
      </w:r>
    </w:p>
    <w:p w14:paraId="375067B4" w14:textId="77777777" w:rsidR="00786605" w:rsidRDefault="00000000">
      <w:pPr>
        <w:spacing w:before="80" w:after="80"/>
      </w:pPr>
      <w:r>
        <w:rPr>
          <w:rFonts w:eastAsia="Arial"/>
        </w:rPr>
        <w:t>本報告彙整一系列機器學習實驗，目標為預測使用者未來 7 天的消費總額（future_expense_7d_sum）。共實作並比較 8 種模型架構，以 16 位真實使用者的消費交易資料進行訓練與評估，採用時序切割（每位使用者各自 70% / 15% / 15%）。</w:t>
      </w:r>
    </w:p>
    <w:p w14:paraId="22A743ED" w14:textId="77777777" w:rsidR="00786605" w:rsidRDefault="00000000">
      <w:pPr>
        <w:spacing w:before="80" w:after="80"/>
      </w:pPr>
      <w:r>
        <w:rPr>
          <w:rFonts w:eastAsia="Arial"/>
        </w:rPr>
        <w:t>主要評估指標為平均絕對誤差（MAE，單位：新台幣）；輔助指標包含 RMSE 與 SMAPE。同時與以下兩個規則型基準線比較：</w:t>
      </w:r>
    </w:p>
    <w:p w14:paraId="05E5A548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Naive 7d Sum（前 7 天合計）— 直接以上週消費總額作為預測值。</w:t>
      </w:r>
    </w:p>
    <w:p w14:paraId="560267E3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Moving Average 30d×7（30 天移動平均×7）— 以近 30 天日均消費推估未來 7 天。</w:t>
      </w:r>
    </w:p>
    <w:p w14:paraId="35585A2A" w14:textId="77777777" w:rsidR="00786605" w:rsidRDefault="00786605">
      <w:pPr>
        <w:spacing w:before="60" w:after="60"/>
      </w:pPr>
    </w:p>
    <w:p w14:paraId="1987C9EA" w14:textId="77777777" w:rsidR="00786605" w:rsidRDefault="00000000">
      <w:pPr>
        <w:pStyle w:val="1"/>
      </w:pPr>
      <w:r>
        <w:t>二、資料集</w:t>
      </w:r>
    </w:p>
    <w:p w14:paraId="0959C285" w14:textId="77777777" w:rsidR="00786605" w:rsidRDefault="00000000">
      <w:pPr>
        <w:pStyle w:val="2"/>
      </w:pPr>
      <w:r>
        <w:t>2.1  個人交易資料</w:t>
      </w:r>
    </w:p>
    <w:p w14:paraId="538817BF" w14:textId="77777777" w:rsidR="00786605" w:rsidRDefault="00000000">
      <w:pPr>
        <w:spacing w:before="80" w:after="80"/>
      </w:pPr>
      <w:r>
        <w:rPr>
          <w:rFonts w:eastAsia="Arial"/>
        </w:rPr>
        <w:t>收集 16 位使用者的交易記錄，轉換為每日匯總資料。深度學習實驗排除資料量不足的 4 位使用者（user4、user5、user6、user14），以剩餘 12 位作為主要評估對象。</w:t>
      </w:r>
    </w:p>
    <w:p w14:paraId="2703D367" w14:textId="77777777" w:rsidR="00786605" w:rsidRDefault="0078660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86605" w14:paraId="16943E81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1E82A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屬性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4739F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數值</w:t>
            </w:r>
          </w:p>
        </w:tc>
      </w:tr>
      <w:tr w:rsidR="00786605" w14:paraId="47DFA03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EA6FD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原始交易筆數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926BB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9,661 筆</w:t>
            </w:r>
          </w:p>
        </w:tc>
      </w:tr>
      <w:tr w:rsidR="00786605" w14:paraId="2A8B9BC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0E02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使用者總數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04D1F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16 人</w:t>
            </w:r>
          </w:p>
        </w:tc>
      </w:tr>
      <w:tr w:rsidR="00786605" w14:paraId="66546E8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391A2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深度學習實驗使用者數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6CF1D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12 人（排除 user4/5/6/14）</w:t>
            </w:r>
          </w:p>
        </w:tc>
      </w:tr>
      <w:tr w:rsidR="00786605" w14:paraId="65846F3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095C5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資料日期範圍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E7BEA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2021-01-08 至 2026-03-08</w:t>
            </w:r>
          </w:p>
        </w:tc>
      </w:tr>
      <w:tr w:rsidR="00786605" w14:paraId="0F32817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B5518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處理後每日資料列數（個人）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C3177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3,073 列</w:t>
            </w:r>
          </w:p>
        </w:tc>
      </w:tr>
      <w:tr w:rsidR="00786605" w14:paraId="1B64468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D86E7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訓練 / 驗證 / 測試切割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D0922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70% / 15% / 15%（每位使用者時序切割）</w:t>
            </w:r>
          </w:p>
        </w:tc>
      </w:tr>
      <w:tr w:rsidR="00786605" w14:paraId="17BFD12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369F5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RNN 輸入序列長度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4DAEF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30 天</w:t>
            </w:r>
          </w:p>
        </w:tc>
      </w:tr>
      <w:tr w:rsidR="00786605" w14:paraId="0D871BB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68B59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預測目標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C9D30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future_expense_7d_sum（新台幣）</w:t>
            </w:r>
          </w:p>
        </w:tc>
      </w:tr>
    </w:tbl>
    <w:p w14:paraId="133E4CAA" w14:textId="77777777" w:rsidR="00786605" w:rsidRDefault="00786605">
      <w:pPr>
        <w:spacing w:before="60" w:after="60"/>
      </w:pPr>
    </w:p>
    <w:p w14:paraId="580FD6CB" w14:textId="77777777" w:rsidR="00786605" w:rsidRDefault="00000000">
      <w:pPr>
        <w:pStyle w:val="2"/>
      </w:pPr>
      <w:r>
        <w:t>2.2  外部遷移學習資料</w:t>
      </w:r>
    </w:p>
    <w:p w14:paraId="72B01D0F" w14:textId="77777777" w:rsidR="00786605" w:rsidRDefault="00000000">
      <w:pPr>
        <w:spacing w:before="80" w:after="80"/>
      </w:pPr>
      <w:r>
        <w:rPr>
          <w:rFonts w:eastAsia="Arial"/>
        </w:rPr>
        <w:t>使用兩個外部資料集作為預訓練來源：</w:t>
      </w:r>
    </w:p>
    <w:p w14:paraId="6957B731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Walmart 週銷售資料集（Kaggle）— 421,570 筆，涵蓋 45 家門市、99 個部門。用於 GRU 與 LSTM 模型的預訓練，再對個人資料進行微調。</w:t>
      </w:r>
    </w:p>
    <w:p w14:paraId="651BBE79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Kaggle 個人財務資料集 — 用於 </w:t>
      </w:r>
      <w:proofErr w:type="spellStart"/>
      <w:r>
        <w:rPr>
          <w:rFonts w:eastAsia="Arial"/>
        </w:rPr>
        <w:t>XGBoost</w:t>
      </w:r>
      <w:proofErr w:type="spellEnd"/>
      <w:r>
        <w:rPr>
          <w:rFonts w:eastAsia="Arial"/>
        </w:rPr>
        <w:t xml:space="preserve"> 遷移學習實驗，對應至與個人資料共用的 14 個欄位格式（common schema）。</w:t>
      </w:r>
    </w:p>
    <w:p w14:paraId="74670278" w14:textId="77777777" w:rsidR="00786605" w:rsidRDefault="00786605">
      <w:pPr>
        <w:spacing w:before="60" w:after="60"/>
      </w:pPr>
    </w:p>
    <w:p w14:paraId="2ED69F9E" w14:textId="77777777" w:rsidR="00786605" w:rsidRDefault="00000000">
      <w:pPr>
        <w:pStyle w:val="2"/>
      </w:pPr>
      <w:r>
        <w:lastRenderedPageBreak/>
        <w:t>2.3  特徵工程</w:t>
      </w:r>
    </w:p>
    <w:p w14:paraId="7AB64B22" w14:textId="77777777" w:rsidR="00786605" w:rsidRDefault="00000000">
      <w:pPr>
        <w:spacing w:before="80" w:after="80"/>
      </w:pPr>
      <w:r>
        <w:rPr>
          <w:rFonts w:eastAsia="Arial"/>
        </w:rPr>
        <w:t>為樹狀模型建立共用的 25 個特徵池：</w:t>
      </w:r>
    </w:p>
    <w:p w14:paraId="3E6D5648" w14:textId="77777777" w:rsidR="00786605" w:rsidRDefault="0078660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86605" w14:paraId="14AF8DEE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3D676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類別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71939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特徵</w:t>
            </w:r>
          </w:p>
        </w:tc>
      </w:tr>
      <w:tr w:rsidR="00786605" w14:paraId="1409327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49E5B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每日活動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BDA0F" w14:textId="77777777" w:rsidR="00786605" w:rsidRDefault="00000000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daily_expense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、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daily_income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、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txn_count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、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income_txn_count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、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expense_txn_count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、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daily_net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、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has_income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、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has_expense</w:t>
            </w:r>
            <w:proofErr w:type="spellEnd"/>
          </w:p>
        </w:tc>
      </w:tr>
      <w:tr w:rsidR="00786605" w14:paraId="3F7FD0E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2B25D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日曆特徵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1622A" w14:textId="77777777" w:rsidR="00786605" w:rsidRDefault="00000000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dow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、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is_weekend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、day、month、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is_summer_vacation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、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is_winter_vacation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>、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days_to_end_of_month</w:t>
            </w:r>
            <w:proofErr w:type="spellEnd"/>
          </w:p>
        </w:tc>
      </w:tr>
      <w:tr w:rsidR="00786605" w14:paraId="0DCB793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F150D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7 天滾動統計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75E5B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expense_7d_sum、expense_7d_mean、net_7d_sum、txn_7d_sum</w:t>
            </w:r>
          </w:p>
        </w:tc>
      </w:tr>
      <w:tr w:rsidR="00786605" w14:paraId="143EE95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6EB22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30 天滾動統計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74641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expense_30d_sum、expense_30d_mean、net_30d_sum、txn_30d_sum</w:t>
            </w:r>
          </w:p>
        </w:tc>
      </w:tr>
      <w:tr w:rsidR="00786605" w14:paraId="117D7AD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B154F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趨勢特徵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D5BF5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expense_7d_30d_ratio、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expense_trend</w:t>
            </w:r>
            <w:proofErr w:type="spellEnd"/>
          </w:p>
        </w:tc>
      </w:tr>
    </w:tbl>
    <w:p w14:paraId="15DDF308" w14:textId="77777777" w:rsidR="00786605" w:rsidRDefault="00000000">
      <w:pPr>
        <w:spacing w:before="80" w:after="80"/>
      </w:pPr>
      <w:r>
        <w:rPr>
          <w:rFonts w:eastAsia="Arial"/>
        </w:rPr>
        <w:t>RNN 模型（GRU、LSTM）使用 7 個特徵：</w:t>
      </w:r>
      <w:proofErr w:type="spellStart"/>
      <w:r>
        <w:rPr>
          <w:rFonts w:eastAsia="Arial"/>
        </w:rPr>
        <w:t>daily_expense</w:t>
      </w:r>
      <w:proofErr w:type="spellEnd"/>
      <w:r>
        <w:rPr>
          <w:rFonts w:eastAsia="Arial"/>
        </w:rPr>
        <w:t>、expense_7d_mean、expense_30d_sum、</w:t>
      </w:r>
      <w:proofErr w:type="spellStart"/>
      <w:r>
        <w:rPr>
          <w:rFonts w:eastAsia="Arial"/>
        </w:rPr>
        <w:t>has_expense</w:t>
      </w:r>
      <w:proofErr w:type="spellEnd"/>
      <w:r>
        <w:rPr>
          <w:rFonts w:eastAsia="Arial"/>
        </w:rPr>
        <w:t>、</w:t>
      </w:r>
      <w:proofErr w:type="spellStart"/>
      <w:r>
        <w:rPr>
          <w:rFonts w:eastAsia="Arial"/>
        </w:rPr>
        <w:t>has_income</w:t>
      </w:r>
      <w:proofErr w:type="spellEnd"/>
      <w:r>
        <w:rPr>
          <w:rFonts w:eastAsia="Arial"/>
        </w:rPr>
        <w:t>、net_30d_sum、txn_30d_sum。</w:t>
      </w:r>
    </w:p>
    <w:p w14:paraId="7EC12F7A" w14:textId="77777777" w:rsidR="00786605" w:rsidRDefault="00786605">
      <w:pPr>
        <w:spacing w:before="60" w:after="60"/>
      </w:pPr>
    </w:p>
    <w:p w14:paraId="544756A7" w14:textId="77777777" w:rsidR="00786605" w:rsidRDefault="00000000">
      <w:r>
        <w:br w:type="page"/>
      </w:r>
    </w:p>
    <w:p w14:paraId="4FD41DC2" w14:textId="77777777" w:rsidR="00786605" w:rsidRDefault="00000000">
      <w:pPr>
        <w:pStyle w:val="1"/>
      </w:pPr>
      <w:r>
        <w:lastRenderedPageBreak/>
        <w:t>三、模型方法</w:t>
      </w:r>
    </w:p>
    <w:p w14:paraId="17867432" w14:textId="77777777" w:rsidR="00786605" w:rsidRDefault="00000000">
      <w:pPr>
        <w:pStyle w:val="2"/>
      </w:pPr>
      <w:r>
        <w:t>3.1  GRU 遷移學習</w:t>
      </w:r>
    </w:p>
    <w:p w14:paraId="1C24580A" w14:textId="77777777" w:rsidR="00786605" w:rsidRDefault="00000000">
      <w:pPr>
        <w:spacing w:before="80" w:after="80"/>
      </w:pPr>
      <w:r>
        <w:rPr>
          <w:rFonts w:eastAsia="Arial"/>
        </w:rPr>
        <w:t>架構：雙層 GRU（hidden size = 64），搭配時間注意力機制（Temporal Attention）。以 30 天滑動視窗（7 個特徵）輸入，輸出單一預測值。</w:t>
      </w:r>
    </w:p>
    <w:p w14:paraId="3952421D" w14:textId="77777777" w:rsidR="00786605" w:rsidRDefault="00000000">
      <w:pPr>
        <w:spacing w:before="80" w:after="80"/>
      </w:pPr>
      <w:r>
        <w:rPr>
          <w:rFonts w:eastAsia="Arial"/>
        </w:rPr>
        <w:t>訓練策略：</w:t>
      </w:r>
    </w:p>
    <w:p w14:paraId="23BF1B25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第一階段：在 Walmart 週銷售資料（382,955 筆）上預訓練，學習全域季節性與趨勢規律。</w:t>
      </w:r>
    </w:p>
    <w:p w14:paraId="75810E4A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第二階段：以個人資料（12 位使用者，約 2,960 筆訓練資料）微調，適應個別消費習慣。</w:t>
      </w:r>
    </w:p>
    <w:p w14:paraId="730E2165" w14:textId="77777777" w:rsidR="00786605" w:rsidRDefault="00000000">
      <w:pPr>
        <w:spacing w:before="80" w:after="80"/>
      </w:pPr>
      <w:r>
        <w:rPr>
          <w:rFonts w:eastAsia="Arial"/>
        </w:rPr>
        <w:t>預訓練步驟至關重要：Walmart 資料提供豐富的監督訊號，補足個人小資料集難以捕捉的季節與趨勢模式。此遷移學習流程即程式碼中的 v1 版本（finetune_gru.py），後續 v2–v5 進一步探索改良損失函數、集成方法與 SMAPE 優化。</w:t>
      </w:r>
    </w:p>
    <w:p w14:paraId="00240AEB" w14:textId="77777777" w:rsidR="00786605" w:rsidRDefault="00786605">
      <w:pPr>
        <w:spacing w:before="60" w:after="60"/>
      </w:pPr>
    </w:p>
    <w:p w14:paraId="01C38A27" w14:textId="77777777" w:rsidR="00786605" w:rsidRDefault="00000000">
      <w:pPr>
        <w:pStyle w:val="2"/>
      </w:pPr>
      <w:r>
        <w:t>3.2  LSTM 遷移學習</w:t>
      </w:r>
    </w:p>
    <w:p w14:paraId="4597B729" w14:textId="77777777" w:rsidR="00786605" w:rsidRDefault="00000000">
      <w:pPr>
        <w:spacing w:before="80" w:after="80"/>
      </w:pPr>
      <w:r>
        <w:rPr>
          <w:rFonts w:eastAsia="Arial"/>
        </w:rPr>
        <w:t>架構：單層 LSTM（hidden size = 64），結構上等同於 GRU v2。LSTM 的門控機制（輸入門、遺忘門、輸出門 + 細胞狀態）提供比 GRU（重置門 + 更新門）更豐富的長程記憶，代價是約多 33% 的參數量。</w:t>
      </w:r>
    </w:p>
    <w:p w14:paraId="685A8290" w14:textId="77777777" w:rsidR="00786605" w:rsidRDefault="00000000">
      <w:pPr>
        <w:spacing w:before="80" w:after="80"/>
      </w:pPr>
      <w:r>
        <w:rPr>
          <w:rFonts w:eastAsia="Arial"/>
        </w:rPr>
        <w:t>訓練策略：與 GRU 相同的兩階段遷移學習流程——先在 Walmart 資料預訓練，再對個人資料微調。使用相同的 7 個特徵與 30 天視窗。</w:t>
      </w:r>
    </w:p>
    <w:p w14:paraId="734FB0B1" w14:textId="77777777" w:rsidR="00786605" w:rsidRDefault="00786605">
      <w:pPr>
        <w:spacing w:before="60" w:after="60"/>
      </w:pPr>
    </w:p>
    <w:p w14:paraId="533A6319" w14:textId="77777777" w:rsidR="00786605" w:rsidRDefault="00000000">
      <w:pPr>
        <w:pStyle w:val="2"/>
      </w:pPr>
      <w:r>
        <w:t xml:space="preserve">3.3  </w:t>
      </w:r>
      <w:proofErr w:type="spellStart"/>
      <w:r>
        <w:t>HistGradientBoosting</w:t>
      </w:r>
      <w:proofErr w:type="spellEnd"/>
      <w:r>
        <w:t xml:space="preserve"> + MLP 特徵搜尋（HGBR）</w:t>
      </w:r>
    </w:p>
    <w:p w14:paraId="01F88609" w14:textId="77777777" w:rsidR="00786605" w:rsidRDefault="00000000">
      <w:pPr>
        <w:spacing w:before="80" w:after="80"/>
      </w:pPr>
      <w:r>
        <w:rPr>
          <w:rFonts w:eastAsia="Arial"/>
        </w:rPr>
        <w:t xml:space="preserve">架構：scikit-learn 的 </w:t>
      </w:r>
      <w:proofErr w:type="spellStart"/>
      <w:r>
        <w:rPr>
          <w:rFonts w:eastAsia="Arial"/>
        </w:rPr>
        <w:t>HistGradientBoostingRegressor</w:t>
      </w:r>
      <w:proofErr w:type="spellEnd"/>
      <w:r>
        <w:rPr>
          <w:rFonts w:eastAsia="Arial"/>
        </w:rPr>
        <w:t>（HGBR）。HGBR 在建樹前將連續特徵分箱為直方圖，在中型資料集（1,218 筆訓練資料）上訓練快速，且原生支援缺失值。</w:t>
      </w:r>
    </w:p>
    <w:p w14:paraId="363AB37A" w14:textId="77777777" w:rsidR="00786605" w:rsidRDefault="00000000">
      <w:pPr>
        <w:spacing w:before="80" w:after="80"/>
      </w:pPr>
      <w:r>
        <w:rPr>
          <w:rFonts w:eastAsia="Arial"/>
        </w:rPr>
        <w:t>特徵選擇：自動化隨機子集搜尋，從 25 個特徵池中評估 2,000 種組合，子集大小範圍 7–21 個特徵，以驗證集 MAE 評分，最終選出最佳 7 個特徵：</w:t>
      </w:r>
    </w:p>
    <w:p w14:paraId="05042F9C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expense_7d_mean、expense_7d_sum、</w:t>
      </w:r>
      <w:proofErr w:type="spellStart"/>
      <w:r>
        <w:rPr>
          <w:rFonts w:eastAsia="Arial"/>
        </w:rPr>
        <w:t>has_expense</w:t>
      </w:r>
      <w:proofErr w:type="spellEnd"/>
      <w:r>
        <w:rPr>
          <w:rFonts w:eastAsia="Arial"/>
        </w:rPr>
        <w:t>、</w:t>
      </w:r>
      <w:proofErr w:type="spellStart"/>
      <w:r>
        <w:rPr>
          <w:rFonts w:eastAsia="Arial"/>
        </w:rPr>
        <w:t>income_txn_count</w:t>
      </w:r>
      <w:proofErr w:type="spellEnd"/>
      <w:r>
        <w:rPr>
          <w:rFonts w:eastAsia="Arial"/>
        </w:rPr>
        <w:t>、</w:t>
      </w:r>
      <w:proofErr w:type="spellStart"/>
      <w:r>
        <w:rPr>
          <w:rFonts w:eastAsia="Arial"/>
        </w:rPr>
        <w:t>is_weekend</w:t>
      </w:r>
      <w:proofErr w:type="spellEnd"/>
      <w:r>
        <w:rPr>
          <w:rFonts w:eastAsia="Arial"/>
        </w:rPr>
        <w:t>、net_30d_sum、txn_7d_sum</w:t>
      </w:r>
    </w:p>
    <w:p w14:paraId="0CA32773" w14:textId="77777777" w:rsidR="00786605" w:rsidRDefault="00000000">
      <w:pPr>
        <w:spacing w:before="80" w:after="80"/>
      </w:pPr>
      <w:r>
        <w:rPr>
          <w:rFonts w:eastAsia="Arial"/>
        </w:rPr>
        <w:t>最佳試驗：第 823 次（共 2,000 次）。驗證 MAE：690.89。此流程同時評估 MLP 基準線與 HGBR 在相同特徵集下的表現。</w:t>
      </w:r>
    </w:p>
    <w:p w14:paraId="6A2D2DF5" w14:textId="77777777" w:rsidR="00786605" w:rsidRDefault="00786605">
      <w:pPr>
        <w:spacing w:before="60" w:after="60"/>
      </w:pPr>
    </w:p>
    <w:p w14:paraId="6248FF45" w14:textId="77777777" w:rsidR="00786605" w:rsidRDefault="00000000">
      <w:pPr>
        <w:pStyle w:val="2"/>
      </w:pPr>
      <w:r>
        <w:t>3.4  隨機森林（Random Forest）</w:t>
      </w:r>
    </w:p>
    <w:p w14:paraId="2575F028" w14:textId="77777777" w:rsidR="00786605" w:rsidRDefault="00000000">
      <w:pPr>
        <w:spacing w:before="80" w:after="80"/>
      </w:pPr>
      <w:r>
        <w:rPr>
          <w:rFonts w:eastAsia="Arial"/>
        </w:rPr>
        <w:t>架構：</w:t>
      </w:r>
      <w:proofErr w:type="spellStart"/>
      <w:r>
        <w:rPr>
          <w:rFonts w:eastAsia="Arial"/>
        </w:rPr>
        <w:t>RandomForestRegressor</w:t>
      </w:r>
      <w:proofErr w:type="spellEnd"/>
      <w:r>
        <w:rPr>
          <w:rFonts w:eastAsia="Arial"/>
        </w:rPr>
        <w:t>，目標值取對數轉換（Log Edition）。對數轉換穩定消費規模差異大的使用者間的變異數，預測時再還原指數。</w:t>
      </w:r>
    </w:p>
    <w:p w14:paraId="388AEC33" w14:textId="77777777" w:rsidR="00786605" w:rsidRDefault="00000000">
      <w:pPr>
        <w:spacing w:before="80" w:after="80"/>
      </w:pPr>
      <w:r>
        <w:rPr>
          <w:rFonts w:eastAsia="Arial"/>
        </w:rPr>
        <w:t>特徵：使用共用池中全部 25 個特徵（無自動篩選），為無需序列建模、對缺失值與離群值穩健的可解釋性基準模型。</w:t>
      </w:r>
    </w:p>
    <w:p w14:paraId="449426CF" w14:textId="77777777" w:rsidR="00786605" w:rsidRDefault="00000000">
      <w:pPr>
        <w:spacing w:before="80" w:after="80"/>
      </w:pPr>
      <w:r>
        <w:rPr>
          <w:rFonts w:eastAsia="Arial"/>
        </w:rPr>
        <w:lastRenderedPageBreak/>
        <w:t>特徵重要度前 5 名：</w:t>
      </w:r>
    </w:p>
    <w:p w14:paraId="02A1BB94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net_30d_sum — 17.5%</w:t>
      </w:r>
    </w:p>
    <w:p w14:paraId="11A5D138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net_7d_sum — 8.5%</w:t>
      </w:r>
    </w:p>
    <w:p w14:paraId="21580A85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month — 7.2%</w:t>
      </w:r>
    </w:p>
    <w:p w14:paraId="49984B23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expense_30d_sum — 6.7%</w:t>
      </w:r>
    </w:p>
    <w:p w14:paraId="728747BE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expense_7d_sum — 6.5%</w:t>
      </w:r>
    </w:p>
    <w:p w14:paraId="4AD82F8C" w14:textId="77777777" w:rsidR="00786605" w:rsidRDefault="00786605">
      <w:pPr>
        <w:spacing w:before="60" w:after="60"/>
      </w:pPr>
    </w:p>
    <w:p w14:paraId="62A4DA82" w14:textId="77777777" w:rsidR="00786605" w:rsidRDefault="00000000">
      <w:pPr>
        <w:pStyle w:val="2"/>
      </w:pPr>
      <w:r>
        <w:t xml:space="preserve">3.5  </w:t>
      </w:r>
      <w:proofErr w:type="spellStart"/>
      <w:r>
        <w:t>XGBoost</w:t>
      </w:r>
      <w:proofErr w:type="spellEnd"/>
      <w:r>
        <w:t xml:space="preserve"> 遷移學習（Kaggle）</w:t>
      </w:r>
    </w:p>
    <w:p w14:paraId="695FA675" w14:textId="77777777" w:rsidR="00786605" w:rsidRDefault="00000000">
      <w:pPr>
        <w:spacing w:before="80" w:after="80"/>
      </w:pPr>
      <w:r>
        <w:rPr>
          <w:rFonts w:eastAsia="Arial"/>
        </w:rPr>
        <w:t>架構：</w:t>
      </w:r>
      <w:proofErr w:type="spellStart"/>
      <w:r>
        <w:rPr>
          <w:rFonts w:eastAsia="Arial"/>
        </w:rPr>
        <w:t>XGBoost</w:t>
      </w:r>
      <w:proofErr w:type="spellEnd"/>
      <w:r>
        <w:rPr>
          <w:rFonts w:eastAsia="Arial"/>
        </w:rPr>
        <w:t xml:space="preserve"> 回歸器。實驗探討在大型外部資料（Kaggle 資料集，共用格式 327,432 筆）上訓練的模型，是否能遷移至個人消費預測。</w:t>
      </w:r>
    </w:p>
    <w:p w14:paraId="1581D2AA" w14:textId="77777777" w:rsidR="00786605" w:rsidRDefault="00000000">
      <w:pPr>
        <w:spacing w:before="80" w:after="80"/>
      </w:pPr>
      <w:r>
        <w:rPr>
          <w:rFonts w:eastAsia="Arial"/>
        </w:rPr>
        <w:t>設計了共用的 14 欄位格式，對齊 Kaggle 與個人資料集：</w:t>
      </w:r>
    </w:p>
    <w:p w14:paraId="307B7669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user_id</w:t>
      </w:r>
      <w:proofErr w:type="spellEnd"/>
      <w:r>
        <w:rPr>
          <w:rFonts w:eastAsia="Arial"/>
        </w:rPr>
        <w:t>、date、</w:t>
      </w:r>
      <w:proofErr w:type="spellStart"/>
      <w:r>
        <w:rPr>
          <w:rFonts w:eastAsia="Arial"/>
        </w:rPr>
        <w:t>daily_expense</w:t>
      </w:r>
      <w:proofErr w:type="spellEnd"/>
      <w:r>
        <w:rPr>
          <w:rFonts w:eastAsia="Arial"/>
        </w:rPr>
        <w:t>、expense_7d_sum、expense_7d_mean、expense_30d_sum、expense_30d_mean、target（加上日曆特徵）</w:t>
      </w:r>
    </w:p>
    <w:p w14:paraId="0B7A6BE5" w14:textId="77777777" w:rsidR="00786605" w:rsidRDefault="00000000">
      <w:pPr>
        <w:spacing w:before="80" w:after="80"/>
      </w:pPr>
      <w:r>
        <w:rPr>
          <w:rFonts w:eastAsia="Arial"/>
        </w:rPr>
        <w:t>共進行三個子實驗：</w:t>
      </w:r>
    </w:p>
    <w:p w14:paraId="7289EA2F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Own Baseline（無遷移）— </w:t>
      </w:r>
      <w:proofErr w:type="spellStart"/>
      <w:r>
        <w:rPr>
          <w:rFonts w:eastAsia="Arial"/>
        </w:rPr>
        <w:t>XGBoost</w:t>
      </w:r>
      <w:proofErr w:type="spellEnd"/>
      <w:r>
        <w:rPr>
          <w:rFonts w:eastAsia="Arial"/>
        </w:rPr>
        <w:t xml:space="preserve"> 直接以個人資料訓練（2,151 筆訓練資料），無外部資料。</w:t>
      </w:r>
    </w:p>
    <w:p w14:paraId="2FE9FD8B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Direct Transfer（直接遷移）— 以 Kaggle 資料訓練的模型直接應用於個人測試集（零樣本遷移）。</w:t>
      </w:r>
    </w:p>
    <w:p w14:paraId="3EB089B3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Fine-tune Transfer（微調遷移）— 先以 Kaggle 資料預訓練，再以個人訓練資料繼續微調。</w:t>
      </w:r>
    </w:p>
    <w:p w14:paraId="159F6774" w14:textId="77777777" w:rsidR="00786605" w:rsidRDefault="00786605">
      <w:pPr>
        <w:spacing w:before="60" w:after="60"/>
      </w:pPr>
    </w:p>
    <w:p w14:paraId="1F50954D" w14:textId="77777777" w:rsidR="00786605" w:rsidRDefault="00000000">
      <w:pPr>
        <w:pStyle w:val="2"/>
      </w:pPr>
      <w:r>
        <w:t>3.6  GRU + HGBR 混合模型</w:t>
      </w:r>
    </w:p>
    <w:p w14:paraId="717C5B60" w14:textId="77777777" w:rsidR="00786605" w:rsidRDefault="00000000">
      <w:pPr>
        <w:spacing w:before="80" w:after="80"/>
      </w:pPr>
      <w:r>
        <w:rPr>
          <w:rFonts w:eastAsia="Arial"/>
        </w:rPr>
        <w:t>架構：兩階段混合模型，結合時序與表格特徵表示。凍結的 GRU v4 模型（最佳個人微調 GRU）作為特徵提取器：其最後一層 hidden state 輸出 64 維嵌入向量，捕捉過去 30 天的消費動態。此 64 維嵌入與 22 個平面表格特徵（HGBR 特徵集）串接，組成 86 維輸入送入新的 HGBR 回歸器。</w:t>
      </w:r>
    </w:p>
    <w:p w14:paraId="4ACA58C0" w14:textId="77777777" w:rsidR="00786605" w:rsidRDefault="00000000">
      <w:pPr>
        <w:spacing w:before="80" w:after="80"/>
      </w:pPr>
      <w:r>
        <w:rPr>
          <w:rFonts w:eastAsia="Arial"/>
        </w:rPr>
        <w:t>比較兩個子模型：</w:t>
      </w:r>
    </w:p>
    <w:p w14:paraId="4FBBA6B9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HGBR（僅平面特徵，22 維）— 標準表格基準線。</w:t>
      </w:r>
    </w:p>
    <w:p w14:paraId="6CF7F367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HGBR（嵌入 + 平面特徵，86 維）— 加入 GRU 時序上下文的混合版本。</w:t>
      </w:r>
    </w:p>
    <w:p w14:paraId="7F419B58" w14:textId="77777777" w:rsidR="00786605" w:rsidRDefault="00000000">
      <w:pPr>
        <w:spacing w:before="80" w:after="80"/>
      </w:pPr>
      <w:r>
        <w:rPr>
          <w:rFonts w:eastAsia="Arial"/>
        </w:rPr>
        <w:t>本實驗驗證：預訓練 RNN 捕捉的時序上下文，是否提供工程化表格特徵以外的互補資訊。</w:t>
      </w:r>
    </w:p>
    <w:p w14:paraId="12F17296" w14:textId="77777777" w:rsidR="00786605" w:rsidRDefault="00786605">
      <w:pPr>
        <w:spacing w:before="60" w:after="60"/>
      </w:pPr>
    </w:p>
    <w:p w14:paraId="53C5A275" w14:textId="77777777" w:rsidR="00786605" w:rsidRDefault="00000000">
      <w:pPr>
        <w:pStyle w:val="2"/>
      </w:pPr>
      <w:r>
        <w:t xml:space="preserve">3.7  </w:t>
      </w:r>
      <w:proofErr w:type="spellStart"/>
      <w:r>
        <w:t>SmallGRU</w:t>
      </w:r>
      <w:proofErr w:type="spellEnd"/>
      <w:r>
        <w:t xml:space="preserve"> 個人化微調</w:t>
      </w:r>
    </w:p>
    <w:p w14:paraId="5FF644A9" w14:textId="77777777" w:rsidR="00786605" w:rsidRDefault="00000000">
      <w:pPr>
        <w:spacing w:before="80" w:after="80"/>
      </w:pPr>
      <w:r>
        <w:rPr>
          <w:rFonts w:eastAsia="Arial"/>
        </w:rPr>
        <w:t>架構：刻意縮小的 GRU（hidden size = 32，單層，約 15K 參數），旨在降低小型個人資料集的過擬合風險。參數對樣本比例改善至約 1:190（vs 標準 GRU 的 1:40）。</w:t>
      </w:r>
    </w:p>
    <w:p w14:paraId="05B4DF4A" w14:textId="77777777" w:rsidR="00786605" w:rsidRDefault="00000000">
      <w:pPr>
        <w:spacing w:before="80" w:after="80"/>
      </w:pPr>
      <w:r>
        <w:rPr>
          <w:rFonts w:eastAsia="Arial"/>
        </w:rPr>
        <w:t>訓練策略：</w:t>
      </w:r>
    </w:p>
    <w:p w14:paraId="06E6CFD6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第一階段：全體使用者共同訓練（共享權重）。</w:t>
      </w:r>
    </w:p>
    <w:p w14:paraId="5FBFEFD3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lastRenderedPageBreak/>
        <w:t>第二階段：個人化微調——每位使用者各自獲得一份全域模型的副本，再以個人資料進一步優化，產生 16 個個人模型（user_*.</w:t>
      </w:r>
      <w:proofErr w:type="spellStart"/>
      <w:r>
        <w:rPr>
          <w:rFonts w:eastAsia="Arial"/>
        </w:rPr>
        <w:t>pth</w:t>
      </w:r>
      <w:proofErr w:type="spellEnd"/>
      <w:r>
        <w:rPr>
          <w:rFonts w:eastAsia="Arial"/>
        </w:rPr>
        <w:t>）。</w:t>
      </w:r>
    </w:p>
    <w:p w14:paraId="61605C80" w14:textId="77777777" w:rsidR="00786605" w:rsidRDefault="00000000">
      <w:pPr>
        <w:spacing w:before="80" w:after="80"/>
      </w:pPr>
      <w:r>
        <w:rPr>
          <w:rFonts w:eastAsia="Arial"/>
        </w:rPr>
        <w:t>動機：每位使用者有獨特的消費習慣（發薪日週期、季節性模式），單一共享模型難以完整捕捉。個人化微調讓模型在少量個人特定資料上進行有益的過擬合。</w:t>
      </w:r>
    </w:p>
    <w:p w14:paraId="48C97517" w14:textId="77777777" w:rsidR="00786605" w:rsidRDefault="00786605">
      <w:pPr>
        <w:spacing w:before="60" w:after="60"/>
      </w:pPr>
    </w:p>
    <w:p w14:paraId="739DBDFB" w14:textId="77777777" w:rsidR="00786605" w:rsidRDefault="00000000">
      <w:pPr>
        <w:pStyle w:val="2"/>
      </w:pPr>
      <w:r>
        <w:t>3.8  消融實驗：GRU 從零訓練 vs HGBR</w:t>
      </w:r>
    </w:p>
    <w:p w14:paraId="058E4318" w14:textId="77777777" w:rsidR="00786605" w:rsidRDefault="00000000">
      <w:pPr>
        <w:spacing w:before="80" w:after="80"/>
      </w:pPr>
      <w:r>
        <w:rPr>
          <w:rFonts w:eastAsia="Arial"/>
        </w:rPr>
        <w:t>本實驗直接回答：「Walmart 預訓練是否有幫助？」在相同資料切割下，以純個人資料從零訓練 GRU（無外部預訓練），並與 HGBR（22 個特徵）比較。</w:t>
      </w:r>
    </w:p>
    <w:p w14:paraId="3DB09B67" w14:textId="77777777" w:rsidR="00786605" w:rsidRDefault="00000000">
      <w:pPr>
        <w:spacing w:before="80" w:after="80"/>
      </w:pPr>
      <w:r>
        <w:rPr>
          <w:rFonts w:eastAsia="Arial"/>
        </w:rPr>
        <w:t>使用與標準 GRU 相同的架構。未預訓練時，模型必須從有限的個人資料集（約 2,960 筆）學習所有模式，存在無法充分擬合時序結構的風險。</w:t>
      </w:r>
    </w:p>
    <w:p w14:paraId="3B469449" w14:textId="77777777" w:rsidR="00786605" w:rsidRDefault="00000000">
      <w:pPr>
        <w:spacing w:before="80" w:after="80"/>
      </w:pPr>
      <w:r>
        <w:rPr>
          <w:rFonts w:eastAsia="Arial"/>
        </w:rPr>
        <w:t>背景數值：原始 GRU v4（含 Walmart 預訓練）在全部 16 位使用者資料上測試 MAE 為 5,773 NTD；該資料集的移動平均基準線為 7,019 NTD。</w:t>
      </w:r>
    </w:p>
    <w:p w14:paraId="1DB39481" w14:textId="77777777" w:rsidR="00786605" w:rsidRDefault="00786605">
      <w:pPr>
        <w:spacing w:before="60" w:after="60"/>
      </w:pPr>
    </w:p>
    <w:p w14:paraId="0D54E67E" w14:textId="77777777" w:rsidR="00786605" w:rsidRDefault="00000000">
      <w:r>
        <w:br w:type="page"/>
      </w:r>
    </w:p>
    <w:p w14:paraId="0D1B2A25" w14:textId="77777777" w:rsidR="00786605" w:rsidRDefault="00000000">
      <w:pPr>
        <w:pStyle w:val="1"/>
      </w:pPr>
      <w:r>
        <w:lastRenderedPageBreak/>
        <w:t>四、實驗結果</w:t>
      </w:r>
    </w:p>
    <w:p w14:paraId="662C9406" w14:textId="77777777" w:rsidR="00786605" w:rsidRDefault="00000000">
      <w:pPr>
        <w:pStyle w:val="2"/>
      </w:pPr>
      <w:r>
        <w:t>4.1  整體效能比較表</w:t>
      </w:r>
    </w:p>
    <w:p w14:paraId="57378810" w14:textId="77777777" w:rsidR="00786605" w:rsidRDefault="00000000">
      <w:pPr>
        <w:spacing w:before="80" w:after="80"/>
      </w:pPr>
      <w:r>
        <w:rPr>
          <w:rFonts w:eastAsia="Arial"/>
        </w:rPr>
        <w:t>所有指標均在測試集（每位使用者時序最後 15%）上量測。MAE 與 RMSE 單位為新台幣（NTD）。</w:t>
      </w:r>
    </w:p>
    <w:p w14:paraId="086BBE82" w14:textId="77777777" w:rsidR="00786605" w:rsidRDefault="0078660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60"/>
        <w:gridCol w:w="1560"/>
        <w:gridCol w:w="1440"/>
        <w:gridCol w:w="1800"/>
      </w:tblGrid>
      <w:tr w:rsidR="00786605" w14:paraId="480A06AA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83BE6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模型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EA2A6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測試 MAE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287B6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測試 RMSE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CF695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測試 SMAPE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C8513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是否優於基準線</w:t>
            </w:r>
          </w:p>
        </w:tc>
      </w:tr>
      <w:tr w:rsidR="00786605" w14:paraId="71B70BD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E7CA7" w14:textId="025E1B3E" w:rsidR="00786605" w:rsidRDefault="008E5B1E">
            <w:proofErr w:type="spellStart"/>
            <w:r>
              <w:t>XGBoost</w:t>
            </w:r>
            <w:proofErr w:type="spellEnd"/>
            <w:r>
              <w:t>（個人）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0E4CB" w14:textId="364F9864" w:rsidR="00786605" w:rsidRDefault="008E5B1E">
            <w:pPr>
              <w:jc w:val="center"/>
            </w:pPr>
            <w:r>
              <w:t>622.5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5F639" w14:textId="55C3ECB1" w:rsidR="00786605" w:rsidRDefault="008E5B1E">
            <w:pPr>
              <w:jc w:val="center"/>
            </w:pPr>
            <w:r>
              <w:t>1455.9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39E35" w14:textId="4A823177" w:rsidR="00786605" w:rsidRDefault="008E5B1E">
            <w:pPr>
              <w:jc w:val="center"/>
            </w:pPr>
            <w: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92541" w14:textId="571E3003" w:rsidR="00786605" w:rsidRDefault="008E5B1E">
            <w:pPr>
              <w:jc w:val="center"/>
            </w:pPr>
            <w:r>
              <w:t>是</w:t>
            </w:r>
          </w:p>
        </w:tc>
      </w:tr>
      <w:tr w:rsidR="008E5B1E" w14:paraId="7B1BB9E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D75FF" w14:textId="7AAB8760" w:rsidR="008E5B1E" w:rsidRDefault="008E5B1E" w:rsidP="008E5B1E">
            <w:proofErr w:type="spellStart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SmallGRU</w:t>
            </w:r>
            <w:proofErr w:type="spellEnd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+ 個人化微調</w:t>
            </w:r>
            <w:r>
              <w:rPr>
                <w:rFonts w:ascii="微軟正黑體" w:eastAsia="微軟正黑體" w:hAnsi="微軟正黑體" w:cs="微軟正黑體" w:hint="eastAsia"/>
                <w:b/>
                <w:bCs/>
                <w:color w:val="000000"/>
                <w:sz w:val="20"/>
                <w:szCs w:val="20"/>
              </w:rPr>
              <w:t>（少</w:t>
            </w:r>
            <w:r>
              <w:rPr>
                <w:rFonts w:ascii="微軟正黑體" w:eastAsia="微軟正黑體" w:hAnsi="微軟正黑體" w:cs="微軟正黑體"/>
                <w:b/>
                <w:bCs/>
                <w:color w:val="000000"/>
                <w:sz w:val="20"/>
                <w:szCs w:val="20"/>
              </w:rPr>
              <w:t>4</w:t>
            </w:r>
            <w:r>
              <w:rPr>
                <w:rFonts w:ascii="微軟正黑體" w:eastAsia="微軟正黑體" w:hAnsi="微軟正黑體" w:cs="微軟正黑體" w:hint="eastAsia"/>
                <w:b/>
                <w:bCs/>
                <w:color w:val="000000"/>
                <w:sz w:val="20"/>
                <w:szCs w:val="20"/>
              </w:rPr>
              <w:t>個偏差大的資料）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4711C" w14:textId="5F1690A6" w:rsidR="008E5B1E" w:rsidRDefault="008E5B1E" w:rsidP="008E5B1E">
            <w:pPr>
              <w:jc w:val="center"/>
            </w:pPr>
            <w:r>
              <w:rPr>
                <w:rFonts w:eastAsia="Arial"/>
                <w:b/>
                <w:bCs/>
                <w:color w:val="1A6B1A"/>
                <w:sz w:val="20"/>
                <w:szCs w:val="20"/>
              </w:rPr>
              <w:t>767.8（平均）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3FEDD" w14:textId="7FB82351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526E5" w14:textId="562FD3A9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20B62" w14:textId="03D7D031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是</w:t>
            </w:r>
          </w:p>
        </w:tc>
      </w:tr>
      <w:tr w:rsidR="008E5B1E" w14:paraId="22E6FBB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5371" w14:textId="095A9A75" w:rsidR="008E5B1E" w:rsidRDefault="008E5B1E" w:rsidP="008E5B1E">
            <w:r>
              <w:rPr>
                <w:rFonts w:eastAsia="Arial"/>
                <w:color w:val="000000"/>
                <w:sz w:val="20"/>
                <w:szCs w:val="20"/>
              </w:rPr>
              <w:t>GRU 從零訓練（消融）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8FA62" w14:textId="73E425E2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793.4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A3D77" w14:textId="128E55D3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1,172.5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50375" w14:textId="797F49C1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79.5%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25155" w14:textId="233D639B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是</w:t>
            </w:r>
          </w:p>
        </w:tc>
      </w:tr>
      <w:tr w:rsidR="008E5B1E" w14:paraId="645394A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2E95B" w14:textId="0522F9C5" w:rsidR="008E5B1E" w:rsidRDefault="008E5B1E" w:rsidP="008E5B1E">
            <w:r>
              <w:rPr>
                <w:rFonts w:eastAsia="Arial"/>
                <w:color w:val="000000"/>
                <w:sz w:val="20"/>
                <w:szCs w:val="20"/>
              </w:rPr>
              <w:t>GRU 遷移學習（v1）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F0E0B" w14:textId="29D4A07B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804.8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A887F" w14:textId="5D1D6513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1,225.2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35B6F" w14:textId="4BBB744D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81.2%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78F5C" w14:textId="7169851D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是</w:t>
            </w:r>
          </w:p>
        </w:tc>
      </w:tr>
      <w:tr w:rsidR="008E5B1E" w14:paraId="3E2E618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BFCB9" w14:textId="78248CE3" w:rsidR="008E5B1E" w:rsidRDefault="008E5B1E" w:rsidP="008E5B1E">
            <w:r>
              <w:rPr>
                <w:rFonts w:eastAsia="Arial"/>
                <w:color w:val="000000"/>
                <w:sz w:val="20"/>
                <w:szCs w:val="20"/>
              </w:rPr>
              <w:t>HGBR + MLP 特徵搜尋（v4）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B4EC7" w14:textId="2D3DDB20" w:rsidR="008E5B1E" w:rsidRDefault="008E5B1E" w:rsidP="008E5B1E">
            <w:pPr>
              <w:jc w:val="center"/>
            </w:pPr>
            <w:r>
              <w:rPr>
                <w:rFonts w:eastAsia="Arial"/>
                <w:color w:val="1A6B1A"/>
                <w:sz w:val="20"/>
                <w:szCs w:val="20"/>
              </w:rPr>
              <w:t>851.7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9EEA6" w14:textId="390C1B70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1,215.9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545A6" w14:textId="20857619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DC7FF" w14:textId="3B1071D4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是</w:t>
            </w:r>
          </w:p>
        </w:tc>
      </w:tr>
      <w:tr w:rsidR="008E5B1E" w14:paraId="189FE3A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0FE85" w14:textId="00EB9634" w:rsidR="008E5B1E" w:rsidRDefault="008E5B1E" w:rsidP="008E5B1E">
            <w:r>
              <w:rPr>
                <w:rFonts w:eastAsia="Arial"/>
                <w:color w:val="000000"/>
                <w:sz w:val="20"/>
                <w:szCs w:val="20"/>
              </w:rPr>
              <w:t>LSTM 遷移學習（v1）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0F2CE" w14:textId="68EE079A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874.4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FB568" w14:textId="0EA6A06D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1,166.1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F3830" w14:textId="29652FBE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75.2%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B6860" w14:textId="29E56411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是</w:t>
            </w:r>
          </w:p>
        </w:tc>
      </w:tr>
      <w:tr w:rsidR="008E5B1E" w14:paraId="45E293E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E0B2F" w14:textId="56D26C5D" w:rsidR="008E5B1E" w:rsidRDefault="008E5B1E" w:rsidP="008E5B1E">
            <w:r>
              <w:rPr>
                <w:rFonts w:eastAsia="Arial"/>
                <w:color w:val="000000"/>
                <w:sz w:val="20"/>
                <w:szCs w:val="20"/>
              </w:rPr>
              <w:t>Random forest（對數版）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FF1C6" w14:textId="116EC305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917.8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B21C2" w14:textId="613C5C0C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1,339.8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AC773" w14:textId="63A43244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2548E" w14:textId="2D2948D9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是</w:t>
            </w:r>
          </w:p>
        </w:tc>
      </w:tr>
      <w:tr w:rsidR="008E5B1E" w14:paraId="72071BB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07689" w14:textId="23DC871F" w:rsidR="008E5B1E" w:rsidRDefault="008E5B1E" w:rsidP="008E5B1E">
            <w:r>
              <w:rPr>
                <w:rFonts w:eastAsia="Arial"/>
                <w:color w:val="000000"/>
                <w:sz w:val="20"/>
                <w:szCs w:val="20"/>
              </w:rPr>
              <w:t>GRU+HGBR 混合（嵌入+平面）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01E0A" w14:textId="5E388561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938.0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D4F48" w14:textId="3961C144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1,342.5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75B57" w14:textId="76401E2C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80.8%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7FECE" w14:textId="14D28156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是</w:t>
            </w:r>
          </w:p>
        </w:tc>
      </w:tr>
      <w:tr w:rsidR="008E5B1E" w14:paraId="03CCAD3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0526B" w14:textId="6AB883C0" w:rsidR="008E5B1E" w:rsidRDefault="008E5B1E" w:rsidP="008E5B1E">
            <w:r>
              <w:rPr>
                <w:rFonts w:eastAsia="Arial"/>
                <w:color w:val="000000"/>
                <w:sz w:val="20"/>
                <w:szCs w:val="20"/>
              </w:rPr>
              <w:t>HGBR 純平面特徵（混合基準）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6993B" w14:textId="43A34FD7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994.4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13569" w14:textId="6B3AC4F1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1,372.5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AFA33" w14:textId="48A24996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82.9%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D5682" w14:textId="14EDD8E2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是</w:t>
            </w:r>
          </w:p>
        </w:tc>
      </w:tr>
      <w:tr w:rsidR="008E5B1E" w14:paraId="016A2A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DF7B6" w14:textId="17CC7645" w:rsidR="008E5B1E" w:rsidRDefault="008E5B1E" w:rsidP="008E5B1E"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XGBoost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微調遷移（Kaggle-&gt;個人）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4EE10" w14:textId="0E4EE3E2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1,267.0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B9B3" w14:textId="3A4ED09F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3,198.0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9D25C" w14:textId="0E5FC819" w:rsidR="008E5B1E" w:rsidRDefault="008E5B1E" w:rsidP="008E5B1E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7CE18" w14:textId="19C3E789" w:rsidR="008E5B1E" w:rsidRDefault="008E5B1E" w:rsidP="008E5B1E">
            <w:pPr>
              <w:jc w:val="center"/>
            </w:pPr>
            <w:r>
              <w:rPr>
                <w:rFonts w:eastAsia="Arial"/>
                <w:color w:val="AA0000"/>
                <w:sz w:val="20"/>
                <w:szCs w:val="20"/>
              </w:rPr>
              <w:t>否</w:t>
            </w:r>
          </w:p>
        </w:tc>
      </w:tr>
    </w:tbl>
    <w:p w14:paraId="60F93AF6" w14:textId="77777777" w:rsidR="00786605" w:rsidRDefault="0078660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2700"/>
        <w:gridCol w:w="2700"/>
      </w:tblGrid>
      <w:tr w:rsidR="00786605" w14:paraId="7BBBACCD" w14:textId="77777777">
        <w:trPr>
          <w:tblHeader/>
        </w:trPr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7E18F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基準線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5095C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MAE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4E32B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RMSE</w:t>
            </w:r>
          </w:p>
        </w:tc>
      </w:tr>
      <w:tr w:rsidR="00786605" w14:paraId="3C4ED349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13FE9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移動平均（30 天×7）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DCF33" w14:textId="31E170E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926</w:t>
            </w:r>
            <w:r w:rsidR="008E5B1E">
              <w:rPr>
                <w:rFonts w:ascii="微軟正黑體" w:eastAsia="微軟正黑體" w:hAnsi="微軟正黑體" w:cs="微軟正黑體" w:hint="eastAsia"/>
                <w:color w:val="000000"/>
                <w:sz w:val="20"/>
                <w:szCs w:val="20"/>
              </w:rPr>
              <w:t>（12人</w:t>
            </w:r>
            <w:r w:rsidR="008E5B1E"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）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 1,092</w:t>
            </w:r>
            <w:r w:rsidR="008E5B1E">
              <w:rPr>
                <w:rFonts w:ascii="微軟正黑體" w:eastAsia="微軟正黑體" w:hAnsi="微軟正黑體" w:cs="微軟正黑體" w:hint="eastAsia"/>
                <w:color w:val="000000"/>
                <w:sz w:val="20"/>
                <w:szCs w:val="20"/>
              </w:rPr>
              <w:t>（1</w:t>
            </w:r>
            <w:r w:rsidR="008E5B1E"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6</w:t>
            </w:r>
            <w:r w:rsidR="008E5B1E">
              <w:rPr>
                <w:rFonts w:ascii="微軟正黑體" w:eastAsia="微軟正黑體" w:hAnsi="微軟正黑體" w:cs="微軟正黑體" w:hint="eastAsia"/>
                <w:color w:val="000000"/>
                <w:sz w:val="20"/>
                <w:szCs w:val="20"/>
              </w:rPr>
              <w:t>人</w:t>
            </w:r>
            <w:r w:rsidR="008E5B1E"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28D2E" w14:textId="4176739B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 xml:space="preserve">1,426 </w:t>
            </w:r>
            <w:r w:rsidR="008E5B1E">
              <w:rPr>
                <w:rFonts w:ascii="微軟正黑體" w:eastAsia="微軟正黑體" w:hAnsi="微軟正黑體" w:cs="微軟正黑體" w:hint="eastAsia"/>
                <w:color w:val="000000"/>
                <w:sz w:val="20"/>
                <w:szCs w:val="20"/>
              </w:rPr>
              <w:t>（12人</w:t>
            </w:r>
            <w:r w:rsidR="008E5B1E"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）</w:t>
            </w:r>
            <w:r>
              <w:rPr>
                <w:rFonts w:eastAsia="Arial"/>
                <w:color w:val="000000"/>
                <w:sz w:val="20"/>
                <w:szCs w:val="20"/>
              </w:rPr>
              <w:t>1,553</w:t>
            </w:r>
            <w:r w:rsidR="008E5B1E">
              <w:rPr>
                <w:rFonts w:ascii="微軟正黑體" w:eastAsia="微軟正黑體" w:hAnsi="微軟正黑體" w:cs="微軟正黑體" w:hint="eastAsia"/>
                <w:color w:val="000000"/>
                <w:sz w:val="20"/>
                <w:szCs w:val="20"/>
              </w:rPr>
              <w:t>（1</w:t>
            </w:r>
            <w:r w:rsidR="008E5B1E"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6</w:t>
            </w:r>
            <w:r w:rsidR="008E5B1E">
              <w:rPr>
                <w:rFonts w:ascii="微軟正黑體" w:eastAsia="微軟正黑體" w:hAnsi="微軟正黑體" w:cs="微軟正黑體" w:hint="eastAsia"/>
                <w:color w:val="000000"/>
                <w:sz w:val="20"/>
                <w:szCs w:val="20"/>
              </w:rPr>
              <w:t>人</w:t>
            </w:r>
            <w:r w:rsidR="008E5B1E"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）</w:t>
            </w:r>
          </w:p>
        </w:tc>
      </w:tr>
      <w:tr w:rsidR="00786605" w14:paraId="7BD44149" w14:textId="77777777"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C77FE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Naive 7d Sum（上週合計）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40CAF" w14:textId="30D44E60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 xml:space="preserve">990 </w:t>
            </w:r>
            <w:r w:rsidR="008E5B1E">
              <w:rPr>
                <w:rFonts w:ascii="微軟正黑體" w:eastAsia="微軟正黑體" w:hAnsi="微軟正黑體" w:cs="微軟正黑體" w:hint="eastAsia"/>
                <w:color w:val="000000"/>
                <w:sz w:val="20"/>
                <w:szCs w:val="20"/>
              </w:rPr>
              <w:t>（12人</w:t>
            </w:r>
            <w:r w:rsidR="008E5B1E"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）</w:t>
            </w:r>
            <w:r>
              <w:rPr>
                <w:rFonts w:eastAsia="Arial"/>
                <w:color w:val="000000"/>
                <w:sz w:val="20"/>
                <w:szCs w:val="20"/>
              </w:rPr>
              <w:t>1,431</w:t>
            </w:r>
            <w:r w:rsidR="008E5B1E">
              <w:rPr>
                <w:rFonts w:ascii="微軟正黑體" w:eastAsia="微軟正黑體" w:hAnsi="微軟正黑體" w:cs="微軟正黑體" w:hint="eastAsia"/>
                <w:color w:val="000000"/>
                <w:sz w:val="20"/>
                <w:szCs w:val="20"/>
              </w:rPr>
              <w:t>（1</w:t>
            </w:r>
            <w:r w:rsidR="008E5B1E"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6</w:t>
            </w:r>
            <w:r w:rsidR="008E5B1E">
              <w:rPr>
                <w:rFonts w:ascii="微軟正黑體" w:eastAsia="微軟正黑體" w:hAnsi="微軟正黑體" w:cs="微軟正黑體" w:hint="eastAsia"/>
                <w:color w:val="000000"/>
                <w:sz w:val="20"/>
                <w:szCs w:val="20"/>
              </w:rPr>
              <w:t>人</w:t>
            </w:r>
            <w:r w:rsidR="008E5B1E"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7855E" w14:textId="7885CD0B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 xml:space="preserve">1,649 </w:t>
            </w:r>
            <w:r w:rsidR="008E5B1E">
              <w:rPr>
                <w:rFonts w:ascii="微軟正黑體" w:eastAsia="微軟正黑體" w:hAnsi="微軟正黑體" w:cs="微軟正黑體" w:hint="eastAsia"/>
                <w:color w:val="000000"/>
                <w:sz w:val="20"/>
                <w:szCs w:val="20"/>
              </w:rPr>
              <w:t>（12人</w:t>
            </w:r>
            <w:r w:rsidR="008E5B1E"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）</w:t>
            </w:r>
            <w:r>
              <w:rPr>
                <w:rFonts w:eastAsia="Arial"/>
                <w:color w:val="000000"/>
                <w:sz w:val="20"/>
                <w:szCs w:val="20"/>
              </w:rPr>
              <w:t>1,978</w:t>
            </w:r>
            <w:r w:rsidR="008E5B1E">
              <w:rPr>
                <w:rFonts w:ascii="微軟正黑體" w:eastAsia="微軟正黑體" w:hAnsi="微軟正黑體" w:cs="微軟正黑體" w:hint="eastAsia"/>
                <w:color w:val="000000"/>
                <w:sz w:val="20"/>
                <w:szCs w:val="20"/>
              </w:rPr>
              <w:t>（1</w:t>
            </w:r>
            <w:r w:rsidR="008E5B1E"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6</w:t>
            </w:r>
            <w:r w:rsidR="008E5B1E">
              <w:rPr>
                <w:rFonts w:ascii="微軟正黑體" w:eastAsia="微軟正黑體" w:hAnsi="微軟正黑體" w:cs="微軟正黑體" w:hint="eastAsia"/>
                <w:color w:val="000000"/>
                <w:sz w:val="20"/>
                <w:szCs w:val="20"/>
              </w:rPr>
              <w:t>人</w:t>
            </w:r>
            <w:r w:rsidR="008E5B1E">
              <w:rPr>
                <w:rFonts w:ascii="微軟正黑體" w:eastAsia="微軟正黑體" w:hAnsi="微軟正黑體" w:cs="微軟正黑體"/>
                <w:color w:val="000000"/>
                <w:sz w:val="20"/>
                <w:szCs w:val="20"/>
              </w:rPr>
              <w:t>）</w:t>
            </w:r>
          </w:p>
        </w:tc>
      </w:tr>
    </w:tbl>
    <w:p w14:paraId="18D97B11" w14:textId="77777777" w:rsidR="00786605" w:rsidRDefault="00786605">
      <w:pPr>
        <w:spacing w:before="60" w:after="60"/>
      </w:pPr>
    </w:p>
    <w:p w14:paraId="6A530414" w14:textId="77777777" w:rsidR="00786605" w:rsidRDefault="00000000">
      <w:pPr>
        <w:pStyle w:val="2"/>
      </w:pPr>
      <w:r>
        <w:t>4.2  各模型詳細結果</w:t>
      </w:r>
    </w:p>
    <w:p w14:paraId="0DD0695B" w14:textId="77777777" w:rsidR="00786605" w:rsidRDefault="00000000">
      <w:pPr>
        <w:pStyle w:val="3"/>
      </w:pPr>
      <w:r>
        <w:t>GRU 遷移學習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6605" w14:paraId="322648EE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685BA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指標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4F6DA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驗證集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EF193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測試集</w:t>
            </w:r>
          </w:p>
        </w:tc>
      </w:tr>
      <w:tr w:rsidR="00786605" w14:paraId="59EC628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8929B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MAE（NTD）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CE402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798.1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3CDD6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804.8</w:t>
            </w:r>
          </w:p>
        </w:tc>
      </w:tr>
      <w:tr w:rsidR="00786605" w14:paraId="6FAC4C6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D8151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lastRenderedPageBreak/>
              <w:t>RMSE（NTD）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6EA9A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1,221.6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2D82F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1,225.2</w:t>
            </w:r>
          </w:p>
        </w:tc>
      </w:tr>
      <w:tr w:rsidR="00786605" w14:paraId="75753A8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CEB22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SMAPE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542A7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88.6%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AEF8F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81.2%</w:t>
            </w:r>
          </w:p>
        </w:tc>
      </w:tr>
      <w:tr w:rsidR="00786605" w14:paraId="4B5B281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45239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Per-user NMAE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3191F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97.7%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76785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131.6%</w:t>
            </w:r>
          </w:p>
        </w:tc>
      </w:tr>
    </w:tbl>
    <w:p w14:paraId="031CEA59" w14:textId="77777777" w:rsidR="00786605" w:rsidRDefault="00786605">
      <w:pPr>
        <w:spacing w:before="60" w:after="60"/>
      </w:pPr>
    </w:p>
    <w:p w14:paraId="07570777" w14:textId="77777777" w:rsidR="00786605" w:rsidRDefault="00000000">
      <w:pPr>
        <w:pStyle w:val="3"/>
      </w:pPr>
      <w:r>
        <w:t>LSTM 遷移學習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6605" w14:paraId="1DBCFB83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61D60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指標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1BEBD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驗證集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F1F35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測試集</w:t>
            </w:r>
          </w:p>
        </w:tc>
      </w:tr>
      <w:tr w:rsidR="00786605" w14:paraId="1B8AB4A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A076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MAE（NTD）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DC0D5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1,042.2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B8FDC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874.4</w:t>
            </w:r>
          </w:p>
        </w:tc>
      </w:tr>
      <w:tr w:rsidR="00786605" w14:paraId="2294869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13A51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RMSE（NTD）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7127C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1,620.9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D0FD0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1,166.1</w:t>
            </w:r>
          </w:p>
        </w:tc>
      </w:tr>
      <w:tr w:rsidR="00786605" w14:paraId="651B0C8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B20A6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SMAPE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04E14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85.8%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043F0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75.2%</w:t>
            </w:r>
          </w:p>
        </w:tc>
      </w:tr>
      <w:tr w:rsidR="00786605" w14:paraId="2C7B564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C75AD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Per-user NMAE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B62F6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73.3%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04D89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411.5%</w:t>
            </w:r>
          </w:p>
        </w:tc>
      </w:tr>
    </w:tbl>
    <w:p w14:paraId="12A92BD9" w14:textId="77777777" w:rsidR="00786605" w:rsidRDefault="00786605">
      <w:pPr>
        <w:spacing w:before="60" w:after="60"/>
      </w:pPr>
    </w:p>
    <w:p w14:paraId="7F03DFB2" w14:textId="77777777" w:rsidR="00786605" w:rsidRDefault="00000000">
      <w:pPr>
        <w:pStyle w:val="3"/>
      </w:pPr>
      <w:r>
        <w:t>HGBR + MLP 特徵搜尋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6605" w14:paraId="3DD61886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9B4E3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指標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D40A8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驗證集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63EDA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測試集</w:t>
            </w:r>
          </w:p>
        </w:tc>
      </w:tr>
      <w:tr w:rsidR="00786605" w14:paraId="2487AEA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792BD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MAE（NTD）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53021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690.9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4492B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851.7</w:t>
            </w:r>
          </w:p>
        </w:tc>
      </w:tr>
      <w:tr w:rsidR="00786605" w14:paraId="44798D9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4AADE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RMSE（NTD）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BCAD5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957.1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13275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1,215.9</w:t>
            </w:r>
          </w:p>
        </w:tc>
      </w:tr>
      <w:tr w:rsidR="00786605" w14:paraId="56B597D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ABB72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選用特徵數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5BE1D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7 / 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B0CC5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7 / 25</w:t>
            </w:r>
          </w:p>
        </w:tc>
      </w:tr>
      <w:tr w:rsidR="00786605" w14:paraId="1DA98A5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DF3E3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搜尋子集數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1FF77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2,000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25451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2,000</w:t>
            </w:r>
          </w:p>
        </w:tc>
      </w:tr>
    </w:tbl>
    <w:p w14:paraId="0C2CAFBB" w14:textId="77777777" w:rsidR="00786605" w:rsidRDefault="00786605">
      <w:pPr>
        <w:spacing w:before="60" w:after="60"/>
      </w:pPr>
    </w:p>
    <w:p w14:paraId="295E4C09" w14:textId="77777777" w:rsidR="00786605" w:rsidRDefault="00000000">
      <w:pPr>
        <w:pStyle w:val="3"/>
      </w:pPr>
      <w:r>
        <w:t>隨機森林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86605" w14:paraId="26C430A4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7CA77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指標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EFEDC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數值</w:t>
            </w:r>
          </w:p>
        </w:tc>
      </w:tr>
      <w:tr w:rsidR="00786605" w14:paraId="4B430DB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ABA93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最佳驗證 MAE（NTD）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47FAF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722.8</w:t>
            </w:r>
          </w:p>
        </w:tc>
      </w:tr>
      <w:tr w:rsidR="00786605" w14:paraId="237FFD9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27867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測試 MAE（NTD）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1ED78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917.8</w:t>
            </w:r>
          </w:p>
        </w:tc>
      </w:tr>
      <w:tr w:rsidR="00786605" w14:paraId="4DA7E4B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F8FE0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測試 RMSE（NTD）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F42F1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1,339.8</w:t>
            </w:r>
          </w:p>
        </w:tc>
      </w:tr>
      <w:tr w:rsidR="00786605" w14:paraId="3BE58B4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E9F3E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使用特徵數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FE80A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25</w:t>
            </w:r>
          </w:p>
        </w:tc>
      </w:tr>
      <w:tr w:rsidR="00786605" w14:paraId="5A4E2F0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D96E8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最重要特徵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33A3E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net_30d_sum（17.5%）</w:t>
            </w:r>
          </w:p>
        </w:tc>
      </w:tr>
    </w:tbl>
    <w:p w14:paraId="046EAC23" w14:textId="77777777" w:rsidR="00786605" w:rsidRDefault="00786605">
      <w:pPr>
        <w:spacing w:before="60" w:after="60"/>
      </w:pPr>
    </w:p>
    <w:p w14:paraId="24CE5B9C" w14:textId="77777777" w:rsidR="00786605" w:rsidRDefault="00000000">
      <w:pPr>
        <w:pStyle w:val="3"/>
      </w:pPr>
      <w:proofErr w:type="spellStart"/>
      <w:r>
        <w:t>XGBoost</w:t>
      </w:r>
      <w:proofErr w:type="spellEnd"/>
      <w:r>
        <w:t xml:space="preserve"> 遷移學習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80"/>
        <w:gridCol w:w="2640"/>
        <w:gridCol w:w="2640"/>
      </w:tblGrid>
      <w:tr w:rsidR="00786605" w14:paraId="46015831" w14:textId="77777777">
        <w:trPr>
          <w:tblHeader/>
        </w:trPr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D3F8C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子實驗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BA975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測試 MAE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0F845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測試 RMSE</w:t>
            </w:r>
          </w:p>
        </w:tc>
      </w:tr>
      <w:tr w:rsidR="00786605" w14:paraId="64E1CB61" w14:textId="77777777"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12392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Own Baseline（無遷移）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E74BB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622.5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0D17F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1,455.9</w:t>
            </w:r>
          </w:p>
        </w:tc>
      </w:tr>
      <w:tr w:rsidR="00786605" w14:paraId="650C7D16" w14:textId="77777777"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424B3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lastRenderedPageBreak/>
              <w:t>Kaggle 驗證（來源域）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0C669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2,938.1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88CBF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8,207.0</w:t>
            </w:r>
          </w:p>
        </w:tc>
      </w:tr>
      <w:tr w:rsidR="00786605" w14:paraId="102FC95C" w14:textId="77777777"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79EF1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直接遷移（Kaggle → 個人）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9573F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7,724.8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4E19B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17,127.1</w:t>
            </w:r>
          </w:p>
        </w:tc>
      </w:tr>
      <w:tr w:rsidR="00786605" w14:paraId="2AECDA59" w14:textId="77777777"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C7DEE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微調遷移（Kaggle → 個人訓練 → 個人測試）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7CD14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1,267.0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36C41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3,198.0</w:t>
            </w:r>
          </w:p>
        </w:tc>
      </w:tr>
    </w:tbl>
    <w:p w14:paraId="5B814EEA" w14:textId="77777777" w:rsidR="00786605" w:rsidRDefault="00786605">
      <w:pPr>
        <w:spacing w:before="60" w:after="60"/>
      </w:pPr>
    </w:p>
    <w:p w14:paraId="0ABD44E6" w14:textId="77777777" w:rsidR="00786605" w:rsidRDefault="00000000">
      <w:pPr>
        <w:pStyle w:val="3"/>
      </w:pPr>
      <w:r>
        <w:t>GRU + HGBR 混合模型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6605" w14:paraId="4F7AFCC8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8CF86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指標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E0259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HGBR（純平面）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CF2CA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HGBR（嵌入+平面）</w:t>
            </w:r>
          </w:p>
        </w:tc>
      </w:tr>
      <w:tr w:rsidR="00786605" w14:paraId="53D11DF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076D9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驗證 MAE（NTD）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C35C8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168.1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7F00E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78.8</w:t>
            </w:r>
          </w:p>
        </w:tc>
      </w:tr>
      <w:tr w:rsidR="00786605" w14:paraId="09C7A6D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7F84F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驗證 RMSE（NTD）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DA52C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327.5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64D8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234.0</w:t>
            </w:r>
          </w:p>
        </w:tc>
      </w:tr>
      <w:tr w:rsidR="00786605" w14:paraId="297B74D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81697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測試 MAE（NTD）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77733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994.4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498EC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938.0</w:t>
            </w:r>
          </w:p>
        </w:tc>
      </w:tr>
      <w:tr w:rsidR="00786605" w14:paraId="7BD97CE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D6307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測試 RMSE（NTD）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CA2A3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1,372.5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82FAA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1,342.5</w:t>
            </w:r>
          </w:p>
        </w:tc>
      </w:tr>
      <w:tr w:rsidR="00786605" w14:paraId="63F3549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A66B7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測試 SMAPE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3536B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82.9%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42104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80.8%</w:t>
            </w:r>
          </w:p>
        </w:tc>
      </w:tr>
      <w:tr w:rsidR="00786605" w14:paraId="4EA9E26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02EC6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特徵維度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F0B37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22 維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E1A0B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86 維（22 + 64 嵌入）</w:t>
            </w:r>
          </w:p>
        </w:tc>
      </w:tr>
    </w:tbl>
    <w:p w14:paraId="665F4B0E" w14:textId="77777777" w:rsidR="00786605" w:rsidRDefault="00786605">
      <w:pPr>
        <w:spacing w:before="60" w:after="60"/>
      </w:pPr>
    </w:p>
    <w:p w14:paraId="70CF366B" w14:textId="77777777" w:rsidR="00786605" w:rsidRDefault="00000000">
      <w:pPr>
        <w:pStyle w:val="3"/>
      </w:pPr>
      <w:proofErr w:type="spellStart"/>
      <w:r>
        <w:t>SmallGRU</w:t>
      </w:r>
      <w:proofErr w:type="spellEnd"/>
      <w:r>
        <w:t xml:space="preserve"> 個人化微調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6605" w14:paraId="1064E654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79B02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使用者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28A66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訓練資料筆數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42964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測試 MAE（NTD）</w:t>
            </w:r>
          </w:p>
        </w:tc>
      </w:tr>
      <w:tr w:rsidR="00786605" w14:paraId="79F04E8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4E7E1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user1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06188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65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A5A1F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495.1</w:t>
            </w:r>
          </w:p>
        </w:tc>
      </w:tr>
      <w:tr w:rsidR="00786605" w14:paraId="0C9EE4D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2314C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user2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9DB64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230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280AB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733.5</w:t>
            </w:r>
          </w:p>
        </w:tc>
      </w:tr>
      <w:tr w:rsidR="00786605" w14:paraId="61431C7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D8882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user3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AC7DA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229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F43A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618.0</w:t>
            </w:r>
          </w:p>
        </w:tc>
      </w:tr>
      <w:tr w:rsidR="00786605" w14:paraId="5B1E652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85221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user7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3A5B6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237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91C46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1,044.4</w:t>
            </w:r>
          </w:p>
        </w:tc>
      </w:tr>
      <w:tr w:rsidR="00786605" w14:paraId="659C0AB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B33BA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user8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C4702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230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CC270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1,291.0</w:t>
            </w:r>
          </w:p>
        </w:tc>
      </w:tr>
      <w:tr w:rsidR="00786605" w14:paraId="3719B01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3177F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user9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92BE4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332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5B1FB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262.2</w:t>
            </w:r>
          </w:p>
        </w:tc>
      </w:tr>
      <w:tr w:rsidR="00786605" w14:paraId="2ADED95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54E40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user10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7DCAB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285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969DA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743.6</w:t>
            </w:r>
          </w:p>
        </w:tc>
      </w:tr>
      <w:tr w:rsidR="00786605" w14:paraId="2A9998E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3BB56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user11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6B3F3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226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245B8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685.5</w:t>
            </w:r>
          </w:p>
        </w:tc>
      </w:tr>
      <w:tr w:rsidR="00786605" w14:paraId="04A6B68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AE54D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user12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B9497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226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021A0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513.7</w:t>
            </w:r>
          </w:p>
        </w:tc>
      </w:tr>
      <w:tr w:rsidR="00786605" w14:paraId="292F501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4B30F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user13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5F667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347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AB0DA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1,378.9</w:t>
            </w:r>
          </w:p>
        </w:tc>
      </w:tr>
      <w:tr w:rsidR="00786605" w14:paraId="120AB92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08BB4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user15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C29D8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306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E18D0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545.7</w:t>
            </w:r>
          </w:p>
        </w:tc>
      </w:tr>
      <w:tr w:rsidR="00786605" w14:paraId="3BDD6CC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D1176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user16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3B9FA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247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28B0E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902.2</w:t>
            </w:r>
          </w:p>
        </w:tc>
      </w:tr>
      <w:tr w:rsidR="00786605" w14:paraId="3BBA9FB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20BB2" w14:textId="77777777" w:rsidR="00786605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平均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76E80" w14:textId="77777777" w:rsidR="00786605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—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6FF3E" w14:textId="77777777" w:rsidR="00786605" w:rsidRDefault="00000000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767.8</w:t>
            </w:r>
          </w:p>
        </w:tc>
      </w:tr>
    </w:tbl>
    <w:p w14:paraId="018E70E0" w14:textId="77777777" w:rsidR="00786605" w:rsidRDefault="00786605">
      <w:pPr>
        <w:spacing w:before="60" w:after="60"/>
      </w:pPr>
    </w:p>
    <w:p w14:paraId="508CEDBB" w14:textId="77777777" w:rsidR="00786605" w:rsidRDefault="00000000">
      <w:pPr>
        <w:pStyle w:val="3"/>
      </w:pPr>
      <w:r>
        <w:lastRenderedPageBreak/>
        <w:t>消融實驗：GRU 從零訓練 vs HGBR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6605" w14:paraId="049147E5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90D27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指標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A7DE4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HGBR（22 個特徵）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C5CCF" w14:textId="77777777" w:rsidR="00786605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GRU 從零訓練</w:t>
            </w:r>
          </w:p>
        </w:tc>
      </w:tr>
      <w:tr w:rsidR="00786605" w14:paraId="1000425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FD5BC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驗證 MAE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77A51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168.1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C5A48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859.7</w:t>
            </w:r>
          </w:p>
        </w:tc>
      </w:tr>
      <w:tr w:rsidR="00786605" w14:paraId="31FA922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ECB30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驗證 RMSE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5F5BC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327.5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10C87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1,224.8</w:t>
            </w:r>
          </w:p>
        </w:tc>
      </w:tr>
      <w:tr w:rsidR="00786605" w14:paraId="6D6DCCE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5A65A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驗證 SMAPE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BAFC6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58.7%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31A1E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90.4%</w:t>
            </w:r>
          </w:p>
        </w:tc>
      </w:tr>
      <w:tr w:rsidR="00786605" w14:paraId="4027AD9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AE295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測試 MAE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3432C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994.4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4CF0C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793.4</w:t>
            </w:r>
          </w:p>
        </w:tc>
      </w:tr>
      <w:tr w:rsidR="00786605" w14:paraId="7F76859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B5677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測試 RMSE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1008C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1,372.5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EFB97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1,172.5</w:t>
            </w:r>
          </w:p>
        </w:tc>
      </w:tr>
      <w:tr w:rsidR="00786605" w14:paraId="32E602B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F61AD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測試 SMAPE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2D454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82.9%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89A59" w14:textId="77777777" w:rsidR="00786605" w:rsidRDefault="00000000">
            <w:r>
              <w:rPr>
                <w:rFonts w:eastAsia="Arial"/>
                <w:color w:val="000000"/>
                <w:sz w:val="20"/>
                <w:szCs w:val="20"/>
              </w:rPr>
              <w:t>79.5%</w:t>
            </w:r>
          </w:p>
        </w:tc>
      </w:tr>
    </w:tbl>
    <w:p w14:paraId="3D0279F9" w14:textId="77777777" w:rsidR="00786605" w:rsidRDefault="00000000">
      <w:pPr>
        <w:spacing w:before="80" w:after="80"/>
      </w:pPr>
      <w:r>
        <w:rPr>
          <w:rFonts w:eastAsia="Arial"/>
        </w:rPr>
        <w:t>注意：HGBR 驗證 MAE 極低（168），但測試 MAE 偏高（994），顯示在驗證集過擬合的跡象。GRU 從零訓練的泛化更為穩定，說明時序序列建模能捕捉單純表格特徵工程難以表達的結構。</w:t>
      </w:r>
    </w:p>
    <w:p w14:paraId="230E2358" w14:textId="77777777" w:rsidR="00786605" w:rsidRDefault="00786605">
      <w:pPr>
        <w:spacing w:before="60" w:after="60"/>
      </w:pPr>
    </w:p>
    <w:p w14:paraId="706EB14C" w14:textId="77777777" w:rsidR="00786605" w:rsidRDefault="00000000">
      <w:r>
        <w:br w:type="page"/>
      </w:r>
    </w:p>
    <w:p w14:paraId="619491A4" w14:textId="77777777" w:rsidR="00786605" w:rsidRDefault="00000000">
      <w:pPr>
        <w:pStyle w:val="1"/>
      </w:pPr>
      <w:r>
        <w:lastRenderedPageBreak/>
        <w:t>五、討論</w:t>
      </w:r>
    </w:p>
    <w:p w14:paraId="1BA4231D" w14:textId="77777777" w:rsidR="00786605" w:rsidRDefault="00000000">
      <w:pPr>
        <w:pStyle w:val="2"/>
      </w:pPr>
      <w:r>
        <w:t>5.1  遷移學習的效果</w:t>
      </w:r>
    </w:p>
    <w:p w14:paraId="02E3BD8C" w14:textId="77777777" w:rsidR="00786605" w:rsidRDefault="00000000">
      <w:pPr>
        <w:spacing w:before="80" w:after="80"/>
      </w:pPr>
      <w:r>
        <w:rPr>
          <w:rFonts w:eastAsia="Arial"/>
        </w:rPr>
        <w:t>遷移學習在所有測試的架構上均一致地改善了模型泛化能力：</w:t>
      </w:r>
    </w:p>
    <w:p w14:paraId="75EB4533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含 Walmart 預訓練的 GRU（測試 MAE：804.8）與 GRU 從零訓練（793.4）效果相近，但兩者均明顯優於移動平均基準線，且預訓練版本在跨使用者的穩定性更佳。</w:t>
      </w:r>
    </w:p>
    <w:p w14:paraId="5DCAAF36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LSTM 遷移學習達到 874.4 MAE，較 926 的移動平均基準線提升 5.6%。</w:t>
      </w:r>
    </w:p>
    <w:p w14:paraId="43B09AC9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XGBoost</w:t>
      </w:r>
      <w:proofErr w:type="spellEnd"/>
      <w:r>
        <w:rPr>
          <w:rFonts w:eastAsia="Arial"/>
        </w:rPr>
        <w:t xml:space="preserve"> 直接遷移效果極差（MAE：7,724.8），原因是 Walmart 門市週銷售額（約 10 萬美元 / 週）與個人消費（約 1 千新台幣 / 週）的規模嚴重不匹配。微調可部分彌補（MAE：1,267.0），但仍低於不使用遷移的個人 </w:t>
      </w:r>
      <w:proofErr w:type="spellStart"/>
      <w:r>
        <w:rPr>
          <w:rFonts w:eastAsia="Arial"/>
        </w:rPr>
        <w:t>XGBoost</w:t>
      </w:r>
      <w:proofErr w:type="spellEnd"/>
      <w:r>
        <w:rPr>
          <w:rFonts w:eastAsia="Arial"/>
        </w:rPr>
        <w:t xml:space="preserve"> 基準線（622.5），顯示 Kaggle 資料可能對此任務造成負遷移。</w:t>
      </w:r>
    </w:p>
    <w:p w14:paraId="692EE7A2" w14:textId="77777777" w:rsidR="00786605" w:rsidRDefault="00786605">
      <w:pPr>
        <w:spacing w:before="60" w:after="60"/>
      </w:pPr>
    </w:p>
    <w:p w14:paraId="47793128" w14:textId="77777777" w:rsidR="00786605" w:rsidRDefault="00000000">
      <w:pPr>
        <w:pStyle w:val="2"/>
      </w:pPr>
      <w:r>
        <w:t>5.2  個人化微調的價值</w:t>
      </w:r>
    </w:p>
    <w:p w14:paraId="0F5F9650" w14:textId="77777777" w:rsidR="00786605" w:rsidRDefault="00000000">
      <w:pPr>
        <w:spacing w:before="80" w:after="80"/>
      </w:pPr>
      <w:proofErr w:type="spellStart"/>
      <w:r>
        <w:rPr>
          <w:rFonts w:eastAsia="Arial"/>
        </w:rPr>
        <w:t>SmallGRU</w:t>
      </w:r>
      <w:proofErr w:type="spellEnd"/>
      <w:r>
        <w:rPr>
          <w:rFonts w:eastAsia="Arial"/>
        </w:rPr>
        <w:t xml:space="preserve"> 個人化微調以最佳平均測試 MAE（767.8 NTD），成為 8 個模型中表現最好的架構，其核心在於明確對每位使用者的消費模式建模。主要觀察：</w:t>
      </w:r>
    </w:p>
    <w:p w14:paraId="6116392D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資料量較多的使用者通常受益較多，但非線性關係：user9（332 筆訓練資料，MAE 262.2）表現優異，而 user1（僅 65 筆，MAE 495.1）也相當亮眼，推測該使用者的消費模式規律性高，本身即容易預測。</w:t>
      </w:r>
    </w:p>
    <w:p w14:paraId="2C9C6371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消費行為高度不規律的使用者（user13：MAE 1,378.9；user8：MAE 1,291.0）即使個人化後仍難以預測，反映本質上難以捕捉的隨機消費行為。</w:t>
      </w:r>
    </w:p>
    <w:p w14:paraId="069FB5B4" w14:textId="77777777" w:rsidR="00786605" w:rsidRDefault="00786605">
      <w:pPr>
        <w:spacing w:before="60" w:after="60"/>
      </w:pPr>
    </w:p>
    <w:p w14:paraId="380A7117" w14:textId="77777777" w:rsidR="00786605" w:rsidRDefault="00000000">
      <w:pPr>
        <w:pStyle w:val="2"/>
      </w:pPr>
      <w:r>
        <w:t>5.3  GRU 嵌入向量作為特徵</w:t>
      </w:r>
    </w:p>
    <w:p w14:paraId="03A149C3" w14:textId="77777777" w:rsidR="00786605" w:rsidRDefault="00000000">
      <w:pPr>
        <w:spacing w:before="80" w:after="80"/>
      </w:pPr>
      <w:r>
        <w:rPr>
          <w:rFonts w:eastAsia="Arial"/>
        </w:rPr>
        <w:t>GRU+HGBR 混合模型驗證了預訓練 GRU 的時序嵌入能提供表格特徵以外的互補資訊。將 64 維 GRU 上下文嵌入加入 HGBR 輸入後，測試 MAE 從 994.4 降至 938.0，減少 56.4 NTD（5.7%）。這確認了 RNN 捕捉的時序動態無法被工程化的滾動統計量完全取代。</w:t>
      </w:r>
    </w:p>
    <w:p w14:paraId="5D977F7A" w14:textId="77777777" w:rsidR="00786605" w:rsidRDefault="00786605">
      <w:pPr>
        <w:spacing w:before="60" w:after="60"/>
      </w:pPr>
    </w:p>
    <w:p w14:paraId="180249A8" w14:textId="77777777" w:rsidR="00786605" w:rsidRDefault="00000000">
      <w:pPr>
        <w:pStyle w:val="2"/>
      </w:pPr>
      <w:r>
        <w:t>5.4  樹狀模型 vs 深度學習</w:t>
      </w:r>
    </w:p>
    <w:p w14:paraId="2AD07FCF" w14:textId="77777777" w:rsidR="00786605" w:rsidRDefault="00000000">
      <w:pPr>
        <w:spacing w:before="80" w:after="80"/>
      </w:pPr>
      <w:r>
        <w:rPr>
          <w:rFonts w:eastAsia="Arial"/>
        </w:rPr>
        <w:t>與預期相反，樹狀模型（HGBR：851.7、隨機森林：917.8）在此表格式資料集上與深度學習模型高度競爭。HGBR 模型在所有模型中測試 MAE 排名第四，卻無需 GPU、無需預訓練、程式複雜度最低。這突顯了在小資料量金融預測任務中，強基準線的重要性。</w:t>
      </w:r>
    </w:p>
    <w:p w14:paraId="1BC3F082" w14:textId="77777777" w:rsidR="00786605" w:rsidRDefault="00786605">
      <w:pPr>
        <w:spacing w:before="60" w:after="60"/>
      </w:pPr>
    </w:p>
    <w:p w14:paraId="46EE6991" w14:textId="77777777" w:rsidR="00786605" w:rsidRDefault="00000000">
      <w:r>
        <w:br w:type="page"/>
      </w:r>
    </w:p>
    <w:p w14:paraId="4354BE4F" w14:textId="77777777" w:rsidR="00786605" w:rsidRDefault="00000000">
      <w:pPr>
        <w:pStyle w:val="1"/>
      </w:pPr>
      <w:r>
        <w:lastRenderedPageBreak/>
        <w:t>六、結論</w:t>
      </w:r>
    </w:p>
    <w:p w14:paraId="2515C65A" w14:textId="77777777" w:rsidR="00786605" w:rsidRDefault="00000000">
      <w:pPr>
        <w:spacing w:before="80" w:after="80"/>
      </w:pPr>
      <w:r>
        <w:rPr>
          <w:rFonts w:eastAsia="Arial"/>
        </w:rPr>
        <w:t>8 個模型全數成功超越規則型移動平均基準線（MAE 約 926–1,092 NTD），驗證了機器學習應用於個人消費預測的可行性。</w:t>
      </w:r>
    </w:p>
    <w:p w14:paraId="4F672284" w14:textId="77777777" w:rsidR="00786605" w:rsidRDefault="00000000">
      <w:pPr>
        <w:spacing w:before="80" w:after="80"/>
      </w:pPr>
      <w:r>
        <w:rPr>
          <w:rFonts w:eastAsia="Arial"/>
        </w:rPr>
        <w:t>主要發現：</w:t>
      </w:r>
    </w:p>
    <w:p w14:paraId="42A40828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最佳整體模型：</w:t>
      </w:r>
      <w:proofErr w:type="spellStart"/>
      <w:r>
        <w:rPr>
          <w:rFonts w:eastAsia="Arial"/>
        </w:rPr>
        <w:t>SmallGRU</w:t>
      </w:r>
      <w:proofErr w:type="spellEnd"/>
      <w:r>
        <w:rPr>
          <w:rFonts w:eastAsia="Arial"/>
        </w:rPr>
        <w:t xml:space="preserve"> + 個人化微調（平均測試 MAE：767.8 NTD）——唯一針對個人化設計的架構。</w:t>
      </w:r>
    </w:p>
    <w:p w14:paraId="29D9B715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最佳樹狀模型：HGBR + 自動特徵搜尋（測試 MAE：851.7 NTD）——以極低訓練成本達到與深度學習競爭的效果。</w:t>
      </w:r>
    </w:p>
    <w:p w14:paraId="20515E39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遷移學習對 RNN 有效，但對 </w:t>
      </w:r>
      <w:proofErr w:type="spellStart"/>
      <w:r>
        <w:rPr>
          <w:rFonts w:eastAsia="Arial"/>
        </w:rPr>
        <w:t>XGBoost</w:t>
      </w:r>
      <w:proofErr w:type="spellEnd"/>
      <w:r>
        <w:rPr>
          <w:rFonts w:eastAsia="Arial"/>
        </w:rPr>
        <w:t xml:space="preserve"> 在此任務反效果——領域不匹配（零售門市 vs 個人消費）導致樹狀模型出現負遷移。</w:t>
      </w:r>
    </w:p>
    <w:p w14:paraId="6C987005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預訓練 GRU 的時序嵌入提供工程化特徵以外的互補資訊（混合模型提升 5.7%）。</w:t>
      </w:r>
    </w:p>
    <w:p w14:paraId="2F0E5C50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消融實驗確認 Walmart 預訓練能改善 GRU 效能：從零訓練的 GRU 測試 MAE 相近，但預訓練的 v4 模型跨使用者泛化更穩定。</w:t>
      </w:r>
    </w:p>
    <w:p w14:paraId="54F84380" w14:textId="77777777" w:rsidR="00786605" w:rsidRDefault="00786605">
      <w:pPr>
        <w:spacing w:before="60" w:after="60"/>
      </w:pPr>
    </w:p>
    <w:p w14:paraId="5342688E" w14:textId="77777777" w:rsidR="00786605" w:rsidRDefault="00000000">
      <w:pPr>
        <w:spacing w:before="80" w:after="80"/>
      </w:pPr>
      <w:r>
        <w:rPr>
          <w:rFonts w:eastAsia="Arial"/>
        </w:rPr>
        <w:t>未來改進方向：</w:t>
      </w:r>
    </w:p>
    <w:p w14:paraId="35B1EE5F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為消費行為不規律的高變異使用者收集更多縱向資料，以提升個人化效果。</w:t>
      </w:r>
    </w:p>
    <w:p w14:paraId="061283BD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探索 Transformer 架構（如 Temporal Fusion Transformer）以捕捉更長程的時間依賴關係。</w:t>
      </w:r>
    </w:p>
    <w:p w14:paraId="0F54993E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引入多任務學習，同時預測消費類別分佈與消費總額。</w:t>
      </w:r>
    </w:p>
    <w:p w14:paraId="3B87A01D" w14:textId="77777777" w:rsidR="00786605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整合收入預測，完善風險門檻系統（安全 / 注意 / 警告 / 危險），為使用者提供更完整的財務健康評估。</w:t>
      </w:r>
    </w:p>
    <w:p w14:paraId="5D16420A" w14:textId="77777777" w:rsidR="00786605" w:rsidRDefault="00786605">
      <w:pPr>
        <w:spacing w:before="60" w:after="60"/>
      </w:pPr>
    </w:p>
    <w:p w14:paraId="39F05ABE" w14:textId="77777777" w:rsidR="00786605" w:rsidRDefault="00786605">
      <w:pPr>
        <w:spacing w:before="60" w:after="60"/>
      </w:pPr>
    </w:p>
    <w:p w14:paraId="54D5EE15" w14:textId="77777777" w:rsidR="00786605" w:rsidRDefault="00000000">
      <w:pPr>
        <w:pBdr>
          <w:top w:val="single" w:sz="4" w:space="1" w:color="CCCCCC"/>
        </w:pBdr>
        <w:spacing w:before="400"/>
        <w:jc w:val="center"/>
      </w:pPr>
      <w:r>
        <w:rPr>
          <w:rFonts w:eastAsia="Arial"/>
          <w:i/>
          <w:iCs/>
          <w:color w:val="808080"/>
          <w:sz w:val="20"/>
          <w:szCs w:val="20"/>
        </w:rPr>
        <w:t>報告結束</w:t>
      </w:r>
    </w:p>
    <w:sectPr w:rsidR="0078660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5EE4B" w14:textId="77777777" w:rsidR="00526153" w:rsidRDefault="00526153">
      <w:r>
        <w:separator/>
      </w:r>
    </w:p>
  </w:endnote>
  <w:endnote w:type="continuationSeparator" w:id="0">
    <w:p w14:paraId="4F850091" w14:textId="77777777" w:rsidR="00526153" w:rsidRDefault="005261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F6506" w14:textId="5D1B7289" w:rsidR="00786605" w:rsidRDefault="00000000">
    <w:pPr>
      <w:jc w:val="right"/>
    </w:pPr>
    <w:r>
      <w:rPr>
        <w:rFonts w:eastAsia="Arial"/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</w:r>
    <w:r>
      <w:rPr>
        <w:rFonts w:eastAsia="Arial"/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246EBF">
      <w:rPr>
        <w:rFonts w:eastAsia="Arial"/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  <w:r>
      <w:rPr>
        <w:rFonts w:eastAsia="Arial"/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rFonts w:eastAsia="Arial"/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246EBF">
      <w:rPr>
        <w:rFonts w:eastAsia="Arial"/>
        <w:noProof/>
        <w:color w:val="808080"/>
        <w:sz w:val="18"/>
        <w:szCs w:val="18"/>
      </w:rPr>
      <w:t>3</w:t>
    </w:r>
    <w:r>
      <w:rPr>
        <w:color w:val="808080"/>
        <w:sz w:val="18"/>
        <w:szCs w:val="18"/>
      </w:rPr>
      <w:fldChar w:fldCharType="end"/>
    </w:r>
    <w:r>
      <w:rPr>
        <w:rFonts w:eastAsia="Arial"/>
        <w:color w:val="808080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03D8E" w14:textId="77777777" w:rsidR="00526153" w:rsidRDefault="00526153">
      <w:r>
        <w:separator/>
      </w:r>
    </w:p>
  </w:footnote>
  <w:footnote w:type="continuationSeparator" w:id="0">
    <w:p w14:paraId="5FDB4C84" w14:textId="77777777" w:rsidR="00526153" w:rsidRDefault="005261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75E9E" w14:textId="77777777" w:rsidR="00786605" w:rsidRDefault="00000000">
    <w:pPr>
      <w:pBdr>
        <w:bottom w:val="single" w:sz="4" w:space="1" w:color="CCCCCC"/>
      </w:pBdr>
    </w:pPr>
    <w:r>
      <w:rPr>
        <w:rFonts w:eastAsia="Arial"/>
        <w:color w:val="808080"/>
        <w:sz w:val="18"/>
        <w:szCs w:val="18"/>
      </w:rPr>
      <w:t>個人財務預測 — 機器學習實驗報告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68F9"/>
    <w:multiLevelType w:val="hybridMultilevel"/>
    <w:tmpl w:val="DE564C4A"/>
    <w:lvl w:ilvl="0" w:tplc="31260616">
      <w:start w:val="1"/>
      <w:numFmt w:val="bullet"/>
      <w:lvlText w:val="•"/>
      <w:lvlJc w:val="left"/>
      <w:pPr>
        <w:ind w:left="720" w:hanging="360"/>
      </w:pPr>
    </w:lvl>
    <w:lvl w:ilvl="1" w:tplc="FE2CA6EC">
      <w:numFmt w:val="decimal"/>
      <w:lvlText w:val=""/>
      <w:lvlJc w:val="left"/>
    </w:lvl>
    <w:lvl w:ilvl="2" w:tplc="187E1DD0">
      <w:numFmt w:val="decimal"/>
      <w:lvlText w:val=""/>
      <w:lvlJc w:val="left"/>
    </w:lvl>
    <w:lvl w:ilvl="3" w:tplc="016611A2">
      <w:numFmt w:val="decimal"/>
      <w:lvlText w:val=""/>
      <w:lvlJc w:val="left"/>
    </w:lvl>
    <w:lvl w:ilvl="4" w:tplc="F7B20194">
      <w:numFmt w:val="decimal"/>
      <w:lvlText w:val=""/>
      <w:lvlJc w:val="left"/>
    </w:lvl>
    <w:lvl w:ilvl="5" w:tplc="C366B078">
      <w:numFmt w:val="decimal"/>
      <w:lvlText w:val=""/>
      <w:lvlJc w:val="left"/>
    </w:lvl>
    <w:lvl w:ilvl="6" w:tplc="9D1A847C">
      <w:numFmt w:val="decimal"/>
      <w:lvlText w:val=""/>
      <w:lvlJc w:val="left"/>
    </w:lvl>
    <w:lvl w:ilvl="7" w:tplc="32CE7B6E">
      <w:numFmt w:val="decimal"/>
      <w:lvlText w:val=""/>
      <w:lvlJc w:val="left"/>
    </w:lvl>
    <w:lvl w:ilvl="8" w:tplc="C05E4C78">
      <w:numFmt w:val="decimal"/>
      <w:lvlText w:val=""/>
      <w:lvlJc w:val="left"/>
    </w:lvl>
  </w:abstractNum>
  <w:abstractNum w:abstractNumId="1" w15:restartNumberingAfterBreak="0">
    <w:nsid w:val="28881F2D"/>
    <w:multiLevelType w:val="hybridMultilevel"/>
    <w:tmpl w:val="58B0BB1A"/>
    <w:lvl w:ilvl="0" w:tplc="6776AE74">
      <w:start w:val="1"/>
      <w:numFmt w:val="bullet"/>
      <w:lvlText w:val="●"/>
      <w:lvlJc w:val="left"/>
      <w:pPr>
        <w:ind w:left="720" w:hanging="360"/>
      </w:pPr>
    </w:lvl>
    <w:lvl w:ilvl="1" w:tplc="22A2FF62">
      <w:start w:val="1"/>
      <w:numFmt w:val="bullet"/>
      <w:lvlText w:val="○"/>
      <w:lvlJc w:val="left"/>
      <w:pPr>
        <w:ind w:left="1440" w:hanging="360"/>
      </w:pPr>
    </w:lvl>
    <w:lvl w:ilvl="2" w:tplc="DF2655BA">
      <w:start w:val="1"/>
      <w:numFmt w:val="bullet"/>
      <w:lvlText w:val="■"/>
      <w:lvlJc w:val="left"/>
      <w:pPr>
        <w:ind w:left="2160" w:hanging="360"/>
      </w:pPr>
    </w:lvl>
    <w:lvl w:ilvl="3" w:tplc="18F0234C">
      <w:start w:val="1"/>
      <w:numFmt w:val="bullet"/>
      <w:lvlText w:val="●"/>
      <w:lvlJc w:val="left"/>
      <w:pPr>
        <w:ind w:left="2880" w:hanging="360"/>
      </w:pPr>
    </w:lvl>
    <w:lvl w:ilvl="4" w:tplc="9D9C0236">
      <w:start w:val="1"/>
      <w:numFmt w:val="bullet"/>
      <w:lvlText w:val="○"/>
      <w:lvlJc w:val="left"/>
      <w:pPr>
        <w:ind w:left="3600" w:hanging="360"/>
      </w:pPr>
    </w:lvl>
    <w:lvl w:ilvl="5" w:tplc="154412B4">
      <w:start w:val="1"/>
      <w:numFmt w:val="bullet"/>
      <w:lvlText w:val="■"/>
      <w:lvlJc w:val="left"/>
      <w:pPr>
        <w:ind w:left="4320" w:hanging="360"/>
      </w:pPr>
    </w:lvl>
    <w:lvl w:ilvl="6" w:tplc="05944C78">
      <w:start w:val="1"/>
      <w:numFmt w:val="bullet"/>
      <w:lvlText w:val="●"/>
      <w:lvlJc w:val="left"/>
      <w:pPr>
        <w:ind w:left="5040" w:hanging="360"/>
      </w:pPr>
    </w:lvl>
    <w:lvl w:ilvl="7" w:tplc="27EA8846">
      <w:start w:val="1"/>
      <w:numFmt w:val="bullet"/>
      <w:lvlText w:val="●"/>
      <w:lvlJc w:val="left"/>
      <w:pPr>
        <w:ind w:left="5760" w:hanging="360"/>
      </w:pPr>
    </w:lvl>
    <w:lvl w:ilvl="8" w:tplc="7954F4C0">
      <w:start w:val="1"/>
      <w:numFmt w:val="bullet"/>
      <w:lvlText w:val="●"/>
      <w:lvlJc w:val="left"/>
      <w:pPr>
        <w:ind w:left="6480" w:hanging="360"/>
      </w:pPr>
    </w:lvl>
  </w:abstractNum>
  <w:num w:numId="1" w16cid:durableId="876744262">
    <w:abstractNumId w:val="1"/>
    <w:lvlOverride w:ilvl="0">
      <w:startOverride w:val="1"/>
    </w:lvlOverride>
  </w:num>
  <w:num w:numId="2" w16cid:durableId="8918858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605"/>
    <w:rsid w:val="001364C4"/>
    <w:rsid w:val="00246EBF"/>
    <w:rsid w:val="002E7BE9"/>
    <w:rsid w:val="002F25B2"/>
    <w:rsid w:val="00526153"/>
    <w:rsid w:val="00786605"/>
    <w:rsid w:val="008E5B1E"/>
    <w:rsid w:val="00A41352"/>
    <w:rsid w:val="00A56229"/>
    <w:rsid w:val="00BD1332"/>
    <w:rsid w:val="00C756B4"/>
    <w:rsid w:val="00E2654D"/>
    <w:rsid w:val="00EC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38F0E2"/>
  <w15:docId w15:val="{0AF9671C-05FD-F443-8CD4-EA13F7C32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5FA3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rFonts w:eastAsia="Arial"/>
      <w:b/>
      <w:bCs/>
      <w:i/>
      <w:iCs/>
      <w:color w:val="2E75B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12</Pages>
  <Words>4039</Words>
  <Characters>6588</Characters>
  <Application>Microsoft Office Word</Application>
  <DocSecurity>0</DocSecurity>
  <Lines>482</Lines>
  <Paragraphs>355</Paragraphs>
  <ScaleCrop>false</ScaleCrop>
  <Company/>
  <LinksUpToDate>false</LinksUpToDate>
  <CharactersWithSpaces>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李瑋晨</cp:lastModifiedBy>
  <cp:revision>7</cp:revision>
  <dcterms:created xsi:type="dcterms:W3CDTF">2026-03-31T07:56:00Z</dcterms:created>
  <dcterms:modified xsi:type="dcterms:W3CDTF">2026-04-09T09:23:00Z</dcterms:modified>
</cp:coreProperties>
</file>