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7k07w8j8t98q"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At Addition Wealth, we’re on a mission to redefine financial health by making personalized financial expertise inclusive and accessible to everyone. Through innovative technology and meaningful partnerships with leading companies and financial institutions, we empower individuals with robust digital tools, a comprehensive knowledge center, and access to top financial professionals to confidently navigate life’s financial decisions. Our work not only reduces stress and improves productivity but transforms how people think about and manage their money.</w:t>
        <w:br w:type="textWrapping"/>
        <w:br w:type="textWrapping"/>
        <w:t xml:space="preserve">We’re not just another financial wellness platform. We are pioneering a revolution in how individuals make financial decisions—leveraging technology to create seamless, impactful, and life-changing experiences. At Addition Wealth, you’ll have the opportunity to solve complex challenges, push the boundaries of what’s possible, and create tools that truly make a difference.</w:t>
        <w:br w:type="textWrapping"/>
        <w:br w:type="textWrapping"/>
        <w:t xml:space="preserve">Our impact has been recognized globally. Backed by top fintech VCs including Barclays, Anthemis, and Nyca, Addition Wealth has been named one of Business Insider’s 54 Promising Fintech Companies to Watch, honored with UBS’ Female Founder Award 2023, and selected as a World Economic Forum Top Innovator. We’ve also been featured in Bloomberg, TechCrunch, Insider, Forbes, and other leading publications. Together, we’re building something extraordinary—and we’re just getting started.</w:t>
        <w:br w:type="textWrapping"/>
        <w:br w:type="textWrapping"/>
        <w:t xml:space="preserve">Your Role And Responsibilities</w:t>
        <w:br w:type="textWrapping"/>
        <w:br w:type="textWrapping"/>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Act as a strategic advisor to the C-suite, providing insights on AI-driven product innovation and data strategy</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Stay ahead of emerging technology trends in AI, machine learning, and data science, evaluating their potential impact and applicability to Addition Wealth</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Drive the development and implementation of a robust data infrastructure to enable seamless data collection, integration, and analytics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Leverage data to build personalized experiences that enhance user engagement and satisfaction</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Develop and oversee AI and machine learning models to optimize key business functions, including customer insights, operational efficiencies, and risk management</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Collaborate with product, engineering, and design teams to integrate AI solutions into new and existing offerings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Champion ethical AI practices, ensuring compliance with data privacy regulations and maintaining user trust</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Build and lead a high-performing team of data professionals, fostering a culture of innovation and collaboration</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Establish metrics and KPIs to track the effectiveness and impact of AI and data initiatives across the organization</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Represent Addition Wealth as a thought leader in AI and data, both internally and in external forums, conferences, and industry discussions</w:t>
        <w:br w:type="textWrapping"/>
        <w:br w:type="textWrapping"/>
      </w:r>
    </w:p>
    <w:p w:rsidR="00000000" w:rsidDel="00000000" w:rsidP="00000000" w:rsidRDefault="00000000" w:rsidRPr="00000000" w14:paraId="0000000D">
      <w:pPr>
        <w:shd w:fill="ffffff" w:val="clear"/>
        <w:rPr>
          <w:rFonts w:ascii="Roboto" w:cs="Roboto" w:eastAsia="Roboto" w:hAnsi="Roboto"/>
        </w:rPr>
      </w:pPr>
      <w:r w:rsidDel="00000000" w:rsidR="00000000" w:rsidRPr="00000000">
        <w:rPr>
          <w:rFonts w:ascii="Roboto" w:cs="Roboto" w:eastAsia="Roboto" w:hAnsi="Roboto"/>
          <w:rtl w:val="0"/>
        </w:rPr>
        <w:t xml:space="preserve">Salary ranges are determined by role, level, and location. The range displayed on each job posting reflects the minimum and maximum target salaries for the position across all US locations. Individual pay is determined by work location and additional factors, including job-related skills, experience, and relevant education or training. The salary range reflects the base salary only.</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