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20" w:before="0" w:line="308.5714285714286" w:lineRule="auto"/>
        <w:rPr>
          <w:rFonts w:ascii="Times New Roman" w:cs="Times New Roman" w:eastAsia="Times New Roman" w:hAnsi="Times New Roman"/>
          <w:color w:val="4a423f"/>
          <w:sz w:val="63"/>
          <w:szCs w:val="63"/>
        </w:rPr>
      </w:pPr>
      <w:bookmarkStart w:colFirst="0" w:colLast="0" w:name="_oon53jki77li" w:id="0"/>
      <w:bookmarkEnd w:id="0"/>
      <w:r w:rsidDel="00000000" w:rsidR="00000000" w:rsidRPr="00000000">
        <w:rPr>
          <w:rFonts w:ascii="Times New Roman" w:cs="Times New Roman" w:eastAsia="Times New Roman" w:hAnsi="Times New Roman"/>
          <w:color w:val="4a423f"/>
          <w:sz w:val="63"/>
          <w:szCs w:val="63"/>
          <w:rtl w:val="0"/>
        </w:rPr>
        <w:t xml:space="preserve">Senior Director, Artificial Intelligence</w:t>
      </w:r>
    </w:p>
    <w:p w:rsidR="00000000" w:rsidDel="00000000" w:rsidP="00000000" w:rsidRDefault="00000000" w:rsidRPr="00000000" w14:paraId="00000002">
      <w:pPr>
        <w:spacing w:after="220" w:before="0" w:line="426.66666666666663" w:lineRule="auto"/>
        <w:rPr>
          <w:color w:val="4a423f"/>
          <w:sz w:val="27"/>
          <w:szCs w:val="27"/>
        </w:rPr>
      </w:pPr>
      <w:r w:rsidDel="00000000" w:rsidR="00000000" w:rsidRPr="00000000">
        <w:rPr>
          <w:color w:val="4a423f"/>
          <w:sz w:val="27"/>
          <w:szCs w:val="27"/>
          <w:rtl w:val="0"/>
        </w:rPr>
        <w:t xml:space="preserve">Job ID 1535396BR</w:t>
      </w:r>
    </w:p>
    <w:p w:rsidR="00000000" w:rsidDel="00000000" w:rsidP="00000000" w:rsidRDefault="00000000" w:rsidRPr="00000000" w14:paraId="00000003">
      <w:pPr>
        <w:spacing w:line="288" w:lineRule="auto"/>
        <w:ind w:left="-80" w:right="160" w:firstLine="0"/>
        <w:jc w:val="center"/>
        <w:rPr>
          <w:b w:val="1"/>
          <w:color w:val="ffffff"/>
          <w:sz w:val="24"/>
          <w:szCs w:val="24"/>
          <w:shd w:fill="e62600" w:val="clear"/>
        </w:rPr>
      </w:pPr>
      <w:r w:rsidDel="00000000" w:rsidR="00000000" w:rsidRPr="00000000">
        <w:fldChar w:fldCharType="begin"/>
        <w:instrText xml:space="preserve"> HYPERLINK "https://sjobs.brassring.com/TGnewUI/Search/home/HomeWithPreLoad?PageType=JobDetails&amp;partnerid=26336&amp;siteid=5014&amp;jobid=1574303&amp;AL=1&amp;codes=LinkedIn" </w:instrText>
        <w:fldChar w:fldCharType="separate"/>
      </w:r>
      <w:r w:rsidDel="00000000" w:rsidR="00000000" w:rsidRPr="00000000">
        <w:rPr>
          <w:b w:val="1"/>
          <w:color w:val="ffffff"/>
          <w:sz w:val="24"/>
          <w:szCs w:val="24"/>
          <w:shd w:fill="e62600" w:val="clear"/>
          <w:rtl w:val="0"/>
        </w:rPr>
        <w:t xml:space="preserve">Apply</w:t>
      </w:r>
    </w:p>
    <w:p w:rsidR="00000000" w:rsidDel="00000000" w:rsidP="00000000" w:rsidRDefault="00000000" w:rsidRPr="00000000" w14:paraId="00000004">
      <w:pPr>
        <w:spacing w:before="660" w:lineRule="auto"/>
        <w:rPr>
          <w:rFonts w:ascii="Calibri" w:cs="Calibri" w:eastAsia="Calibri" w:hAnsi="Calibri"/>
          <w:color w:val="4a423f"/>
          <w:sz w:val="42"/>
          <w:szCs w:val="42"/>
        </w:rPr>
      </w:pPr>
      <w:r w:rsidDel="00000000" w:rsidR="00000000" w:rsidRPr="00000000">
        <w:fldChar w:fldCharType="end"/>
      </w:r>
      <w:r w:rsidDel="00000000" w:rsidR="00000000" w:rsidRPr="00000000">
        <w:rPr>
          <w:rFonts w:ascii="Calibri" w:cs="Calibri" w:eastAsia="Calibri" w:hAnsi="Calibri"/>
          <w:color w:val="4a423f"/>
          <w:sz w:val="42"/>
          <w:szCs w:val="42"/>
          <w:rtl w:val="0"/>
        </w:rPr>
        <w:t xml:space="preserve">Job Summary</w:t>
      </w:r>
    </w:p>
    <w:p w:rsidR="00000000" w:rsidDel="00000000" w:rsidP="00000000" w:rsidRDefault="00000000" w:rsidRPr="00000000" w14:paraId="00000005">
      <w:pPr>
        <w:spacing w:before="660" w:line="315.16363636363633" w:lineRule="auto"/>
        <w:rPr>
          <w:rFonts w:ascii="Calibri" w:cs="Calibri" w:eastAsia="Calibri" w:hAnsi="Calibri"/>
          <w:color w:val="4a423f"/>
          <w:sz w:val="27"/>
          <w:szCs w:val="27"/>
        </w:rPr>
      </w:pPr>
      <w:r w:rsidDel="00000000" w:rsidR="00000000" w:rsidRPr="00000000">
        <w:rPr>
          <w:rFonts w:ascii="Calibri" w:cs="Calibri" w:eastAsia="Calibri" w:hAnsi="Calibri"/>
          <w:color w:val="4a423f"/>
          <w:sz w:val="27"/>
          <w:szCs w:val="27"/>
          <w:rtl w:val="0"/>
        </w:rPr>
        <w:t xml:space="preserve">Oversees a team that provides decision science and analytics leadership across the technical organization within Walgreens, delivering best in class data analytics to the business. Provides leadership to enterprise to deliver data-driven solutions to complex problems with very high levels of ambiguity using both structured and unstructured data across the enterprise.</w:t>
      </w:r>
    </w:p>
    <w:p w:rsidR="00000000" w:rsidDel="00000000" w:rsidP="00000000" w:rsidRDefault="00000000" w:rsidRPr="00000000" w14:paraId="00000006">
      <w:pPr>
        <w:spacing w:before="660" w:line="315.16363636363633" w:lineRule="auto"/>
        <w:rPr>
          <w:rFonts w:ascii="Calibri" w:cs="Calibri" w:eastAsia="Calibri" w:hAnsi="Calibri"/>
          <w:color w:val="4a423f"/>
          <w:sz w:val="27"/>
          <w:szCs w:val="27"/>
        </w:rPr>
      </w:pPr>
      <w:r w:rsidDel="00000000" w:rsidR="00000000" w:rsidRPr="00000000">
        <w:rPr>
          <w:rtl w:val="0"/>
        </w:rPr>
      </w:r>
    </w:p>
    <w:p w:rsidR="00000000" w:rsidDel="00000000" w:rsidP="00000000" w:rsidRDefault="00000000" w:rsidRPr="00000000" w14:paraId="00000007">
      <w:pPr>
        <w:spacing w:before="660" w:lineRule="auto"/>
        <w:rPr>
          <w:rFonts w:ascii="Times New Roman" w:cs="Times New Roman" w:eastAsia="Times New Roman" w:hAnsi="Times New Roman"/>
          <w:color w:val="4a423f"/>
          <w:sz w:val="42"/>
          <w:szCs w:val="42"/>
        </w:rPr>
      </w:pPr>
      <w:r w:rsidDel="00000000" w:rsidR="00000000" w:rsidRPr="00000000">
        <w:rPr>
          <w:rFonts w:ascii="Times New Roman" w:cs="Times New Roman" w:eastAsia="Times New Roman" w:hAnsi="Times New Roman"/>
          <w:color w:val="4a423f"/>
          <w:sz w:val="42"/>
          <w:szCs w:val="42"/>
          <w:rtl w:val="0"/>
        </w:rPr>
        <w:t xml:space="preserve">Job Responsibilities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82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Guides and mentors, a team of data scientist to use a wide range data science technique for descriptive, diagnostic, predictive, and prescriptive analyses.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Sets the vision for manipulation and analyses of large and complex data sets.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Distills the complexities of analytics (tagging, data, reporting) into layman terms, providing impactful visualizations, actionable insights and test/optimization opportunities.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Leads the team in leveraging machine learning and Artificial Intelligence technologies to drive real time customer centric decision making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Builds out a world class data science team that is aligned to support Walgreens as key business function.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Provides thought leadership to support the key technology initiatives.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Utilizes expertise to guide the decision on leading edge technical / business approaches and/or develops major new technical tools.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Facilitates communication between executives, staff, management, vendors, and other technology resources within and outside of the organization. Shares highly complex information related to areas of expertise.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24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Interacts with senior management to keep abreast of objectives. Interacts with direct reports and peers in management / customers / vendors to interpret information and improve cross-functional processes and programs. Builds and enhances key internal and external contacts.</w:t>
      </w:r>
    </w:p>
    <w:p w:rsidR="00000000" w:rsidDel="00000000" w:rsidP="00000000" w:rsidRDefault="00000000" w:rsidRPr="00000000" w14:paraId="00000011">
      <w:pPr>
        <w:spacing w:before="660" w:lineRule="auto"/>
        <w:rPr>
          <w:rFonts w:ascii="Calibri" w:cs="Calibri" w:eastAsia="Calibri" w:hAnsi="Calibri"/>
          <w:color w:val="4a423f"/>
          <w:sz w:val="42"/>
          <w:szCs w:val="42"/>
        </w:rPr>
      </w:pPr>
      <w:r w:rsidDel="00000000" w:rsidR="00000000" w:rsidRPr="00000000">
        <w:rPr>
          <w:rFonts w:ascii="Calibri" w:cs="Calibri" w:eastAsia="Calibri" w:hAnsi="Calibri"/>
          <w:color w:val="4a423f"/>
          <w:sz w:val="42"/>
          <w:szCs w:val="42"/>
          <w:rtl w:val="0"/>
        </w:rPr>
        <w:t xml:space="preserve">About Walgreens</w:t>
      </w:r>
    </w:p>
    <w:p w:rsidR="00000000" w:rsidDel="00000000" w:rsidP="00000000" w:rsidRDefault="00000000" w:rsidRPr="00000000" w14:paraId="00000012">
      <w:pPr>
        <w:spacing w:before="660" w:lineRule="auto"/>
        <w:rPr>
          <w:rFonts w:ascii="Calibri" w:cs="Calibri" w:eastAsia="Calibri" w:hAnsi="Calibri"/>
          <w:color w:val="4a423f"/>
          <w:sz w:val="27"/>
          <w:szCs w:val="27"/>
        </w:rPr>
      </w:pPr>
      <w:r w:rsidDel="00000000" w:rsidR="00000000" w:rsidRPr="00000000">
        <w:rPr>
          <w:rFonts w:ascii="Calibri" w:cs="Calibri" w:eastAsia="Calibri" w:hAnsi="Calibri"/>
          <w:color w:val="4a423f"/>
          <w:sz w:val="27"/>
          <w:szCs w:val="27"/>
          <w:rtl w:val="0"/>
        </w:rPr>
        <w:t xml:space="preserve">Founded in 1901, Walgreens (www.walgreens.com) has a storied heritage of caring for communities for generations, and proudly serves nearly 9 million customers and patients each day across its approximately 8,500 stores throughout the U.S. and Puerto Rico, and leading omni-channel platforms. Walgreens has approximately 220,000 team members, including nearly 90,000 healthcare service providers, and is committed to being the first choice for retail pharmacy and health services, building trusted relationships that create healthier futures for customers, patients, team members and communities.</w:t>
      </w:r>
    </w:p>
    <w:p w:rsidR="00000000" w:rsidDel="00000000" w:rsidP="00000000" w:rsidRDefault="00000000" w:rsidRPr="00000000" w14:paraId="00000013">
      <w:pPr>
        <w:spacing w:before="660" w:lineRule="auto"/>
        <w:rPr>
          <w:color w:val="4a423f"/>
          <w:sz w:val="21"/>
          <w:szCs w:val="21"/>
        </w:rPr>
      </w:pPr>
      <w:r w:rsidDel="00000000" w:rsidR="00000000" w:rsidRPr="00000000">
        <w:rPr>
          <w:rtl w:val="0"/>
        </w:rPr>
      </w:r>
    </w:p>
    <w:p w:rsidR="00000000" w:rsidDel="00000000" w:rsidP="00000000" w:rsidRDefault="00000000" w:rsidRPr="00000000" w14:paraId="00000014">
      <w:pPr>
        <w:spacing w:before="660" w:lineRule="auto"/>
        <w:rPr>
          <w:rFonts w:ascii="Calibri" w:cs="Calibri" w:eastAsia="Calibri" w:hAnsi="Calibri"/>
          <w:color w:val="4a423f"/>
          <w:sz w:val="27"/>
          <w:szCs w:val="27"/>
        </w:rPr>
      </w:pPr>
      <w:r w:rsidDel="00000000" w:rsidR="00000000" w:rsidRPr="00000000">
        <w:rPr>
          <w:rFonts w:ascii="Calibri" w:cs="Calibri" w:eastAsia="Calibri" w:hAnsi="Calibri"/>
          <w:color w:val="4a423f"/>
          <w:sz w:val="27"/>
          <w:szCs w:val="27"/>
          <w:rtl w:val="0"/>
        </w:rPr>
        <w:t xml:space="preserve">Walgreens is the flagship U.S. brand of Walgreens Boots Alliance, Inc. (Nasdaq: WBA), an integrated healthcare, pharmacy and retail leader. Its retail locations are a critical point of access and convenience in thousands of communities, with Walgreens pharmacists playing a greater role as part of the healthcare system and patients’ care teams than ever before. Walgreens Specialty Pharmacy provides critical care and pharmacy services to millions of patients with rare disease states and complex, chronic conditions.</w:t>
      </w:r>
    </w:p>
    <w:p w:rsidR="00000000" w:rsidDel="00000000" w:rsidP="00000000" w:rsidRDefault="00000000" w:rsidRPr="00000000" w14:paraId="00000015">
      <w:pPr>
        <w:spacing w:before="660" w:lineRule="auto"/>
        <w:rPr>
          <w:color w:val="4a423f"/>
          <w:sz w:val="21"/>
          <w:szCs w:val="21"/>
        </w:rPr>
      </w:pPr>
      <w:r w:rsidDel="00000000" w:rsidR="00000000" w:rsidRPr="00000000">
        <w:rPr>
          <w:rtl w:val="0"/>
        </w:rPr>
      </w:r>
    </w:p>
    <w:p w:rsidR="00000000" w:rsidDel="00000000" w:rsidP="00000000" w:rsidRDefault="00000000" w:rsidRPr="00000000" w14:paraId="00000016">
      <w:pPr>
        <w:spacing w:after="280" w:before="660" w:lineRule="auto"/>
        <w:rPr>
          <w:rFonts w:ascii="Times New Roman" w:cs="Times New Roman" w:eastAsia="Times New Roman" w:hAnsi="Times New Roman"/>
          <w:color w:val="4a423f"/>
          <w:sz w:val="42"/>
          <w:szCs w:val="42"/>
        </w:rPr>
      </w:pPr>
      <w:r w:rsidDel="00000000" w:rsidR="00000000" w:rsidRPr="00000000">
        <w:rPr>
          <w:rFonts w:ascii="Times New Roman" w:cs="Times New Roman" w:eastAsia="Times New Roman" w:hAnsi="Times New Roman"/>
          <w:color w:val="4a423f"/>
          <w:sz w:val="42"/>
          <w:szCs w:val="42"/>
          <w:rtl w:val="0"/>
        </w:rPr>
        <w:t xml:space="preserve">Basic Qualifications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82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Master's degree and at least 6 years of experience in a quantitative or computational function.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Deep knowledge of open source data science and statistics packages such as Python, R, Spark, etc.</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Experience in data science, advanced analytics, or statistics. Ability to interrogate data, perform analyses, interpret data, and present to business audiences.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Deep knowledge of SQL.</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Excellent communication skills (both orally and in writing) with a superb ability to communicate technical information to senior executives.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At least 5 years of experience contributing to financial decisions in the workplace.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At least 5 years of direct leadership, indirect leadership and/or cross- functional team leadership.</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24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Willing to travel up to 10% of the time for business purposes (within state and out of state)</w:t>
      </w:r>
    </w:p>
    <w:p w:rsidR="00000000" w:rsidDel="00000000" w:rsidP="00000000" w:rsidRDefault="00000000" w:rsidRPr="00000000" w14:paraId="0000001F">
      <w:pPr>
        <w:spacing w:after="280" w:before="660" w:lineRule="auto"/>
        <w:rPr>
          <w:rFonts w:ascii="Times New Roman" w:cs="Times New Roman" w:eastAsia="Times New Roman" w:hAnsi="Times New Roman"/>
          <w:color w:val="4a423f"/>
          <w:sz w:val="42"/>
          <w:szCs w:val="42"/>
        </w:rPr>
      </w:pPr>
      <w:r w:rsidDel="00000000" w:rsidR="00000000" w:rsidRPr="00000000">
        <w:rPr>
          <w:rFonts w:ascii="Times New Roman" w:cs="Times New Roman" w:eastAsia="Times New Roman" w:hAnsi="Times New Roman"/>
          <w:color w:val="4a423f"/>
          <w:sz w:val="42"/>
          <w:szCs w:val="42"/>
          <w:rtl w:val="0"/>
        </w:rPr>
        <w:t xml:space="preserve">Preferred Qualifications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82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PhD in a quantitative, computational or technical discipline and at least 6 years of experience in quantitative or computational functions, e.g. Statistics, Math, Operations Research, Physics, etc.</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At least 12 years’ experience leading data science technical efforts/teams.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240" w:before="0" w:beforeAutospacing="0" w:line="427.2" w:lineRule="auto"/>
        <w:ind w:left="1040" w:hanging="360"/>
        <w:rPr>
          <w:sz w:val="27"/>
          <w:szCs w:val="27"/>
        </w:rPr>
      </w:pPr>
      <w:r w:rsidDel="00000000" w:rsidR="00000000" w:rsidRPr="00000000">
        <w:rPr>
          <w:rFonts w:ascii="Calibri" w:cs="Calibri" w:eastAsia="Calibri" w:hAnsi="Calibri"/>
          <w:color w:val="4a423f"/>
          <w:sz w:val="27"/>
          <w:szCs w:val="27"/>
          <w:rtl w:val="0"/>
        </w:rPr>
        <w:t xml:space="preserve">Experience establishing and maintaining key relationships with internal (peers, business partners and leadership) and external (business community, clients and vendors) within a matrix organization to develop strategies that meet department goals within budget and timelines.</w:t>
      </w:r>
    </w:p>
    <w:p w:rsidR="00000000" w:rsidDel="00000000" w:rsidP="00000000" w:rsidRDefault="00000000" w:rsidRPr="00000000" w14:paraId="00000023">
      <w:pPr>
        <w:spacing w:before="660" w:lineRule="auto"/>
        <w:rPr>
          <w:rFonts w:ascii="Calibri" w:cs="Calibri" w:eastAsia="Calibri" w:hAnsi="Calibri"/>
          <w:color w:val="4a423f"/>
          <w:sz w:val="27"/>
          <w:szCs w:val="27"/>
        </w:rPr>
      </w:pPr>
      <w:r w:rsidDel="00000000" w:rsidR="00000000" w:rsidRPr="00000000">
        <w:rPr>
          <w:rFonts w:ascii="Calibri" w:cs="Calibri" w:eastAsia="Calibri" w:hAnsi="Calibri"/>
          <w:color w:val="4a423f"/>
          <w:sz w:val="27"/>
          <w:szCs w:val="27"/>
          <w:rtl w:val="0"/>
        </w:rPr>
        <w:t xml:space="preserve">We will consider employment of qualified applicants with arrest and conviction records.</w:t>
      </w:r>
    </w:p>
    <w:p w:rsidR="00000000" w:rsidDel="00000000" w:rsidP="00000000" w:rsidRDefault="00000000" w:rsidRPr="00000000" w14:paraId="00000024">
      <w:pPr>
        <w:spacing w:after="280" w:line="426.66666666666663" w:lineRule="auto"/>
        <w:rPr>
          <w:color w:val="4a423f"/>
          <w:sz w:val="27"/>
          <w:szCs w:val="27"/>
        </w:rPr>
      </w:pPr>
      <w:r w:rsidDel="00000000" w:rsidR="00000000" w:rsidRPr="00000000">
        <w:rPr>
          <w:color w:val="4a423f"/>
          <w:sz w:val="27"/>
          <w:szCs w:val="27"/>
          <w:rtl w:val="0"/>
        </w:rPr>
        <w:t xml:space="preserve">Salary Range $186500 - $320000 / Salaried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a42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2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2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