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s4dq6atk8dbq"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CSQ126R93</w:t>
        <w:br w:type="textWrapping"/>
        <w:br w:type="textWrapping"/>
        <w:t xml:space="preserve">Mission</w:t>
        <w:br w:type="textWrapping"/>
        <w:br w:type="textWrapping"/>
        <w:t xml:space="preserve">The Machine Learning (ML) Practice team is a highly specialized customer-facing ML team at Databricks facing an increasing demand for Large Language Model (LLM)-based solutions. We deliver professional services engagements to help our customers build, scale, and optimize ML pipelines, as well as put those pipelines into production. We work cross-functionally to shape long-term strategic priorities and initiatives alongside engineering, product, and developer relations, as well as support internal subject matter expert (SME) teams. We view our team as an ensemble: we look for individuals with strong, unique specializations to improve the overall strength of the team. This team is the right fit for you if you love working with customers, teammates, and fueling your curiosity for the latest trends in LLMs, MLOps, and ML more broadly. This role can be remote.</w:t>
        <w:br w:type="textWrapping"/>
        <w:br w:type="textWrapping"/>
        <w:t xml:space="preserve">The Impact You Will Have</w:t>
        <w:br w:type="textWrapping"/>
        <w:br w:type="textWrapping"/>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Develop LLM solutions on customer data such as RAG architectures on enterprise knowledge repos, querying structured data with natural language, and content generation</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Build, scale, and optimize customer data science workloads and apply best in class MLOps to productionize these workloads across a variety of domains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Advise data teams on various data science such as architecture, tooling, and best practices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Present at conferences such as Data+AI Summit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Provide technical mentorship to the larger ML SME community in Databricks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Collaborate cross-functionally with the product and engineering teams to define priorities and influence the product roadmap</w:t>
        <w:br w:type="textWrapping"/>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tl w:val="0"/>
        </w:rPr>
        <w:t xml:space="preserve">What We Look For</w:t>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Experience building Generative AI applications, including RAG, agents, text2sql, fine-tuning, and deploying LLMs, with tools such as HuggingFace, Langchain, and OpenAI</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5+ years of hands-on industry data science experience, leveraging typical machine learning and data science tools including pandas, scikit-learn, and TensorFlow/PyTorch</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building production-grade machine learning deployments on AWS, Azure, or GCP</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Graduate degree in a quantitative discipline (Computer Science, Engineering, Statistics, Operations Research, etc.) or equivalent practical experience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communicating and/or teaching technical concepts to non-technical and technical audiences alike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Passion for collaboration, life-long learning, and driving business value through ML</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[Preferred] Experience working with Databricks &amp; Apache Spark to process large-scale distributed datasets</w:t>
        <w:br w:type="textWrapping"/>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Fonts w:ascii="Roboto" w:cs="Roboto" w:eastAsia="Roboto" w:hAnsi="Roboto"/>
          <w:rtl w:val="0"/>
        </w:rPr>
        <w:t xml:space="preserve">Pay Range Transparency</w:t>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Fonts w:ascii="Roboto" w:cs="Roboto" w:eastAsia="Roboto" w:hAnsi="Roboto"/>
          <w:rtl w:val="0"/>
        </w:rPr>
        <w:t xml:space="preserve">Databricks is committed to fair and equitable compensation practices. The pay range(s) for this role is listed below and represents base salary range for non-commissionable roles or on-target earnings for commissionable roles. Actual compensation packages are based on several factors that are unique to each candidate, including but not limited to job-related skills, depth of experience, relevant certifications and training, and specific work location. Based on the factors above, Databricks utilizes the full width of the range. The total compensation package for this position may also include eligibility for annual performance bonus, equity, and the benefits listed above. For more information regarding which range your location is in visit our page</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Fonts w:ascii="Roboto" w:cs="Roboto" w:eastAsia="Roboto" w:hAnsi="Roboto"/>
          <w:rtl w:val="0"/>
        </w:rPr>
        <w:t xml:space="preserve">Zone 1 Pay Range</w:t>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rtl w:val="0"/>
        </w:rPr>
        <w:t xml:space="preserve">$142,200—$218,100 USD</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Zone 2 Pay Range</w:t>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Fonts w:ascii="Roboto" w:cs="Roboto" w:eastAsia="Roboto" w:hAnsi="Roboto"/>
          <w:rtl w:val="0"/>
        </w:rPr>
        <w:t xml:space="preserve">$128,000—$196,300 USD</w:t>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Fonts w:ascii="Roboto" w:cs="Roboto" w:eastAsia="Roboto" w:hAnsi="Roboto"/>
          <w:rtl w:val="0"/>
        </w:rPr>
        <w:t xml:space="preserve">Zone 3 Pay Range</w:t>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Fonts w:ascii="Roboto" w:cs="Roboto" w:eastAsia="Roboto" w:hAnsi="Roboto"/>
          <w:rtl w:val="0"/>
        </w:rPr>
        <w:t xml:space="preserve">$120,900—$185,400 USD</w:t>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Fonts w:ascii="Roboto" w:cs="Roboto" w:eastAsia="Roboto" w:hAnsi="Roboto"/>
          <w:rtl w:val="0"/>
        </w:rPr>
        <w:t xml:space="preserve">Zone 4 Pay Range</w:t>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Fonts w:ascii="Roboto" w:cs="Roboto" w:eastAsia="Roboto" w:hAnsi="Roboto"/>
          <w:rtl w:val="0"/>
        </w:rPr>
        <w:t xml:space="preserve">$113,800—$174,500 USD</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abricks.com/sites/default/files/2024-08/us-pay-zone-mapping.pdf" TargetMode="External"/><Relationship Id="rId7" Type="http://schemas.openxmlformats.org/officeDocument/2006/relationships/hyperlink" Target="https://www.databricks.com/sites/default/files/2024-08/us-pay-zone-mapping.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